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61595</wp:posOffset>
            </wp:positionV>
            <wp:extent cx="2202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177800</wp:posOffset>
            </wp:positionV>
            <wp:extent cx="22028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21"/>
          <w:szCs w:val="21"/>
          <w:b w:val="1"/>
          <w:bCs w:val="1"/>
          <w:color w:val="auto"/>
        </w:rPr>
        <w:t>June 4, 2026</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MarketWise,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100" w:type="dxa"/>
        <w:tblCellMar>
          <w:top w:w="0" w:type="dxa"/>
          <w:left w:w="0" w:type="dxa"/>
          <w:bottom w:w="0" w:type="dxa"/>
          <w:right w:w="0" w:type="dxa"/>
        </w:tblCellMar>
      </w:tblPr>
      <w:tr>
        <w:trPr>
          <w:trHeight w:val="238"/>
        </w:trPr>
        <w:tc>
          <w:tcPr>
            <w:tcW w:w="2160" w:type="dxa"/>
            <w:vAlign w:val="bottom"/>
          </w:tcPr>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60" w:type="dxa"/>
            <w:vAlign w:val="bottom"/>
          </w:tcPr>
          <w:p>
            <w:pPr>
              <w:jc w:val="right"/>
              <w:ind w:right="1757"/>
              <w:spacing w:after="0"/>
              <w:rPr>
                <w:sz w:val="20"/>
                <w:szCs w:val="20"/>
                <w:color w:val="auto"/>
              </w:rPr>
            </w:pPr>
            <w:r>
              <w:rPr>
                <w:rFonts w:ascii="Times New Roman" w:cs="Times New Roman" w:eastAsia="Times New Roman" w:hAnsi="Times New Roman"/>
                <w:sz w:val="18"/>
                <w:szCs w:val="18"/>
                <w:b w:val="1"/>
                <w:bCs w:val="1"/>
                <w:color w:val="auto"/>
              </w:rPr>
              <w:t>001-39405</w:t>
            </w:r>
          </w:p>
        </w:tc>
        <w:tc>
          <w:tcPr>
            <w:tcW w:w="2580" w:type="dxa"/>
            <w:vAlign w:val="bottom"/>
          </w:tcPr>
          <w:p>
            <w:pPr>
              <w:jc w:val="right"/>
              <w:ind w:right="516"/>
              <w:spacing w:after="0"/>
              <w:rPr>
                <w:sz w:val="20"/>
                <w:szCs w:val="20"/>
                <w:color w:val="auto"/>
              </w:rPr>
            </w:pPr>
            <w:r>
              <w:rPr>
                <w:rFonts w:ascii="Times New Roman" w:cs="Times New Roman" w:eastAsia="Times New Roman" w:hAnsi="Times New Roman"/>
                <w:sz w:val="18"/>
                <w:szCs w:val="18"/>
                <w:b w:val="1"/>
                <w:bCs w:val="1"/>
                <w:color w:val="auto"/>
              </w:rPr>
              <w:t>87-1767914</w:t>
            </w:r>
          </w:p>
        </w:tc>
      </w:tr>
      <w:tr>
        <w:trPr>
          <w:trHeight w:val="382"/>
        </w:trPr>
        <w:tc>
          <w:tcPr>
            <w:tcW w:w="2160" w:type="dxa"/>
            <w:vAlign w:val="bottom"/>
          </w:tcPr>
          <w:p>
            <w:pPr>
              <w:jc w:val="center"/>
              <w:ind w:right="579"/>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4560" w:type="dxa"/>
            <w:vAlign w:val="bottom"/>
          </w:tcPr>
          <w:p>
            <w:pPr>
              <w:jc w:val="center"/>
              <w:ind w:left="17"/>
              <w:spacing w:after="0"/>
              <w:rPr>
                <w:sz w:val="20"/>
                <w:szCs w:val="20"/>
                <w:color w:val="auto"/>
              </w:rPr>
            </w:pPr>
            <w:r>
              <w:rPr>
                <w:rFonts w:ascii="Times New Roman" w:cs="Times New Roman" w:eastAsia="Times New Roman" w:hAnsi="Times New Roman"/>
                <w:sz w:val="14"/>
                <w:szCs w:val="14"/>
                <w:color w:val="auto"/>
              </w:rPr>
              <w:t>(Commission File Number)</w:t>
            </w:r>
          </w:p>
        </w:tc>
        <w:tc>
          <w:tcPr>
            <w:tcW w:w="25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38"/>
        </w:trPr>
        <w:tc>
          <w:tcPr>
            <w:tcW w:w="2160" w:type="dxa"/>
            <w:vAlign w:val="bottom"/>
          </w:tcPr>
          <w:p>
            <w:pPr>
              <w:jc w:val="center"/>
              <w:ind w:right="579"/>
              <w:spacing w:after="0"/>
              <w:rPr>
                <w:sz w:val="20"/>
                <w:szCs w:val="20"/>
                <w:color w:val="auto"/>
              </w:rPr>
            </w:pPr>
            <w:r>
              <w:rPr>
                <w:rFonts w:ascii="Times New Roman" w:cs="Times New Roman" w:eastAsia="Times New Roman" w:hAnsi="Times New Roman"/>
                <w:sz w:val="14"/>
                <w:szCs w:val="14"/>
                <w:color w:val="auto"/>
              </w:rPr>
              <w:t>of incorporation)</w:t>
            </w:r>
          </w:p>
        </w:tc>
        <w:tc>
          <w:tcPr>
            <w:tcW w:w="45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96"/>
        </w:trPr>
        <w:tc>
          <w:tcPr>
            <w:tcW w:w="2160" w:type="dxa"/>
            <w:vAlign w:val="bottom"/>
          </w:tcPr>
          <w:p>
            <w:pPr>
              <w:spacing w:after="0"/>
              <w:rPr>
                <w:sz w:val="24"/>
                <w:szCs w:val="24"/>
                <w:color w:val="auto"/>
              </w:rPr>
            </w:pPr>
          </w:p>
        </w:tc>
        <w:tc>
          <w:tcPr>
            <w:tcW w:w="4560" w:type="dxa"/>
            <w:vAlign w:val="bottom"/>
          </w:tcPr>
          <w:p>
            <w:pPr>
              <w:jc w:val="center"/>
              <w:ind w:left="97"/>
              <w:spacing w:after="0"/>
              <w:rPr>
                <w:sz w:val="20"/>
                <w:szCs w:val="20"/>
                <w:color w:val="auto"/>
              </w:rPr>
            </w:pPr>
            <w:r>
              <w:rPr>
                <w:rFonts w:ascii="Times New Roman" w:cs="Times New Roman" w:eastAsia="Times New Roman" w:hAnsi="Times New Roman"/>
                <w:sz w:val="18"/>
                <w:szCs w:val="18"/>
                <w:b w:val="1"/>
                <w:bCs w:val="1"/>
                <w:color w:val="auto"/>
                <w:w w:val="98"/>
              </w:rPr>
              <w:t>1125 N. Charles St.</w:t>
            </w:r>
          </w:p>
        </w:tc>
        <w:tc>
          <w:tcPr>
            <w:tcW w:w="2580" w:type="dxa"/>
            <w:vAlign w:val="bottom"/>
          </w:tcPr>
          <w:p>
            <w:pPr>
              <w:spacing w:after="0"/>
              <w:rPr>
                <w:sz w:val="24"/>
                <w:szCs w:val="24"/>
                <w:color w:val="auto"/>
              </w:rPr>
            </w:pPr>
          </w:p>
        </w:tc>
      </w:tr>
      <w:tr>
        <w:trPr>
          <w:trHeight w:val="432"/>
        </w:trPr>
        <w:tc>
          <w:tcPr>
            <w:tcW w:w="2160" w:type="dxa"/>
            <w:vAlign w:val="bottom"/>
          </w:tcPr>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Baltimore,</w:t>
            </w:r>
          </w:p>
        </w:tc>
        <w:tc>
          <w:tcPr>
            <w:tcW w:w="456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580" w:type="dxa"/>
            <w:vAlign w:val="bottom"/>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rPr>
              <w:t>21201</w:t>
            </w:r>
          </w:p>
        </w:tc>
      </w:tr>
      <w:tr>
        <w:trPr>
          <w:trHeight w:val="382"/>
        </w:trPr>
        <w:tc>
          <w:tcPr>
            <w:tcW w:w="2160" w:type="dxa"/>
            <w:vAlign w:val="bottom"/>
          </w:tcPr>
          <w:p>
            <w:pPr>
              <w:spacing w:after="0"/>
              <w:rPr>
                <w:sz w:val="24"/>
                <w:szCs w:val="24"/>
                <w:color w:val="auto"/>
              </w:rPr>
            </w:pPr>
          </w:p>
        </w:tc>
        <w:tc>
          <w:tcPr>
            <w:tcW w:w="4560" w:type="dxa"/>
            <w:vAlign w:val="bottom"/>
          </w:tcPr>
          <w:p>
            <w:pPr>
              <w:jc w:val="center"/>
              <w:ind w:left="97"/>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25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237490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(888) 261-2693</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64770</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64770</wp:posOffset>
            </wp:positionV>
            <wp:extent cx="2383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20" w:lineRule="exact"/>
        <w:rPr>
          <w:sz w:val="24"/>
          <w:szCs w:val="24"/>
          <w:color w:val="auto"/>
        </w:rPr>
      </w:pPr>
    </w:p>
    <w:p>
      <w:pPr>
        <w:jc w:val="center"/>
        <w:ind w:left="340"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48"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42"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22"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22"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w:t>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$0.0001 par value per share</w:t>
            </w:r>
          </w:p>
        </w:tc>
        <w:tc>
          <w:tcPr>
            <w:tcW w:w="80" w:type="dxa"/>
            <w:vAlign w:val="bottom"/>
          </w:tcPr>
          <w:p>
            <w:pPr>
              <w:spacing w:after="0"/>
              <w:rPr>
                <w:sz w:val="20"/>
                <w:szCs w:val="20"/>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MKTW</w:t>
            </w:r>
          </w:p>
        </w:tc>
        <w:tc>
          <w:tcPr>
            <w:tcW w:w="80" w:type="dxa"/>
            <w:vAlign w:val="bottom"/>
          </w:tcPr>
          <w:p>
            <w:pPr>
              <w:spacing w:after="0"/>
              <w:rPr>
                <w:sz w:val="20"/>
                <w:szCs w:val="20"/>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767080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89"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18"/>
          <w:szCs w:val="18"/>
          <w:color w:val="auto"/>
        </w:rPr>
        <w:t>On June 4, 2026, MarketWise, Inc. (the “Company”) held its Annual Meeting of Stockholders (the “Annual Meeting”). The Company’s stockholders voted at the Annual Meeting on the four proposals below that are described in detail in the Company’s Proxy Statement filed with the Securities and Exchange Commission on April 17, 2026. The final voting results for each of the proposals submitted to a vote of the stockholders are set forth below.</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elected Matthew Turner to serve as a Class II director until the 2029 Annual Meeting of Stockholders, by the following votes: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Withheld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Matthew Turner</w:t>
            </w:r>
          </w:p>
        </w:tc>
        <w:tc>
          <w:tcPr>
            <w:tcW w:w="100" w:type="dxa"/>
            <w:vAlign w:val="bottom"/>
          </w:tcPr>
          <w:p>
            <w:pPr>
              <w:spacing w:after="0"/>
              <w:rPr>
                <w:sz w:val="19"/>
                <w:szCs w:val="19"/>
                <w:color w:val="auto"/>
              </w:rPr>
            </w:pPr>
          </w:p>
        </w:tc>
        <w:tc>
          <w:tcPr>
            <w:tcW w:w="274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13,366,939</w:t>
            </w:r>
          </w:p>
        </w:tc>
        <w:tc>
          <w:tcPr>
            <w:tcW w:w="80" w:type="dxa"/>
            <w:vAlign w:val="bottom"/>
          </w:tcPr>
          <w:p>
            <w:pPr>
              <w:spacing w:after="0"/>
              <w:rPr>
                <w:sz w:val="19"/>
                <w:szCs w:val="19"/>
                <w:color w:val="auto"/>
              </w:rPr>
            </w:pPr>
          </w:p>
        </w:tc>
        <w:tc>
          <w:tcPr>
            <w:tcW w:w="274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256,789</w:t>
            </w:r>
          </w:p>
        </w:tc>
        <w:tc>
          <w:tcPr>
            <w:tcW w:w="100" w:type="dxa"/>
            <w:vAlign w:val="bottom"/>
          </w:tcPr>
          <w:p>
            <w:pPr>
              <w:spacing w:after="0"/>
              <w:rPr>
                <w:sz w:val="19"/>
                <w:szCs w:val="19"/>
                <w:color w:val="auto"/>
              </w:rPr>
            </w:pPr>
          </w:p>
        </w:tc>
        <w:tc>
          <w:tcPr>
            <w:tcW w:w="274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1,040,623</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Say-on-Pay Proposal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did not approve, on an advisory (non-binding) basis, the compensation of our named executive officers, by the following votes: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56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6,117,351</w:t>
            </w:r>
          </w:p>
        </w:tc>
        <w:tc>
          <w:tcPr>
            <w:tcW w:w="100" w:type="dxa"/>
            <w:vAlign w:val="bottom"/>
          </w:tcPr>
          <w:p>
            <w:pPr>
              <w:spacing w:after="0"/>
              <w:rPr>
                <w:sz w:val="19"/>
                <w:szCs w:val="19"/>
                <w:color w:val="auto"/>
              </w:rPr>
            </w:pPr>
          </w:p>
        </w:tc>
        <w:tc>
          <w:tcPr>
            <w:tcW w:w="274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7,476,751</w:t>
            </w:r>
          </w:p>
        </w:tc>
        <w:tc>
          <w:tcPr>
            <w:tcW w:w="80" w:type="dxa"/>
            <w:vAlign w:val="bottom"/>
          </w:tcPr>
          <w:p>
            <w:pPr>
              <w:spacing w:after="0"/>
              <w:rPr>
                <w:sz w:val="19"/>
                <w:szCs w:val="19"/>
                <w:color w:val="auto"/>
              </w:rPr>
            </w:pPr>
          </w:p>
        </w:tc>
        <w:tc>
          <w:tcPr>
            <w:tcW w:w="2740" w:type="dxa"/>
            <w:vAlign w:val="bottom"/>
            <w:tcBorders>
              <w:top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29,626</w:t>
            </w:r>
          </w:p>
        </w:tc>
        <w:tc>
          <w:tcPr>
            <w:tcW w:w="100" w:type="dxa"/>
            <w:vAlign w:val="bottom"/>
          </w:tcPr>
          <w:p>
            <w:pPr>
              <w:spacing w:after="0"/>
              <w:rPr>
                <w:sz w:val="19"/>
                <w:szCs w:val="19"/>
                <w:color w:val="auto"/>
              </w:rPr>
            </w:pPr>
          </w:p>
        </w:tc>
        <w:tc>
          <w:tcPr>
            <w:tcW w:w="274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1,040,623</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 Say-on-Frequency Proposal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approved, on an advisory (non-binding) basis, one year as the interval for future Say-on-Pay votes, by the following votes: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Two Years</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Three Years</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16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7,615,818</w:t>
            </w:r>
          </w:p>
        </w:tc>
        <w:tc>
          <w:tcPr>
            <w:tcW w:w="80" w:type="dxa"/>
            <w:vAlign w:val="bottom"/>
          </w:tcPr>
          <w:p>
            <w:pPr>
              <w:spacing w:after="0"/>
              <w:rPr>
                <w:sz w:val="19"/>
                <w:szCs w:val="19"/>
                <w:color w:val="auto"/>
              </w:rPr>
            </w:pPr>
          </w:p>
        </w:tc>
        <w:tc>
          <w:tcPr>
            <w:tcW w:w="200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99,163</w:t>
            </w:r>
          </w:p>
        </w:tc>
        <w:tc>
          <w:tcPr>
            <w:tcW w:w="80" w:type="dxa"/>
            <w:vAlign w:val="bottom"/>
          </w:tcPr>
          <w:p>
            <w:pPr>
              <w:spacing w:after="0"/>
              <w:rPr>
                <w:sz w:val="19"/>
                <w:szCs w:val="19"/>
                <w:color w:val="auto"/>
              </w:rPr>
            </w:pPr>
          </w:p>
        </w:tc>
        <w:tc>
          <w:tcPr>
            <w:tcW w:w="2240" w:type="dxa"/>
            <w:vAlign w:val="bottom"/>
            <w:tcBorders>
              <w:top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5,879,057</w:t>
            </w:r>
          </w:p>
        </w:tc>
        <w:tc>
          <w:tcPr>
            <w:tcW w:w="80" w:type="dxa"/>
            <w:vAlign w:val="bottom"/>
          </w:tcPr>
          <w:p>
            <w:pPr>
              <w:spacing w:after="0"/>
              <w:rPr>
                <w:sz w:val="19"/>
                <w:szCs w:val="19"/>
                <w:color w:val="auto"/>
              </w:rPr>
            </w:pPr>
          </w:p>
        </w:tc>
        <w:tc>
          <w:tcPr>
            <w:tcW w:w="192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29,690</w:t>
            </w:r>
          </w:p>
        </w:tc>
        <w:tc>
          <w:tcPr>
            <w:tcW w:w="80" w:type="dxa"/>
            <w:vAlign w:val="bottom"/>
          </w:tcPr>
          <w:p>
            <w:pPr>
              <w:spacing w:after="0"/>
              <w:rPr>
                <w:sz w:val="19"/>
                <w:szCs w:val="19"/>
                <w:color w:val="auto"/>
              </w:rPr>
            </w:pPr>
          </w:p>
        </w:tc>
        <w:tc>
          <w:tcPr>
            <w:tcW w:w="202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1,040,623</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4 - Ratification of Appointment of Independent Registered Public Accounting Firm</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Grant Thornton LLP as the Company’s independent registered public accounting firm for the fiscal year ending December 31, 2026, by the following votes: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5740" w:type="dxa"/>
            <w:vAlign w:val="bottom"/>
            <w:gridSpan w:val="2"/>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r>
      <w:tr>
        <w:trPr>
          <w:trHeight w:val="228"/>
        </w:trPr>
        <w:tc>
          <w:tcPr>
            <w:tcW w:w="256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14,415,900</w:t>
            </w:r>
          </w:p>
        </w:tc>
        <w:tc>
          <w:tcPr>
            <w:tcW w:w="100" w:type="dxa"/>
            <w:vAlign w:val="bottom"/>
          </w:tcPr>
          <w:p>
            <w:pPr>
              <w:spacing w:after="0"/>
              <w:rPr>
                <w:sz w:val="19"/>
                <w:szCs w:val="19"/>
                <w:color w:val="auto"/>
              </w:rPr>
            </w:pPr>
          </w:p>
        </w:tc>
        <w:tc>
          <w:tcPr>
            <w:tcW w:w="2740" w:type="dxa"/>
            <w:vAlign w:val="bottom"/>
            <w:tcBorders>
              <w:top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tcPr>
          <w:p>
            <w:pPr>
              <w:spacing w:after="0"/>
              <w:rPr>
                <w:sz w:val="19"/>
                <w:szCs w:val="19"/>
                <w:color w:val="auto"/>
              </w:rPr>
            </w:pPr>
          </w:p>
        </w:tc>
        <w:tc>
          <w:tcPr>
            <w:tcW w:w="274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246,035</w:t>
            </w:r>
          </w:p>
        </w:tc>
        <w:tc>
          <w:tcPr>
            <w:tcW w:w="3000" w:type="dxa"/>
            <w:vAlign w:val="bottom"/>
          </w:tcPr>
          <w:p>
            <w:pPr>
              <w:spacing w:after="0"/>
              <w:rPr>
                <w:sz w:val="19"/>
                <w:szCs w:val="19"/>
                <w:color w:val="auto"/>
              </w:rPr>
            </w:pPr>
          </w:p>
        </w:tc>
      </w:tr>
      <w:tr>
        <w:trPr>
          <w:trHeight w:val="1649"/>
        </w:trPr>
        <w:tc>
          <w:tcPr>
            <w:tcW w:w="2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3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b w:val="1"/>
          <w:bCs w:val="1"/>
          <w:color w:val="auto"/>
        </w:rPr>
        <w:t>MarketWise, Inc.</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28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Scott Forney</w:t>
            </w:r>
          </w:p>
        </w:tc>
      </w:tr>
      <w:tr>
        <w:trPr>
          <w:trHeight w:val="250"/>
        </w:trPr>
        <w:tc>
          <w:tcPr>
            <w:tcW w:w="3380" w:type="dxa"/>
            <w:vAlign w:val="bottom"/>
          </w:tcPr>
          <w:p>
            <w:pPr>
              <w:spacing w:after="0"/>
              <w:rPr>
                <w:sz w:val="21"/>
                <w:szCs w:val="21"/>
                <w:color w:val="auto"/>
              </w:rPr>
            </w:pPr>
          </w:p>
        </w:tc>
        <w:tc>
          <w:tcPr>
            <w:tcW w:w="28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Scott Forney</w:t>
            </w:r>
          </w:p>
        </w:tc>
      </w:tr>
      <w:tr>
        <w:trPr>
          <w:trHeight w:val="270"/>
        </w:trPr>
        <w:tc>
          <w:tcPr>
            <w:tcW w:w="3380" w:type="dxa"/>
            <w:vAlign w:val="bottom"/>
          </w:tcPr>
          <w:p>
            <w:pPr>
              <w:spacing w:after="0"/>
              <w:rPr>
                <w:sz w:val="23"/>
                <w:szCs w:val="23"/>
                <w:color w:val="auto"/>
              </w:rPr>
            </w:pPr>
          </w:p>
        </w:tc>
        <w:tc>
          <w:tcPr>
            <w:tcW w:w="28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2026-06-08T15:57:51Z</dcterms:created>
  <dcterms:modified xsi:type="dcterms:W3CDTF">2026-06-08T15:57:51Z</dcterms:modified>
</cp:coreProperties>
</file>