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center"/>
        <w:rPr/>
      </w:pPr>
      <w:r>
        <w:rPr/>
      </w:r>
    </w:p>
    <w:p>
      <w:pPr>
        <w:pStyle w:val="TextBody"/>
        <w:bidi w:val="0"/>
        <w:spacing w:lineRule="auto" w:line="288" w:before="0" w:after="0"/>
        <w:jc w:val="center"/>
        <w:rPr>
          <w:rFonts w:ascii="Arial;sans-serif" w:hAnsi="Arial;sans-serif"/>
          <w:b w:val="false"/>
          <w:color w:val="000000"/>
          <w:sz w:val="2"/>
        </w:rPr>
      </w:pPr>
      <w:r>
        <w:rPr>
          <w:rFonts w:ascii="Arial;sans-serif" w:hAnsi="Arial;sans-serif"/>
          <w:b w:val="false"/>
          <w:color w:val="000000"/>
          <w:sz w:val="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4"/>
        </w:rPr>
      </w:pPr>
      <w:r>
        <w:rPr>
          <w:rFonts w:ascii="Times New Roman;serif" w:hAnsi="Times New Roman;serif"/>
          <w:b/>
          <w:color w:val="000000"/>
          <w:sz w:val="34"/>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Commission File Number: 001-39405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40"/>
        </w:rPr>
      </w:pPr>
      <w:r>
        <w:rPr>
          <w:rFonts w:ascii="Times New Roman;serif" w:hAnsi="Times New Roman;serif"/>
          <w:b/>
          <w:color w:val="000000"/>
          <w:sz w:val="40"/>
        </w:rPr>
        <w:t>MarketWise, Inc.</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89" w:type="dxa"/>
        <w:jc w:val="left"/>
        <w:tblInd w:w="0" w:type="dxa"/>
        <w:tblLayout w:type="fixed"/>
        <w:tblCellMar>
          <w:top w:w="28" w:type="dxa"/>
          <w:left w:w="28" w:type="dxa"/>
          <w:bottom w:w="28" w:type="dxa"/>
          <w:right w:w="28" w:type="dxa"/>
        </w:tblCellMar>
      </w:tblPr>
      <w:tblGrid>
        <w:gridCol w:w="807"/>
        <w:gridCol w:w="711"/>
        <w:gridCol w:w="717"/>
        <w:gridCol w:w="511"/>
        <w:gridCol w:w="511"/>
        <w:gridCol w:w="732"/>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87-1767914</w:t>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br/>
              <w:t>Identification Number)</w:t>
            </w:r>
          </w:p>
        </w:tc>
      </w:tr>
    </w:tbl>
    <w:tbl>
      <w:tblPr>
        <w:tblW w:w="4424" w:type="dxa"/>
        <w:jc w:val="left"/>
        <w:tblInd w:w="0" w:type="dxa"/>
        <w:tblLayout w:type="fixed"/>
        <w:tblCellMar>
          <w:top w:w="28" w:type="dxa"/>
          <w:left w:w="28" w:type="dxa"/>
          <w:bottom w:w="28" w:type="dxa"/>
          <w:right w:w="28" w:type="dxa"/>
        </w:tblCellMar>
      </w:tblPr>
      <w:tblGrid>
        <w:gridCol w:w="1267"/>
        <w:gridCol w:w="1110"/>
        <w:gridCol w:w="1118"/>
        <w:gridCol w:w="272"/>
        <w:gridCol w:w="272"/>
        <w:gridCol w:w="385"/>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1125 N. Charles Street Baltimore, Maryland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21201</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(Address of principal executive offices, including zip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(888) 261-2693</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(Former name or former address, if changed since last report)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071" w:type="dxa"/>
        <w:jc w:val="left"/>
        <w:tblInd w:w="0" w:type="dxa"/>
        <w:tblLayout w:type="fixed"/>
        <w:tblCellMar>
          <w:top w:w="28" w:type="dxa"/>
          <w:left w:w="28" w:type="dxa"/>
          <w:bottom w:w="28" w:type="dxa"/>
          <w:right w:w="28" w:type="dxa"/>
        </w:tblCellMar>
      </w:tblPr>
      <w:tblGrid>
        <w:gridCol w:w="1620"/>
        <w:gridCol w:w="1425"/>
        <w:gridCol w:w="1425"/>
        <w:gridCol w:w="592"/>
        <w:gridCol w:w="592"/>
        <w:gridCol w:w="592"/>
        <w:gridCol w:w="1121"/>
        <w:gridCol w:w="1121"/>
        <w:gridCol w:w="1583"/>
      </w:tblGrid>
      <w:tr>
        <w:trPr/>
        <w:tc>
          <w:tcPr>
            <w:tcW w:w="162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r>
      <w:tr>
        <w:trPr/>
        <w:tc>
          <w:tcPr>
            <w:tcW w:w="10071"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77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 per share</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MKTW</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jc w:val="center"/>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12 (a) of the Exchange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 Yes ☑ No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August 3, 2026, there were 2,792,711 shares of the registrant’s Class A common stock and 12,981,774 shares of the registrant’s Class B common stock, each with a par value of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18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353"/>
        <w:gridCol w:w="309"/>
        <w:gridCol w:w="314"/>
        <w:gridCol w:w="2904"/>
        <w:gridCol w:w="2904"/>
        <w:gridCol w:w="2908"/>
        <w:gridCol w:w="149"/>
        <w:gridCol w:w="149"/>
        <w:gridCol w:w="215"/>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FINANCIAL INFORMATION</w:t>
            </w:r>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hanging="180"/>
              <w:jc w:val="center"/>
              <w:rPr/>
            </w:pPr>
            <w:hyperlink w:anchor="i4d08692cb5914ee081797802e342d68e_16">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19">
              <w:r>
                <w:rPr>
                  <w:rStyle w:val="InternetLink"/>
                  <w:rFonts w:ascii="Times New Roman;serif" w:hAnsi="Times New Roman;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4d08692cb5914ee081797802e342d68e_19">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2">
              <w:r>
                <w:rPr>
                  <w:rStyle w:val="InternetLink"/>
                  <w:rFonts w:ascii="Times New Roman;serif" w:hAnsi="Times New Roman;serif"/>
                  <w:b w:val="false"/>
                  <w:color w:val="000080"/>
                  <w:sz w:val="20"/>
                  <w:u w:val="single"/>
                </w:rPr>
                <w:t xml:space="preserve">Condensed Consolidated Balance Sheets as of </w:t>
              </w:r>
            </w:hyperlink>
            <w:hyperlink w:anchor="i4d08692cb5914ee081797802e342d68e_22">
              <w:r>
                <w:rPr>
                  <w:rStyle w:val="InternetLink"/>
                  <w:rFonts w:ascii="Times New Roman;serif" w:hAnsi="Times New Roman;serif"/>
                  <w:b w:val="false"/>
                  <w:color w:val="000080"/>
                  <w:sz w:val="20"/>
                  <w:u w:val="single"/>
                </w:rPr>
                <w:t xml:space="preserve">June </w:t>
              </w:r>
            </w:hyperlink>
            <w:hyperlink w:anchor="i4d08692cb5914ee081797802e342d68e_22">
              <w:r>
                <w:rPr>
                  <w:rStyle w:val="InternetLink"/>
                  <w:rFonts w:ascii="Times New Roman;serif" w:hAnsi="Times New Roman;serif"/>
                  <w:b w:val="false"/>
                  <w:color w:val="000080"/>
                  <w:sz w:val="20"/>
                  <w:u w:val="single"/>
                </w:rPr>
                <w:t>3</w:t>
              </w:r>
            </w:hyperlink>
            <w:hyperlink w:anchor="i4d08692cb5914ee081797802e342d68e_22">
              <w:r>
                <w:rPr>
                  <w:rStyle w:val="InternetLink"/>
                  <w:rFonts w:ascii="Times New Roman;serif" w:hAnsi="Times New Roman;serif"/>
                  <w:b w:val="false"/>
                  <w:color w:val="000080"/>
                  <w:sz w:val="20"/>
                  <w:u w:val="single"/>
                </w:rPr>
                <w:t>0</w:t>
              </w:r>
            </w:hyperlink>
            <w:hyperlink w:anchor="i4d08692cb5914ee081797802e342d68e_22">
              <w:r>
                <w:rPr>
                  <w:rStyle w:val="InternetLink"/>
                  <w:rFonts w:ascii="Times New Roman;serif" w:hAnsi="Times New Roman;serif"/>
                  <w:b w:val="false"/>
                  <w:color w:val="000080"/>
                  <w:sz w:val="20"/>
                  <w:u w:val="single"/>
                </w:rPr>
                <w:t>, 2026 (unaudited) and December 31, 2025 (audited)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4d08692cb5914ee081797802e342d68e_22">
              <w:r>
                <w:rPr>
                  <w:rStyle w:val="InternetLink"/>
                  <w:rFonts w:ascii="Times New Roman;serif" w:hAnsi="Times New Roman;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5">
              <w:r>
                <w:rPr>
                  <w:rStyle w:val="InternetLink"/>
                  <w:rFonts w:ascii="Times New Roman;serif" w:hAnsi="Times New Roman;serif"/>
                  <w:b w:val="false"/>
                  <w:color w:val="000080"/>
                  <w:sz w:val="20"/>
                  <w:u w:val="single"/>
                </w:rPr>
                <w:t>Condensed Consolidated Statement of Operations for the Three</w:t>
              </w:r>
            </w:hyperlink>
            <w:hyperlink w:anchor="i4d08692cb5914ee081797802e342d68e_25">
              <w:r>
                <w:rPr>
                  <w:rStyle w:val="InternetLink"/>
                  <w:rFonts w:ascii="Times New Roman;serif" w:hAnsi="Times New Roman;serif"/>
                  <w:b w:val="false"/>
                  <w:color w:val="000080"/>
                  <w:sz w:val="20"/>
                  <w:u w:val="single"/>
                </w:rPr>
                <w:t xml:space="preserve"> an</w:t>
              </w:r>
            </w:hyperlink>
            <w:hyperlink w:anchor="i4d08692cb5914ee081797802e342d68e_25">
              <w:r>
                <w:rPr>
                  <w:rStyle w:val="InternetLink"/>
                  <w:rFonts w:ascii="Times New Roman;serif" w:hAnsi="Times New Roman;serif"/>
                  <w:b w:val="false"/>
                  <w:color w:val="000080"/>
                  <w:sz w:val="20"/>
                  <w:u w:val="single"/>
                </w:rPr>
                <w:t>d S</w:t>
              </w:r>
            </w:hyperlink>
            <w:hyperlink w:anchor="i4d08692cb5914ee081797802e342d68e_25">
              <w:r>
                <w:rPr>
                  <w:rStyle w:val="InternetLink"/>
                  <w:rFonts w:ascii="Times New Roman;serif" w:hAnsi="Times New Roman;serif"/>
                  <w:b w:val="false"/>
                  <w:color w:val="000080"/>
                  <w:sz w:val="20"/>
                  <w:u w:val="single"/>
                </w:rPr>
                <w:t>ix</w:t>
              </w:r>
            </w:hyperlink>
            <w:hyperlink w:anchor="i4d08692cb5914ee081797802e342d68e_25">
              <w:r>
                <w:rPr>
                  <w:rStyle w:val="InternetLink"/>
                  <w:rFonts w:ascii="Times New Roman;serif" w:hAnsi="Times New Roman;serif"/>
                  <w:b w:val="false"/>
                  <w:color w:val="000080"/>
                  <w:sz w:val="20"/>
                  <w:u w:val="single"/>
                </w:rPr>
                <w:t xml:space="preserve"> Months Ended </w:t>
              </w:r>
            </w:hyperlink>
            <w:hyperlink w:anchor="i4d08692cb5914ee081797802e342d68e_25">
              <w:r>
                <w:rPr>
                  <w:rStyle w:val="InternetLink"/>
                  <w:rFonts w:ascii="Times New Roman;serif" w:hAnsi="Times New Roman;serif"/>
                  <w:b w:val="false"/>
                  <w:color w:val="000080"/>
                  <w:sz w:val="20"/>
                  <w:u w:val="single"/>
                </w:rPr>
                <w:t xml:space="preserve">June </w:t>
              </w:r>
            </w:hyperlink>
            <w:hyperlink w:anchor="i4d08692cb5914ee081797802e342d68e_25">
              <w:r>
                <w:rPr>
                  <w:rStyle w:val="InternetLink"/>
                  <w:rFonts w:ascii="Times New Roman;serif" w:hAnsi="Times New Roman;serif"/>
                  <w:b w:val="false"/>
                  <w:color w:val="000080"/>
                  <w:sz w:val="20"/>
                  <w:u w:val="single"/>
                </w:rPr>
                <w:t>3</w:t>
              </w:r>
            </w:hyperlink>
            <w:hyperlink w:anchor="i4d08692cb5914ee081797802e342d68e_25">
              <w:r>
                <w:rPr>
                  <w:rStyle w:val="InternetLink"/>
                  <w:rFonts w:ascii="Times New Roman;serif" w:hAnsi="Times New Roman;serif"/>
                  <w:b w:val="false"/>
                  <w:color w:val="000080"/>
                  <w:sz w:val="20"/>
                  <w:u w:val="single"/>
                </w:rPr>
                <w:t>0</w:t>
              </w:r>
            </w:hyperlink>
            <w:hyperlink w:anchor="i4d08692cb5914ee081797802e342d68e_25">
              <w:r>
                <w:rPr>
                  <w:rStyle w:val="InternetLink"/>
                  <w:rFonts w:ascii="Times New Roman;serif" w:hAnsi="Times New Roman;serif"/>
                  <w:b w:val="false"/>
                  <w:color w:val="000080"/>
                  <w:sz w:val="20"/>
                  <w:u w:val="single"/>
                </w:rPr>
                <w:t>, 2026 and 2025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4d08692cb5914ee081797802e342d68e_25">
              <w:r>
                <w:rPr>
                  <w:rStyle w:val="InternetLink"/>
                  <w:rFonts w:ascii="Times New Roman;serif" w:hAnsi="Times New Roman;serif"/>
                  <w:b w:val="false"/>
                  <w:color w:val="0000FF"/>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37">
              <w:r>
                <w:rPr>
                  <w:rStyle w:val="InternetLink"/>
                  <w:rFonts w:ascii="Times New Roman;serif" w:hAnsi="Times New Roman;serif"/>
                  <w:b w:val="false"/>
                  <w:color w:val="000080"/>
                  <w:sz w:val="20"/>
                  <w:u w:val="single"/>
                </w:rPr>
                <w:t>Condensed Consolidated Statements of Comprehensive Income for the Three</w:t>
              </w:r>
            </w:hyperlink>
            <w:hyperlink w:anchor="i4d08692cb5914ee081797802e342d68e_37">
              <w:r>
                <w:rPr>
                  <w:rStyle w:val="InternetLink"/>
                  <w:rFonts w:ascii="Times New Roman;serif" w:hAnsi="Times New Roman;serif"/>
                  <w:b w:val="false"/>
                  <w:color w:val="000080"/>
                  <w:sz w:val="20"/>
                  <w:u w:val="single"/>
                </w:rPr>
                <w:t xml:space="preserve"> and Six</w:t>
              </w:r>
            </w:hyperlink>
            <w:hyperlink w:anchor="i4d08692cb5914ee081797802e342d68e_37">
              <w:r>
                <w:rPr>
                  <w:rStyle w:val="InternetLink"/>
                  <w:rFonts w:ascii="Times New Roman;serif" w:hAnsi="Times New Roman;serif"/>
                  <w:b w:val="false"/>
                  <w:color w:val="000080"/>
                  <w:sz w:val="20"/>
                  <w:u w:val="single"/>
                </w:rPr>
                <w:t xml:space="preserve"> Months Ended </w:t>
              </w:r>
            </w:hyperlink>
            <w:hyperlink w:anchor="i4d08692cb5914ee081797802e342d68e_37">
              <w:r>
                <w:rPr>
                  <w:rStyle w:val="InternetLink"/>
                  <w:rFonts w:ascii="Times New Roman;serif" w:hAnsi="Times New Roman;serif"/>
                  <w:b w:val="false"/>
                  <w:color w:val="000080"/>
                  <w:sz w:val="20"/>
                  <w:u w:val="single"/>
                </w:rPr>
                <w:t xml:space="preserve">June </w:t>
              </w:r>
            </w:hyperlink>
            <w:hyperlink w:anchor="i4d08692cb5914ee081797802e342d68e_37">
              <w:r>
                <w:rPr>
                  <w:rStyle w:val="InternetLink"/>
                  <w:rFonts w:ascii="Times New Roman;serif" w:hAnsi="Times New Roman;serif"/>
                  <w:b w:val="false"/>
                  <w:color w:val="000080"/>
                  <w:sz w:val="20"/>
                  <w:u w:val="single"/>
                </w:rPr>
                <w:t>3</w:t>
              </w:r>
            </w:hyperlink>
            <w:hyperlink w:anchor="i4d08692cb5914ee081797802e342d68e_37">
              <w:r>
                <w:rPr>
                  <w:rStyle w:val="InternetLink"/>
                  <w:rFonts w:ascii="Times New Roman;serif" w:hAnsi="Times New Roman;serif"/>
                  <w:b w:val="false"/>
                  <w:color w:val="000080"/>
                  <w:sz w:val="20"/>
                  <w:u w:val="single"/>
                </w:rPr>
                <w:t>0</w:t>
              </w:r>
            </w:hyperlink>
            <w:hyperlink w:anchor="i4d08692cb5914ee081797802e342d68e_37">
              <w:r>
                <w:rPr>
                  <w:rStyle w:val="InternetLink"/>
                  <w:rFonts w:ascii="Times New Roman;serif" w:hAnsi="Times New Roman;serif"/>
                  <w:b w:val="false"/>
                  <w:color w:val="000080"/>
                  <w:sz w:val="20"/>
                  <w:u w:val="single"/>
                </w:rPr>
                <w:t>, 2026 and 2025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4d08692cb5914ee081797802e342d68e_34">
              <w:r>
                <w:rPr>
                  <w:rStyle w:val="InternetLink"/>
                  <w:rFonts w:ascii="Times New Roman;serif" w:hAnsi="Times New Roman;serif"/>
                  <w:b w:val="false"/>
                  <w:color w:val="0000FF"/>
                  <w:sz w:val="20"/>
                  <w:u w:val="single"/>
                </w:rPr>
                <w:t>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40">
              <w:r>
                <w:rPr>
                  <w:rStyle w:val="InternetLink"/>
                  <w:rFonts w:ascii="Times New Roman;serif" w:hAnsi="Times New Roman;serif"/>
                  <w:b w:val="false"/>
                  <w:color w:val="000080"/>
                  <w:sz w:val="20"/>
                  <w:u w:val="single"/>
                </w:rPr>
                <w:t xml:space="preserve">Condensed Consolidated Statements of Changes in Stockholders' Deficit for the Three </w:t>
              </w:r>
            </w:hyperlink>
            <w:hyperlink w:anchor="i4d08692cb5914ee081797802e342d68e_40">
              <w:r>
                <w:rPr>
                  <w:rStyle w:val="InternetLink"/>
                  <w:rFonts w:ascii="Times New Roman;serif" w:hAnsi="Times New Roman;serif"/>
                  <w:b w:val="false"/>
                  <w:color w:val="000080"/>
                  <w:sz w:val="20"/>
                  <w:u w:val="single"/>
                </w:rPr>
                <w:t xml:space="preserve">and Six </w:t>
              </w:r>
            </w:hyperlink>
            <w:hyperlink w:anchor="i4d08692cb5914ee081797802e342d68e_40">
              <w:r>
                <w:rPr>
                  <w:rStyle w:val="InternetLink"/>
                  <w:rFonts w:ascii="Times New Roman;serif" w:hAnsi="Times New Roman;serif"/>
                  <w:b w:val="false"/>
                  <w:color w:val="000080"/>
                  <w:sz w:val="20"/>
                  <w:u w:val="single"/>
                </w:rPr>
                <w:t xml:space="preserve">Months Ended </w:t>
              </w:r>
            </w:hyperlink>
            <w:hyperlink w:anchor="i4d08692cb5914ee081797802e342d68e_40">
              <w:r>
                <w:rPr>
                  <w:rStyle w:val="InternetLink"/>
                  <w:rFonts w:ascii="Times New Roman;serif" w:hAnsi="Times New Roman;serif"/>
                  <w:b w:val="false"/>
                  <w:color w:val="000080"/>
                  <w:sz w:val="20"/>
                  <w:u w:val="single"/>
                </w:rPr>
                <w:t xml:space="preserve">June </w:t>
              </w:r>
            </w:hyperlink>
            <w:hyperlink w:anchor="i4d08692cb5914ee081797802e342d68e_40">
              <w:r>
                <w:rPr>
                  <w:rStyle w:val="InternetLink"/>
                  <w:rFonts w:ascii="Times New Roman;serif" w:hAnsi="Times New Roman;serif"/>
                  <w:b w:val="false"/>
                  <w:color w:val="000080"/>
                  <w:sz w:val="20"/>
                  <w:u w:val="single"/>
                </w:rPr>
                <w:t>3</w:t>
              </w:r>
            </w:hyperlink>
            <w:hyperlink w:anchor="i4d08692cb5914ee081797802e342d68e_40">
              <w:r>
                <w:rPr>
                  <w:rStyle w:val="InternetLink"/>
                  <w:rFonts w:ascii="Times New Roman;serif" w:hAnsi="Times New Roman;serif"/>
                  <w:b w:val="false"/>
                  <w:color w:val="000080"/>
                  <w:sz w:val="20"/>
                  <w:u w:val="single"/>
                </w:rPr>
                <w:t>0</w:t>
              </w:r>
            </w:hyperlink>
            <w:hyperlink w:anchor="i4d08692cb5914ee081797802e342d68e_40">
              <w:r>
                <w:rPr>
                  <w:rStyle w:val="InternetLink"/>
                  <w:rFonts w:ascii="Times New Roman;serif" w:hAnsi="Times New Roman;serif"/>
                  <w:b w:val="false"/>
                  <w:color w:val="000080"/>
                  <w:sz w:val="20"/>
                  <w:u w:val="single"/>
                </w:rPr>
                <w:t>, 2026 and 2025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4d08692cb5914ee081797802e342d68e_40">
              <w:r>
                <w:rPr>
                  <w:rStyle w:val="InternetLink"/>
                  <w:rFonts w:ascii="Times New Roman;serif" w:hAnsi="Times New Roman;serif"/>
                  <w:b w:val="false"/>
                  <w:color w:val="0000FF"/>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52">
              <w:r>
                <w:rPr>
                  <w:rStyle w:val="InternetLink"/>
                  <w:rFonts w:ascii="Times New Roman;serif" w:hAnsi="Times New Roman;serif"/>
                  <w:b w:val="false"/>
                  <w:color w:val="000080"/>
                  <w:sz w:val="20"/>
                  <w:u w:val="single"/>
                </w:rPr>
                <w:t xml:space="preserve">Condensed Consolidated Statements of Cash Flows for the </w:t>
              </w:r>
            </w:hyperlink>
            <w:hyperlink w:anchor="i4d08692cb5914ee081797802e342d68e_52">
              <w:r>
                <w:rPr>
                  <w:rStyle w:val="InternetLink"/>
                  <w:rFonts w:ascii="Times New Roman;serif" w:hAnsi="Times New Roman;serif"/>
                  <w:b w:val="false"/>
                  <w:color w:val="000080"/>
                  <w:sz w:val="20"/>
                  <w:u w:val="single"/>
                </w:rPr>
                <w:t>Six</w:t>
              </w:r>
            </w:hyperlink>
            <w:hyperlink w:anchor="i4d08692cb5914ee081797802e342d68e_52">
              <w:r>
                <w:rPr>
                  <w:rStyle w:val="InternetLink"/>
                  <w:rFonts w:ascii="Times New Roman;serif" w:hAnsi="Times New Roman;serif"/>
                  <w:b w:val="false"/>
                  <w:color w:val="000080"/>
                  <w:sz w:val="20"/>
                  <w:u w:val="single"/>
                </w:rPr>
                <w:t xml:space="preserve"> Months Ended </w:t>
              </w:r>
            </w:hyperlink>
            <w:hyperlink w:anchor="i4d08692cb5914ee081797802e342d68e_52">
              <w:r>
                <w:rPr>
                  <w:rStyle w:val="InternetLink"/>
                  <w:rFonts w:ascii="Times New Roman;serif" w:hAnsi="Times New Roman;serif"/>
                  <w:b w:val="false"/>
                  <w:color w:val="000080"/>
                  <w:sz w:val="20"/>
                  <w:u w:val="single"/>
                </w:rPr>
                <w:t>June</w:t>
              </w:r>
            </w:hyperlink>
            <w:hyperlink w:anchor="i4d08692cb5914ee081797802e342d68e_52">
              <w:r>
                <w:rPr>
                  <w:rStyle w:val="InternetLink"/>
                  <w:rFonts w:ascii="Times New Roman;serif" w:hAnsi="Times New Roman;serif"/>
                  <w:b w:val="false"/>
                  <w:color w:val="000080"/>
                  <w:sz w:val="20"/>
                  <w:u w:val="single"/>
                </w:rPr>
                <w:t xml:space="preserve"> 3</w:t>
              </w:r>
            </w:hyperlink>
            <w:hyperlink w:anchor="i4d08692cb5914ee081797802e342d68e_52">
              <w:r>
                <w:rPr>
                  <w:rStyle w:val="InternetLink"/>
                  <w:rFonts w:ascii="Times New Roman;serif" w:hAnsi="Times New Roman;serif"/>
                  <w:b w:val="false"/>
                  <w:color w:val="000080"/>
                  <w:sz w:val="20"/>
                  <w:u w:val="single"/>
                </w:rPr>
                <w:t>0</w:t>
              </w:r>
            </w:hyperlink>
            <w:hyperlink w:anchor="i4d08692cb5914ee081797802e342d68e_52">
              <w:r>
                <w:rPr>
                  <w:rStyle w:val="InternetLink"/>
                  <w:rFonts w:ascii="Times New Roman;serif" w:hAnsi="Times New Roman;serif"/>
                  <w:b w:val="false"/>
                  <w:color w:val="000080"/>
                  <w:sz w:val="20"/>
                  <w:u w:val="single"/>
                </w:rPr>
                <w:t>, 2026 and 2025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4d08692cb5914ee081797802e342d68e_52">
              <w:r>
                <w:rPr>
                  <w:rStyle w:val="InternetLink"/>
                  <w:rFonts w:ascii="Times New Roman;serif" w:hAnsi="Times New Roman;serif"/>
                  <w:b w:val="false"/>
                  <w:color w:val="0000FF"/>
                  <w:sz w:val="20"/>
                  <w:u w:val="single"/>
                </w:rPr>
                <w:t>14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55">
              <w:r>
                <w:rPr>
                  <w:rStyle w:val="InternetLink"/>
                  <w:rFonts w:ascii="Times New Roman;serif" w:hAnsi="Times New Roman;serif"/>
                  <w:b w:val="false"/>
                  <w:color w:val="0000FF"/>
                  <w:sz w:val="20"/>
                  <w:u w:val="single"/>
                </w:rPr>
                <w:t>Notes to the condensed consolidated 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4d08692cb5914ee081797802e342d68e_55">
              <w:r>
                <w:rPr>
                  <w:rStyle w:val="InternetLink"/>
                  <w:rFonts w:ascii="Times New Roman;serif" w:hAnsi="Times New Roman;serif"/>
                  <w:b w:val="false"/>
                  <w:color w:val="0000FF"/>
                  <w:sz w:val="20"/>
                  <w:u w:val="single"/>
                </w:rPr>
                <w:t>15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15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4d08692cb5914ee081797802e342d68e_157">
              <w:r>
                <w:rPr>
                  <w:rStyle w:val="InternetLink"/>
                  <w:rFonts w:ascii="Times New Roman;serif" w:hAnsi="Times New Roman;serif"/>
                  <w:b w:val="false"/>
                  <w:color w:val="0000FF"/>
                  <w:sz w:val="20"/>
                  <w:u w:val="single"/>
                </w:rPr>
                <w:t>34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35">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4d08692cb5914ee081797802e342d68e_235">
              <w:r>
                <w:rPr>
                  <w:rStyle w:val="InternetLink"/>
                  <w:rFonts w:ascii="Times New Roman;serif" w:hAnsi="Times New Roman;serif"/>
                  <w:b w:val="false"/>
                  <w:color w:val="0000FF"/>
                  <w:sz w:val="20"/>
                  <w:u w:val="single"/>
                </w:rPr>
                <w:t>51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41">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4d08692cb5914ee081797802e342d68e_241">
              <w:r>
                <w:rPr>
                  <w:rStyle w:val="InternetLink"/>
                  <w:rFonts w:ascii="Times New Roman;serif" w:hAnsi="Times New Roman;serif"/>
                  <w:b w:val="false"/>
                  <w:color w:val="0000FF"/>
                  <w:sz w:val="20"/>
                  <w:u w:val="single"/>
                </w:rPr>
                <w:t>51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d08692cb5914ee081797802e342d68e_244">
              <w:r>
                <w:rPr>
                  <w:rStyle w:val="InternetLink"/>
                  <w:rFonts w:ascii="Times New Roman;serif" w:hAnsi="Times New Roman;serif"/>
                  <w:b/>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4d08692cb5914ee081797802e342d68e_244">
              <w:r>
                <w:rPr>
                  <w:rStyle w:val="InternetLink"/>
                  <w:rFonts w:ascii="Times New Roman;serif" w:hAnsi="Times New Roman;serif"/>
                  <w:b w:val="false"/>
                  <w:color w:val="0000FF"/>
                  <w:sz w:val="20"/>
                  <w:u w:val="singl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47">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4d08692cb5914ee081797802e342d68e_247">
              <w:r>
                <w:rPr>
                  <w:rStyle w:val="InternetLink"/>
                  <w:rFonts w:ascii="Times New Roman;serif" w:hAnsi="Times New Roman;serif"/>
                  <w:b w:val="false"/>
                  <w:color w:val="0000FF"/>
                  <w:sz w:val="20"/>
                  <w:u w:val="singl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50">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4d08692cb5914ee081797802e342d68e_250">
              <w:r>
                <w:rPr>
                  <w:rStyle w:val="InternetLink"/>
                  <w:rFonts w:ascii="Times New Roman;serif" w:hAnsi="Times New Roman;serif"/>
                  <w:b w:val="false"/>
                  <w:color w:val="0000FF"/>
                  <w:sz w:val="20"/>
                  <w:u w:val="singl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53">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4d08692cb5914ee081797802e342d68e_253">
              <w:r>
                <w:rPr>
                  <w:rStyle w:val="InternetLink"/>
                  <w:rFonts w:ascii="Times New Roman;serif" w:hAnsi="Times New Roman;serif"/>
                  <w:b w:val="false"/>
                  <w:color w:val="0000FF"/>
                  <w:sz w:val="20"/>
                  <w:u w:val="single"/>
                </w:rPr>
                <w:t>53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59">
              <w:r>
                <w:rPr>
                  <w:rStyle w:val="InternetLink"/>
                  <w:rFonts w:ascii="Times New Roman;serif" w:hAnsi="Times New Roman;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4d08692cb5914ee081797802e342d68e_259">
              <w:r>
                <w:rPr>
                  <w:rStyle w:val="InternetLink"/>
                  <w:rFonts w:ascii="Times New Roman;serif" w:hAnsi="Times New Roman;serif"/>
                  <w:b w:val="false"/>
                  <w:color w:val="0000FF"/>
                  <w:sz w:val="20"/>
                  <w:u w:val="single"/>
                </w:rPr>
                <w:t>53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62">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4d08692cb5914ee081797802e342d68e_262">
              <w:r>
                <w:rPr>
                  <w:rStyle w:val="InternetLink"/>
                  <w:rFonts w:ascii="Times New Roman;serif" w:hAnsi="Times New Roman;serif"/>
                  <w:b w:val="false"/>
                  <w:color w:val="0000FF"/>
                  <w:sz w:val="20"/>
                  <w:u w:val="single"/>
                </w:rPr>
                <w:t>53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65">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4d08692cb5914ee081797802e342d68e_265">
              <w:r>
                <w:rPr>
                  <w:rStyle w:val="InternetLink"/>
                  <w:rFonts w:ascii="Times New Roman;serif" w:hAnsi="Times New Roman;serif"/>
                  <w:b w:val="false"/>
                  <w:color w:val="0000FF"/>
                  <w:sz w:val="20"/>
                  <w:u w:val="single"/>
                </w:rPr>
                <w:t>53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68">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4d08692cb5914ee081797802e342d68e_268">
              <w:r>
                <w:rPr>
                  <w:rStyle w:val="InternetLink"/>
                  <w:rFonts w:ascii="Times New Roman;serif" w:hAnsi="Times New Roman;serif"/>
                  <w:b w:val="false"/>
                  <w:color w:val="0000FF"/>
                  <w:sz w:val="20"/>
                  <w:u w:val="single"/>
                </w:rPr>
                <w:t>53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8692cb5914ee081797802e342d68e_271">
              <w:r>
                <w:rPr>
                  <w:rStyle w:val="InternetLink"/>
                  <w:rFonts w:ascii="Times New Roman;serif" w:hAnsi="Times New Roman;serif"/>
                  <w:b w:val="false"/>
                  <w:color w:val="0000FF"/>
                  <w:sz w:val="20"/>
                  <w:u w:val="single"/>
                </w:rPr>
                <w:t>Signatures</w:t>
              </w:r>
            </w:hyperlink>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4d08692cb5914ee081797802e342d68e_271">
              <w:r>
                <w:rPr>
                  <w:rStyle w:val="InternetLink"/>
                  <w:rFonts w:ascii="Times New Roman;serif" w:hAnsi="Times New Roman;serif"/>
                  <w:b w:val="false"/>
                  <w:color w:val="0000FF"/>
                  <w:sz w:val="20"/>
                  <w:u w:val="singl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68" w:before="0" w:after="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(“Securities Act”), and Section 21E of the Securities Exchange Act of 1934, as amended (“Exchange Act”),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new subscribers and to persuade existing subscribers to renew their subscription agreements with us and to purchase additional products and services from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adequately market our products and services, and to develop additional products and product offerings;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our growth effectively, including through acquisitions;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maintain and protect our reputation for trustworthiness and independence;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develop, and retain capable management, editors, and other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grow market share in our existing markets or any new markets we may enter;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or weakened conditions in the financial sector, global financial markets, and global economy;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current macroeconomic events, including heightened inflation, rise in interest rates and the potential for an economic recession;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comply with laws and regulations or other regulatory action or investigations, including the Investment Advisers Act of 1940, as amended (the “Advisers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respond to and adapt to changes in technology and consumer behavior;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successfully identify and integrate acquisitions, or dispose of assets and businesses;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public securities’ potential liquidity and trading;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the regulatory environment and complexities with compliance related to such environment;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future capital needs;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 effective system of internal control over financial reporting;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protect our intellectual property;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factors detailed under the section of our Annual Report on Form 10-K for the year ended December 31, 2025 entitled “Risk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based on information available as of the date of this report and current expectations, forecasts, and assumptions, and involve a number of judgments, risks, and uncertainties. Additionally, as a result of a number of known and unknown risks and uncertainties, our actual results or performance may be materially different from those expressed or implied by these forward-looking statements. Accordingly, forward-looking statements should not be relied upon as representing our views as of any subsequent date, and we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undertake any obligation to update forward-looking statements for any reason,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1—FINANCIAL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37"/>
        <w:gridCol w:w="2303"/>
        <w:gridCol w:w="2258"/>
        <w:gridCol w:w="211"/>
        <w:gridCol w:w="826"/>
        <w:gridCol w:w="109"/>
        <w:gridCol w:w="109"/>
        <w:gridCol w:w="109"/>
        <w:gridCol w:w="109"/>
        <w:gridCol w:w="235"/>
        <w:gridCol w:w="924"/>
        <w:gridCol w:w="175"/>
      </w:tblGrid>
      <w:tr>
        <w:trPr/>
        <w:tc>
          <w:tcPr>
            <w:tcW w:w="2837"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3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131,701 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other 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Related party TRA liability, current (Note 10)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234,204 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other contract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Related party TRA liability, noncurrent (Note 10)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3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432,004 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 Class A, par value of $0.0001 per share, 47,500,000 shares authorized; 2,666,908 and 2,445,010 shares issued and outstanding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 Class B, par value of $0.0001 per share, 15,000,000 shares authorized; 12,986,774 and 13,612,641 shares issued and outstanding at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 par value of $0.0001 per share, 100,000,000 shares authorized; 0 shares issued and outstanding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(113,664)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 attributable to MarketWise,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(233,820)</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(201,943)</w:t>
            </w:r>
          </w:p>
        </w:tc>
        <w:tc>
          <w:tcPr>
            <w:tcW w:w="17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6188" w:type="dxa"/>
        <w:jc w:val="left"/>
        <w:tblInd w:w="0" w:type="dxa"/>
        <w:tblLayout w:type="fixed"/>
        <w:tblCellMar>
          <w:top w:w="28" w:type="dxa"/>
          <w:left w:w="28" w:type="dxa"/>
          <w:bottom w:w="28" w:type="dxa"/>
          <w:right w:w="28" w:type="dxa"/>
        </w:tblCellMar>
      </w:tblPr>
      <w:tblGrid>
        <w:gridCol w:w="1275"/>
        <w:gridCol w:w="1122"/>
        <w:gridCol w:w="1127"/>
        <w:gridCol w:w="211"/>
        <w:gridCol w:w="826"/>
        <w:gridCol w:w="109"/>
        <w:gridCol w:w="109"/>
        <w:gridCol w:w="109"/>
        <w:gridCol w:w="109"/>
        <w:gridCol w:w="211"/>
        <w:gridCol w:w="82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376"/>
        <w:gridCol w:w="1012"/>
        <w:gridCol w:w="962"/>
        <w:gridCol w:w="122"/>
        <w:gridCol w:w="122"/>
        <w:gridCol w:w="122"/>
        <w:gridCol w:w="236"/>
        <w:gridCol w:w="809"/>
        <w:gridCol w:w="122"/>
        <w:gridCol w:w="122"/>
        <w:gridCol w:w="122"/>
        <w:gridCol w:w="122"/>
        <w:gridCol w:w="236"/>
        <w:gridCol w:w="809"/>
        <w:gridCol w:w="122"/>
        <w:gridCol w:w="122"/>
        <w:gridCol w:w="122"/>
        <w:gridCol w:w="122"/>
        <w:gridCol w:w="236"/>
        <w:gridCol w:w="927"/>
        <w:gridCol w:w="122"/>
        <w:gridCol w:w="122"/>
        <w:gridCol w:w="122"/>
        <w:gridCol w:w="122"/>
        <w:gridCol w:w="236"/>
        <w:gridCol w:w="927"/>
        <w:gridCol w:w="122"/>
        <w:gridCol w:w="109"/>
        <w:gridCol w:w="109"/>
        <w:gridCol w:w="109"/>
        <w:gridCol w:w="160"/>
      </w:tblGrid>
      <w:tr>
        <w:trPr/>
        <w:tc>
          <w:tcPr>
            <w:tcW w:w="137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162,323 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revenue</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158,189 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MarketWise, Inc.</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27"/>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i/>
                <w:color w:val="000000"/>
                <w:sz w:val="12"/>
              </w:rPr>
              <w:t>(1)</w:t>
            </w:r>
            <w:r>
              <w:rPr>
                <w:color w:val="000000"/>
              </w:rPr>
              <w:t xml:space="preserve"> </w:t>
            </w:r>
            <w:r>
              <w:rPr>
                <w:rFonts w:ascii="Times New Roman;serif" w:hAnsi="Times New Roman;serif"/>
                <w:b w:val="false"/>
                <w:i/>
                <w:color w:val="000000"/>
                <w:sz w:val="18"/>
              </w:rPr>
              <w:t>Cost of revenue, sales and marketing, general and administrative, and research and development expenses are exclusive of depreciation and amortization shown as a separate line item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159" w:type="dxa"/>
        <w:jc w:val="left"/>
        <w:tblInd w:w="0" w:type="dxa"/>
        <w:tblLayout w:type="fixed"/>
        <w:tblCellMar>
          <w:top w:w="28" w:type="dxa"/>
          <w:left w:w="28" w:type="dxa"/>
          <w:bottom w:w="28" w:type="dxa"/>
          <w:right w:w="28" w:type="dxa"/>
        </w:tblCellMar>
      </w:tblPr>
      <w:tblGrid>
        <w:gridCol w:w="1095"/>
        <w:gridCol w:w="964"/>
        <w:gridCol w:w="970"/>
        <w:gridCol w:w="211"/>
        <w:gridCol w:w="691"/>
        <w:gridCol w:w="109"/>
        <w:gridCol w:w="109"/>
        <w:gridCol w:w="109"/>
        <w:gridCol w:w="109"/>
        <w:gridCol w:w="211"/>
        <w:gridCol w:w="721"/>
        <w:gridCol w:w="109"/>
        <w:gridCol w:w="109"/>
        <w:gridCol w:w="109"/>
        <w:gridCol w:w="109"/>
        <w:gridCol w:w="211"/>
        <w:gridCol w:w="691"/>
        <w:gridCol w:w="109"/>
        <w:gridCol w:w="109"/>
        <w:gridCol w:w="109"/>
        <w:gridCol w:w="109"/>
        <w:gridCol w:w="211"/>
        <w:gridCol w:w="721"/>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Stockholders’ Deficit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180"/>
        <w:jc w:val="left"/>
        <w:rPr/>
      </w:pPr>
      <w:r>
        <w:rPr/>
      </w:r>
    </w:p>
    <w:tbl>
      <w:tblPr>
        <w:tblW w:w="16666" w:type="dxa"/>
        <w:jc w:val="left"/>
        <w:tblInd w:w="0" w:type="dxa"/>
        <w:tblLayout w:type="fixed"/>
        <w:tblCellMar>
          <w:top w:w="28" w:type="dxa"/>
          <w:left w:w="28" w:type="dxa"/>
          <w:bottom w:w="28" w:type="dxa"/>
          <w:right w:w="28" w:type="dxa"/>
        </w:tblCellMar>
      </w:tblPr>
      <w:tblGrid>
        <w:gridCol w:w="786"/>
        <w:gridCol w:w="229"/>
        <w:gridCol w:w="231"/>
        <w:gridCol w:w="109"/>
        <w:gridCol w:w="109"/>
        <w:gridCol w:w="109"/>
        <w:gridCol w:w="435"/>
        <w:gridCol w:w="436"/>
        <w:gridCol w:w="211"/>
        <w:gridCol w:w="109"/>
        <w:gridCol w:w="109"/>
        <w:gridCol w:w="109"/>
        <w:gridCol w:w="236"/>
        <w:gridCol w:w="406"/>
        <w:gridCol w:w="109"/>
        <w:gridCol w:w="109"/>
        <w:gridCol w:w="109"/>
        <w:gridCol w:w="109"/>
        <w:gridCol w:w="480"/>
        <w:gridCol w:w="481"/>
        <w:gridCol w:w="211"/>
        <w:gridCol w:w="109"/>
        <w:gridCol w:w="109"/>
        <w:gridCol w:w="109"/>
        <w:gridCol w:w="333"/>
        <w:gridCol w:w="309"/>
        <w:gridCol w:w="109"/>
        <w:gridCol w:w="109"/>
        <w:gridCol w:w="109"/>
        <w:gridCol w:w="109"/>
        <w:gridCol w:w="109"/>
        <w:gridCol w:w="109"/>
        <w:gridCol w:w="931"/>
        <w:gridCol w:w="109"/>
        <w:gridCol w:w="269"/>
        <w:gridCol w:w="887"/>
        <w:gridCol w:w="150"/>
        <w:gridCol w:w="109"/>
        <w:gridCol w:w="109"/>
        <w:gridCol w:w="109"/>
        <w:gridCol w:w="347"/>
        <w:gridCol w:w="586"/>
        <w:gridCol w:w="193"/>
        <w:gridCol w:w="109"/>
        <w:gridCol w:w="109"/>
        <w:gridCol w:w="109"/>
        <w:gridCol w:w="217"/>
        <w:gridCol w:w="832"/>
        <w:gridCol w:w="122"/>
        <w:gridCol w:w="109"/>
        <w:gridCol w:w="109"/>
        <w:gridCol w:w="109"/>
        <w:gridCol w:w="255"/>
        <w:gridCol w:w="862"/>
        <w:gridCol w:w="144"/>
        <w:gridCol w:w="109"/>
        <w:gridCol w:w="109"/>
        <w:gridCol w:w="109"/>
        <w:gridCol w:w="217"/>
        <w:gridCol w:w="832"/>
        <w:gridCol w:w="122"/>
        <w:gridCol w:w="109"/>
        <w:gridCol w:w="109"/>
        <w:gridCol w:w="109"/>
        <w:gridCol w:w="196"/>
        <w:gridCol w:w="751"/>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142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April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2,533,780 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13,612,641 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(114,237)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(214,653)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withheld to pay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A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B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(520,867)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to Class A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per redemption of Class B shares for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deferred taxes due to change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2,666,908 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12,986,774 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81,395 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(114,866)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(33,450)</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(233,820)</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(267,270)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Stockholders’ Deficit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180"/>
        <w:jc w:val="left"/>
        <w:rPr/>
      </w:pPr>
      <w:r>
        <w:rPr/>
      </w:r>
    </w:p>
    <w:tbl>
      <w:tblPr>
        <w:tblW w:w="16666" w:type="dxa"/>
        <w:jc w:val="left"/>
        <w:tblInd w:w="0" w:type="dxa"/>
        <w:tblLayout w:type="fixed"/>
        <w:tblCellMar>
          <w:top w:w="28" w:type="dxa"/>
          <w:left w:w="28" w:type="dxa"/>
          <w:bottom w:w="28" w:type="dxa"/>
          <w:right w:w="28" w:type="dxa"/>
        </w:tblCellMar>
      </w:tblPr>
      <w:tblGrid>
        <w:gridCol w:w="786"/>
        <w:gridCol w:w="229"/>
        <w:gridCol w:w="231"/>
        <w:gridCol w:w="109"/>
        <w:gridCol w:w="109"/>
        <w:gridCol w:w="109"/>
        <w:gridCol w:w="435"/>
        <w:gridCol w:w="436"/>
        <w:gridCol w:w="211"/>
        <w:gridCol w:w="109"/>
        <w:gridCol w:w="109"/>
        <w:gridCol w:w="109"/>
        <w:gridCol w:w="236"/>
        <w:gridCol w:w="406"/>
        <w:gridCol w:w="109"/>
        <w:gridCol w:w="109"/>
        <w:gridCol w:w="109"/>
        <w:gridCol w:w="109"/>
        <w:gridCol w:w="480"/>
        <w:gridCol w:w="481"/>
        <w:gridCol w:w="211"/>
        <w:gridCol w:w="109"/>
        <w:gridCol w:w="109"/>
        <w:gridCol w:w="109"/>
        <w:gridCol w:w="333"/>
        <w:gridCol w:w="309"/>
        <w:gridCol w:w="109"/>
        <w:gridCol w:w="109"/>
        <w:gridCol w:w="109"/>
        <w:gridCol w:w="109"/>
        <w:gridCol w:w="931"/>
        <w:gridCol w:w="109"/>
        <w:gridCol w:w="109"/>
        <w:gridCol w:w="109"/>
        <w:gridCol w:w="245"/>
        <w:gridCol w:w="923"/>
        <w:gridCol w:w="138"/>
        <w:gridCol w:w="109"/>
        <w:gridCol w:w="109"/>
        <w:gridCol w:w="109"/>
        <w:gridCol w:w="347"/>
        <w:gridCol w:w="586"/>
        <w:gridCol w:w="193"/>
        <w:gridCol w:w="109"/>
        <w:gridCol w:w="109"/>
        <w:gridCol w:w="109"/>
        <w:gridCol w:w="217"/>
        <w:gridCol w:w="832"/>
        <w:gridCol w:w="122"/>
        <w:gridCol w:w="109"/>
        <w:gridCol w:w="109"/>
        <w:gridCol w:w="109"/>
        <w:gridCol w:w="255"/>
        <w:gridCol w:w="862"/>
        <w:gridCol w:w="144"/>
        <w:gridCol w:w="109"/>
        <w:gridCol w:w="109"/>
        <w:gridCol w:w="109"/>
        <w:gridCol w:w="217"/>
        <w:gridCol w:w="832"/>
        <w:gridCol w:w="122"/>
        <w:gridCol w:w="109"/>
        <w:gridCol w:w="109"/>
        <w:gridCol w:w="109"/>
        <w:gridCol w:w="196"/>
        <w:gridCol w:w="751"/>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142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April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2,320,003 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13,732,864 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102,531 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(118,394)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(201,925)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withheld to pay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A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to Class A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per redemption of Class B shares for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(120,223)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deferred taxes due to change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2,357,128 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13,612,641 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101,281 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(117,097)</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(15,759)</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(211,259)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Stockholders’ Deficit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7211" w:type="dxa"/>
        <w:jc w:val="left"/>
        <w:tblInd w:w="0" w:type="dxa"/>
        <w:tblLayout w:type="fixed"/>
        <w:tblCellMar>
          <w:top w:w="28" w:type="dxa"/>
          <w:left w:w="28" w:type="dxa"/>
          <w:bottom w:w="28" w:type="dxa"/>
          <w:right w:w="28" w:type="dxa"/>
        </w:tblCellMar>
      </w:tblPr>
      <w:tblGrid>
        <w:gridCol w:w="757"/>
        <w:gridCol w:w="244"/>
        <w:gridCol w:w="245"/>
        <w:gridCol w:w="109"/>
        <w:gridCol w:w="109"/>
        <w:gridCol w:w="109"/>
        <w:gridCol w:w="435"/>
        <w:gridCol w:w="436"/>
        <w:gridCol w:w="211"/>
        <w:gridCol w:w="109"/>
        <w:gridCol w:w="109"/>
        <w:gridCol w:w="109"/>
        <w:gridCol w:w="236"/>
        <w:gridCol w:w="406"/>
        <w:gridCol w:w="109"/>
        <w:gridCol w:w="109"/>
        <w:gridCol w:w="109"/>
        <w:gridCol w:w="109"/>
        <w:gridCol w:w="480"/>
        <w:gridCol w:w="481"/>
        <w:gridCol w:w="211"/>
        <w:gridCol w:w="109"/>
        <w:gridCol w:w="109"/>
        <w:gridCol w:w="109"/>
        <w:gridCol w:w="333"/>
        <w:gridCol w:w="309"/>
        <w:gridCol w:w="109"/>
        <w:gridCol w:w="109"/>
        <w:gridCol w:w="109"/>
        <w:gridCol w:w="109"/>
        <w:gridCol w:w="109"/>
        <w:gridCol w:w="109"/>
        <w:gridCol w:w="931"/>
        <w:gridCol w:w="109"/>
        <w:gridCol w:w="269"/>
        <w:gridCol w:w="887"/>
        <w:gridCol w:w="150"/>
        <w:gridCol w:w="109"/>
        <w:gridCol w:w="109"/>
        <w:gridCol w:w="109"/>
        <w:gridCol w:w="347"/>
        <w:gridCol w:w="586"/>
        <w:gridCol w:w="193"/>
        <w:gridCol w:w="109"/>
        <w:gridCol w:w="109"/>
        <w:gridCol w:w="109"/>
        <w:gridCol w:w="217"/>
        <w:gridCol w:w="832"/>
        <w:gridCol w:w="122"/>
        <w:gridCol w:w="109"/>
        <w:gridCol w:w="109"/>
        <w:gridCol w:w="109"/>
        <w:gridCol w:w="255"/>
        <w:gridCol w:w="862"/>
        <w:gridCol w:w="144"/>
        <w:gridCol w:w="109"/>
        <w:gridCol w:w="109"/>
        <w:gridCol w:w="109"/>
        <w:gridCol w:w="217"/>
        <w:gridCol w:w="832"/>
        <w:gridCol w:w="122"/>
        <w:gridCol w:w="109"/>
        <w:gridCol w:w="109"/>
        <w:gridCol w:w="109"/>
        <w:gridCol w:w="196"/>
        <w:gridCol w:w="751"/>
        <w:gridCol w:w="109"/>
        <w:gridCol w:w="109"/>
        <w:gridCol w:w="109"/>
        <w:gridCol w:w="109"/>
        <w:gridCol w:w="109"/>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2,445,010 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13,612,641 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101,945 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(113,664)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(201,943)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withheld to pay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A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B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(520,867)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to Class A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(40,362)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per redemption of Class B shares for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deferred taxes due to change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2,666,908 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12,986,774 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81,395 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(114,866)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(33,450)</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(233,820)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Stockholders’ Deficit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6666" w:type="dxa"/>
        <w:jc w:val="left"/>
        <w:tblInd w:w="0" w:type="dxa"/>
        <w:tblLayout w:type="fixed"/>
        <w:tblCellMar>
          <w:top w:w="28" w:type="dxa"/>
          <w:left w:w="28" w:type="dxa"/>
          <w:bottom w:w="28" w:type="dxa"/>
          <w:right w:w="28" w:type="dxa"/>
        </w:tblCellMar>
      </w:tblPr>
      <w:tblGrid>
        <w:gridCol w:w="757"/>
        <w:gridCol w:w="244"/>
        <w:gridCol w:w="245"/>
        <w:gridCol w:w="109"/>
        <w:gridCol w:w="109"/>
        <w:gridCol w:w="109"/>
        <w:gridCol w:w="435"/>
        <w:gridCol w:w="436"/>
        <w:gridCol w:w="211"/>
        <w:gridCol w:w="109"/>
        <w:gridCol w:w="109"/>
        <w:gridCol w:w="109"/>
        <w:gridCol w:w="236"/>
        <w:gridCol w:w="406"/>
        <w:gridCol w:w="109"/>
        <w:gridCol w:w="109"/>
        <w:gridCol w:w="109"/>
        <w:gridCol w:w="109"/>
        <w:gridCol w:w="480"/>
        <w:gridCol w:w="481"/>
        <w:gridCol w:w="211"/>
        <w:gridCol w:w="109"/>
        <w:gridCol w:w="109"/>
        <w:gridCol w:w="109"/>
        <w:gridCol w:w="333"/>
        <w:gridCol w:w="309"/>
        <w:gridCol w:w="109"/>
        <w:gridCol w:w="109"/>
        <w:gridCol w:w="109"/>
        <w:gridCol w:w="109"/>
        <w:gridCol w:w="109"/>
        <w:gridCol w:w="109"/>
        <w:gridCol w:w="931"/>
        <w:gridCol w:w="109"/>
        <w:gridCol w:w="245"/>
        <w:gridCol w:w="923"/>
        <w:gridCol w:w="138"/>
        <w:gridCol w:w="109"/>
        <w:gridCol w:w="109"/>
        <w:gridCol w:w="109"/>
        <w:gridCol w:w="347"/>
        <w:gridCol w:w="586"/>
        <w:gridCol w:w="193"/>
        <w:gridCol w:w="109"/>
        <w:gridCol w:w="109"/>
        <w:gridCol w:w="109"/>
        <w:gridCol w:w="217"/>
        <w:gridCol w:w="832"/>
        <w:gridCol w:w="122"/>
        <w:gridCol w:w="109"/>
        <w:gridCol w:w="109"/>
        <w:gridCol w:w="109"/>
        <w:gridCol w:w="255"/>
        <w:gridCol w:w="862"/>
        <w:gridCol w:w="144"/>
        <w:gridCol w:w="109"/>
        <w:gridCol w:w="109"/>
        <w:gridCol w:w="109"/>
        <w:gridCol w:w="217"/>
        <w:gridCol w:w="832"/>
        <w:gridCol w:w="122"/>
        <w:gridCol w:w="109"/>
        <w:gridCol w:w="109"/>
        <w:gridCol w:w="109"/>
        <w:gridCol w:w="196"/>
        <w:gridCol w:w="751"/>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142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1,978,013 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13,994,498 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106,691 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(119,284)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(205,388)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withheld to pay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A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to Class A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per redemption of Class B shares for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(381,857)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deferred taxes due to change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2,357,128 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13,612,641 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101,281 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(117,097)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(211,259)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 (Unaudited)</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9654" w:type="dxa"/>
        <w:jc w:val="left"/>
        <w:tblInd w:w="0" w:type="dxa"/>
        <w:tblLayout w:type="fixed"/>
        <w:tblCellMar>
          <w:top w:w="28" w:type="dxa"/>
          <w:left w:w="28" w:type="dxa"/>
          <w:bottom w:w="28" w:type="dxa"/>
          <w:right w:w="28" w:type="dxa"/>
        </w:tblCellMar>
      </w:tblPr>
      <w:tblGrid>
        <w:gridCol w:w="2609"/>
        <w:gridCol w:w="2288"/>
        <w:gridCol w:w="2303"/>
        <w:gridCol w:w="211"/>
        <w:gridCol w:w="721"/>
        <w:gridCol w:w="109"/>
        <w:gridCol w:w="109"/>
        <w:gridCol w:w="109"/>
        <w:gridCol w:w="109"/>
        <w:gridCol w:w="211"/>
        <w:gridCol w:w="721"/>
        <w:gridCol w:w="154"/>
      </w:tblGrid>
      <w:tr>
        <w:trPr/>
        <w:tc>
          <w:tcPr>
            <w:tcW w:w="2609"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foreign currency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receivables and payables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withheld to pay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Class A shareholders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and reduction in related TRA liability as part of legal settlement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distributions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distributions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Description of Business and Basis of Presentation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operate multiple subsidiaries in the United States from our headquarters in Baltimore, Maryland.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80"/>
        <w:jc w:val="left"/>
        <w:rPr/>
      </w:pPr>
      <w:r>
        <w:rPr>
          <w:rFonts w:ascii="Times New Roman;serif" w:hAnsi="Times New Roman;serif"/>
          <w:b w:val="false"/>
          <w:color w:val="000000"/>
          <w:sz w:val="20"/>
        </w:rPr>
        <w:t xml:space="preserve">The Company's significant accounting policies are set forth in </w:t>
      </w:r>
      <w:r>
        <w:rPr>
          <w:rFonts w:ascii="Times New Roman;serif" w:hAnsi="Times New Roman;serif"/>
          <w:b w:val="false"/>
          <w:i/>
          <w:color w:val="000000"/>
          <w:sz w:val="20"/>
        </w:rPr>
        <w:t>Note 2 – Summary of Significant Accounting Policies</w:t>
      </w:r>
      <w:r>
        <w:rPr>
          <w:color w:val="000000"/>
        </w:rPr>
        <w:t xml:space="preserve"> </w:t>
      </w:r>
      <w:r>
        <w:rPr>
          <w:rFonts w:ascii="Times New Roman;serif" w:hAnsi="Times New Roman;serif"/>
          <w:b w:val="false"/>
          <w:color w:val="000000"/>
          <w:sz w:val="20"/>
        </w:rPr>
        <w:t xml:space="preserve">in our Annual Report on Form 10-K for the fiscal year ended December 31, 2025.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include the accounts of MarketWise, Inc. and its subsidiary, MarketWise, LLC, a variable interest entity (“VIE”) for which MarketWise, Inc. is deemed to be the primary beneficiary.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condensed consolidated financial statements (“financial statements”). As of June 30, 2026 and as of December 31, 2025, MarketWise, Inc. had a 17.0% and 15.2% ownership interest in MarketWise, LLC,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MarketWise, LLC is the primary beneficiary of a VIE, and therefore, the assets, liabilities, and results of operations of that VIE are included in the Company’s condensed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have been prepared in accordance with accounting principles generally accepted in the United States of America (“GAAP”). All intercompany balances and transactions have been eliminated in consolidation.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financial statements and the related footnote disclosures have been prepared by us in accordance with GAAP for interim financial reporting and as required by Rule 10-01 of Regulation S-X. Accordingly, the unaudited financial statements may not include all of the information and notes required by GAAP for audited financial statements. The year-end December 31, 2025 consolidated balance sheet data included herein was derived from audited financial statements but does not include all disclosures required by GAAP for complete financial statements. In the opinion of management, the accompanying unaudited financial statements contain all adjustments, consisting of items of a normal and recurring nature, necessary to present fairly our financial position as of June 30, 2026, the results of operations, comprehensive (loss) income, stockholders’ deficit, and cash flows for the three and six months ended June 30, 2026 and 2025. The results of operations for the three and six months ended June 30, 2026 and 2025 are not necessarily indicative of the results to be expected for the full year. The information contained herein should be read in conjunction with the audited financial statements included in our Annual Report on Form 10-K for the year ended December 31, 2025 filed with the SEC. Management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of issuance of these condensed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Significant estimates and assumptions made in the accompanying financial statements include, but are not limited to, the fair value of common units, estimates of the Tax Receivable Agreement liability, useful lives of intangible assets with definite lives, benefit period of deferred contract acquisition costs, determination of standalone selling prices, estimated life of lifetime customers, recoverability of goodwill and long-lived assets, valuation allowances on 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as of April 2, 2025, the Company effected a reverse stock split (the “Reverse Stock Split”) of the Company’s shares of Class A and Class B common stock at a ratio of 1-for-20 as approved by the Company’s Board of Directors (the “Board”) and stockholders.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Reverse Stock Split proportionately decreased the number of shares of common stock authorized under the Company’s Certificate of Incorporation. The number of shares of authorized Class A common stock was reduced from 950,000,000 shares to 47,500,000 shares and the number of shares of authorized Class B common stock was reduced from 300,000,000 shares to 15,000,000 shares. The number of authorized shares of preferred stock remained unchanged.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Proportional adjustments were made to (i) the per share exercise price and number of shares issuable upon the exercise of outstanding equity awards, including Sponsor Earnout Shares and Management Earnout Shares (as defined and discussed in our Current Report on Form 8-K filed with the SEC on July 28, 2021); and (ii) the number of shares reserved for issuance pursuant to the Company’s equity incentive plan and employee stock purchase plan.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fractional shares were issued in connection with the Reverse Stock Split. Holders of fractional shares as a result of the Reverse Stock Split were paid in cash, with reference to the closing price of the Company’s common stock on April 2, 2025 (adjusted to give effect to the reverse stock split), without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and notes to the condensed consolidated financial statements give retroactive effect to the Reverse Stock Split for all periods presented, unless otherwise specified.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Noncontrolling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Noncontrolling interest represents the Company’s noncontrolling interest in consolidated subsidiaries which are not attributable, directly or indirectly, to the controlling Class A common stock ownership of the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and six months ended June 30, 2026 and 2025 was attributable to consolidated MarketWise, Inc. and its respective noncontrolling interests.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MarketWise, Inc.’s controlling interest in MarketWise, LLC was 17.0% and the noncontrolling interest was 83.0%. For the three months ended June 30, 2026, net income attributable to controlling interests included a $156 thousand tax benefit, and for six months ended June 30, 2026, net income attributable to controlling interests included a $94 thousand tax benefit, both of which were 100% attributable to the controlling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MarketWise, Inc.’s controlling interest in MarketWise, LLC was 14.8% and the noncontrolling interest was 85.2%. For the three months ended June 30, 2025, net income attributable to controlling interests included a $613 thousand tax provision, and for the six months ended June 30, 2025, net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attributable to controlling interests included a $1.7 million tax provision, both of which were 100% attributable to the controlling interest.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Accounting Standards Issued But Not Yet Adopted</w:t>
      </w:r>
    </w:p>
    <w:p>
      <w:pPr>
        <w:pStyle w:val="TextBody"/>
        <w:bidi w:val="0"/>
        <w:spacing w:lineRule="auto" w:line="288" w:before="0" w:after="180"/>
        <w:jc w:val="left"/>
        <w:rPr/>
      </w:pPr>
      <w:r>
        <w:rPr>
          <w:rFonts w:ascii="Times New Roman;serif" w:hAnsi="Times New Roman;serif"/>
          <w:b w:val="false"/>
          <w:color w:val="000000"/>
          <w:sz w:val="20"/>
        </w:rPr>
        <w:t xml:space="preserve">In December 2025, the FASB issued ASU 2025-11 to amend the guidance in </w:t>
      </w:r>
      <w:r>
        <w:rPr>
          <w:rFonts w:ascii="Times New Roman;serif" w:hAnsi="Times New Roman;serif"/>
          <w:b w:val="false"/>
          <w:i/>
          <w:color w:val="000000"/>
          <w:sz w:val="20"/>
        </w:rPr>
        <w:t>Interim Reporting (Topic 270)</w:t>
      </w:r>
      <w:r>
        <w:rPr>
          <w:rFonts w:ascii="Times New Roman;serif" w:hAnsi="Times New Roman;serif"/>
          <w:b w:val="false"/>
          <w:color w:val="000000"/>
          <w:sz w:val="20"/>
        </w:rPr>
        <w:t>.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w:t>
      </w:r>
    </w:p>
    <w:p>
      <w:pPr>
        <w:pStyle w:val="TextBody"/>
        <w:bidi w:val="0"/>
        <w:spacing w:lineRule="auto" w:line="288" w:before="0" w:after="180"/>
        <w:jc w:val="left"/>
        <w:rPr/>
      </w:pPr>
      <w:r>
        <w:rPr>
          <w:rFonts w:ascii="Times New Roman;serif" w:hAnsi="Times New Roman;serif"/>
          <w:b w:val="false"/>
          <w:color w:val="000000"/>
          <w:sz w:val="20"/>
        </w:rPr>
        <w:t xml:space="preserve">In September 2025, FASB issued ASU 2025-06, </w:t>
      </w:r>
      <w:r>
        <w:rPr>
          <w:rFonts w:ascii="Times New Roman;serif" w:hAnsi="Times New Roman;serif"/>
          <w:b w:val="false"/>
          <w:i/>
          <w:color w:val="000000"/>
          <w:sz w:val="20"/>
        </w:rPr>
        <w:t>Intangibles—Goodwill and Other—Internal Use Software (Subtopic 350-40): Targeted Improvements to the Accounting for Internal-Use Software</w:t>
      </w:r>
      <w:r>
        <w:rPr>
          <w:rFonts w:ascii="Times New Roman;serif" w:hAnsi="Times New Roman;serif"/>
          <w:b w:val="false"/>
          <w:color w:val="000000"/>
          <w:sz w:val="20"/>
        </w:rPr>
        <w:t xml:space="preserve">. The amendments revise the capitalization criteria for internal-use software costs and eliminate stage-based development guidance. The update is effective for fiscal years beginning after December 15, 2027, with early adoption permitted. </w:t>
      </w:r>
    </w:p>
    <w:p>
      <w:pPr>
        <w:pStyle w:val="TextBody"/>
        <w:bidi w:val="0"/>
        <w:spacing w:lineRule="auto" w:line="288" w:before="0" w:after="180"/>
        <w:jc w:val="left"/>
        <w:rPr/>
      </w:pPr>
      <w:r>
        <w:rPr>
          <w:rFonts w:ascii="Times New Roman;serif" w:hAnsi="Times New Roman;serif"/>
          <w:b w:val="false"/>
          <w:color w:val="000000"/>
          <w:sz w:val="20"/>
        </w:rPr>
        <w:t>In November 2024, the FASB issued ASU 2024</w:t>
        <w:noBreakHyphen/>
        <w:t xml:space="preserve">03, </w:t>
      </w:r>
      <w:r>
        <w:rPr>
          <w:rFonts w:ascii="Times New Roman;serif" w:hAnsi="Times New Roman;serif"/>
          <w:b w:val="false"/>
          <w:i/>
          <w:color w:val="000000"/>
          <w:sz w:val="20"/>
        </w:rPr>
        <w:t>Income Statement - Reporting Comprehensive Income - Expense Disaggregation Disclosure (Subtopic 220</w:t>
        <w:noBreakHyphen/>
        <w:t xml:space="preserve">40): Disaggregation of Income Statement Expenses.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 xml:space="preserve">ASU requires public business entities to provide enhanced disclosures disaggregating certain income statement expense captions by natural expense category. The amendments do not change the recognition, measurement, or presentation of expenses on the face of the income statement, but instead require additional tabular disclosures in the notes to the financial statements. The required disclosures include, as applicable, disaggregation of relevant expense captions into prescribed categories such as employee compensation, depreciation, and amortization. The update is effective for fiscal years beginning after December 15, 2026, with early adoption permitted.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is currently evaluating the impact of adopting these standards on its disclosures and related processes and controls. Adoption is not expected to have a material impact on the Company’s condensed consolidated financial statements. The Company plans to adopt these standards when they become effective, and have no plans for early adoption.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presented within financing activities in the Condensed Consolidated Statements of Cash Flows have been reclassified to conform with the current period presentation. Specifically, the Company began separately presenting “tax distributions to noncontrolling interests” and “other distributions to noncontrolling interests” during the nine months ended September 30, 2025, which were previously combined as “distributions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Disaggregation of revenues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depicts the disaggregation of revenue according to customer type and is consistent with how we evaluate our financial performance. We believe this depicts how the nature, amount, timing and uncertainty of revenue and cash flows are affected by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tbl>
      <w:tblPr>
        <w:tblW w:w="10205" w:type="dxa"/>
        <w:jc w:val="left"/>
        <w:tblInd w:w="0" w:type="dxa"/>
        <w:tblLayout w:type="fixed"/>
        <w:tblCellMar>
          <w:top w:w="28" w:type="dxa"/>
          <w:left w:w="28" w:type="dxa"/>
          <w:bottom w:w="28" w:type="dxa"/>
          <w:right w:w="28" w:type="dxa"/>
        </w:tblCellMar>
      </w:tblPr>
      <w:tblGrid>
        <w:gridCol w:w="797"/>
        <w:gridCol w:w="615"/>
        <w:gridCol w:w="621"/>
        <w:gridCol w:w="216"/>
        <w:gridCol w:w="738"/>
        <w:gridCol w:w="112"/>
        <w:gridCol w:w="109"/>
        <w:gridCol w:w="109"/>
        <w:gridCol w:w="109"/>
        <w:gridCol w:w="274"/>
        <w:gridCol w:w="529"/>
        <w:gridCol w:w="143"/>
        <w:gridCol w:w="109"/>
        <w:gridCol w:w="109"/>
        <w:gridCol w:w="109"/>
        <w:gridCol w:w="509"/>
        <w:gridCol w:w="1125"/>
        <w:gridCol w:w="262"/>
        <w:gridCol w:w="109"/>
        <w:gridCol w:w="109"/>
        <w:gridCol w:w="109"/>
        <w:gridCol w:w="542"/>
        <w:gridCol w:w="1043"/>
        <w:gridCol w:w="280"/>
        <w:gridCol w:w="109"/>
        <w:gridCol w:w="109"/>
        <w:gridCol w:w="109"/>
        <w:gridCol w:w="211"/>
        <w:gridCol w:w="721"/>
        <w:gridCol w:w="159"/>
      </w:tblGrid>
      <w:tr>
        <w:trPr/>
        <w:tc>
          <w:tcPr>
            <w:tcW w:w="79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 of transfer:</w:t>
            </w:r>
          </w:p>
        </w:tc>
        <w:tc>
          <w:tcPr>
            <w:tcW w:w="8172"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 of transfer:</w:t>
            </w:r>
          </w:p>
        </w:tc>
        <w:tc>
          <w:tcPr>
            <w:tcW w:w="8172"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9"/>
        <w:gridCol w:w="584"/>
        <w:gridCol w:w="590"/>
        <w:gridCol w:w="211"/>
        <w:gridCol w:w="826"/>
        <w:gridCol w:w="109"/>
        <w:gridCol w:w="109"/>
        <w:gridCol w:w="109"/>
        <w:gridCol w:w="109"/>
        <w:gridCol w:w="274"/>
        <w:gridCol w:w="529"/>
        <w:gridCol w:w="143"/>
        <w:gridCol w:w="109"/>
        <w:gridCol w:w="109"/>
        <w:gridCol w:w="109"/>
        <w:gridCol w:w="419"/>
        <w:gridCol w:w="1224"/>
        <w:gridCol w:w="216"/>
        <w:gridCol w:w="109"/>
        <w:gridCol w:w="109"/>
        <w:gridCol w:w="109"/>
        <w:gridCol w:w="482"/>
        <w:gridCol w:w="1067"/>
        <w:gridCol w:w="249"/>
        <w:gridCol w:w="109"/>
        <w:gridCol w:w="109"/>
        <w:gridCol w:w="109"/>
        <w:gridCol w:w="211"/>
        <w:gridCol w:w="826"/>
        <w:gridCol w:w="158"/>
      </w:tblGrid>
      <w:tr>
        <w:trPr/>
        <w:tc>
          <w:tcPr>
            <w:tcW w:w="77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 of transfer:</w:t>
            </w:r>
          </w:p>
        </w:tc>
        <w:tc>
          <w:tcPr>
            <w:tcW w:w="8252"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 of transfer:</w:t>
            </w:r>
          </w:p>
        </w:tc>
        <w:tc>
          <w:tcPr>
            <w:tcW w:w="8252"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recognition by subscription type was as follows:</w:t>
      </w:r>
    </w:p>
    <w:tbl>
      <w:tblPr>
        <w:tblW w:w="8100" w:type="dxa"/>
        <w:jc w:val="left"/>
        <w:tblInd w:w="0" w:type="dxa"/>
        <w:tblLayout w:type="fixed"/>
        <w:tblCellMar>
          <w:top w:w="28" w:type="dxa"/>
          <w:left w:w="28" w:type="dxa"/>
          <w:bottom w:w="28" w:type="dxa"/>
          <w:right w:w="28" w:type="dxa"/>
        </w:tblCellMar>
      </w:tblPr>
      <w:tblGrid>
        <w:gridCol w:w="820"/>
        <w:gridCol w:w="720"/>
        <w:gridCol w:w="72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Membership 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subscriptions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for the Membership and Term subscription types are determined based on the terms of the subscription agreements. Non-subscription revenue consists of revenue from advertising and other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cash collections and refunds affects the recognition of accounts receivable, contract assets and deferred revenue. Our current deferred revenue balance in the condensed consolidated balance sheets includes an obligation for refunds for contracts where the provision for refund has not lapsed. Accounts receivable, deferred revenue and obligation for refunds are as follows:</w:t>
      </w:r>
    </w:p>
    <w:tbl>
      <w:tblPr>
        <w:tblW w:w="5657" w:type="dxa"/>
        <w:jc w:val="left"/>
        <w:tblInd w:w="0" w:type="dxa"/>
        <w:tblLayout w:type="fixed"/>
        <w:tblCellMar>
          <w:top w:w="28" w:type="dxa"/>
          <w:left w:w="28" w:type="dxa"/>
          <w:bottom w:w="28" w:type="dxa"/>
          <w:right w:w="28" w:type="dxa"/>
        </w:tblCellMar>
      </w:tblPr>
      <w:tblGrid>
        <w:gridCol w:w="956"/>
        <w:gridCol w:w="840"/>
        <w:gridCol w:w="844"/>
        <w:gridCol w:w="211"/>
        <w:gridCol w:w="826"/>
        <w:gridCol w:w="109"/>
        <w:gridCol w:w="109"/>
        <w:gridCol w:w="109"/>
        <w:gridCol w:w="109"/>
        <w:gridCol w:w="273"/>
        <w:gridCol w:w="1072"/>
        <w:gridCol w:w="19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balances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for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182,282 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non-current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recognized $51.1 million and $59.2 million of revenue during the three months ended June 30, 2026 and 2025, respectively, and $114.5 million and $130.1 million during the six months ended June 30, 2026 and 2025 that was included within the beginning contract liability balance of the respective periods. The Company has collected all amounts included in deferred revenue other than $3.1 million and $5.7 million as of June 30, 2026 and December 31, 2025, respectively, related to the timing of cash settlement with our credit card processor.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Assets Recognized from Costs to Obtain a Contract with a Customer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opening and closing balances of our capitalized costs associated with contracts with customers:</w:t>
      </w:r>
    </w:p>
    <w:tbl>
      <w:tblPr>
        <w:tblW w:w="4730" w:type="dxa"/>
        <w:jc w:val="left"/>
        <w:tblInd w:w="0" w:type="dxa"/>
        <w:tblLayout w:type="fixed"/>
        <w:tblCellMar>
          <w:top w:w="28" w:type="dxa"/>
          <w:left w:w="28" w:type="dxa"/>
          <w:bottom w:w="28" w:type="dxa"/>
          <w:right w:w="28" w:type="dxa"/>
        </w:tblCellMar>
      </w:tblPr>
      <w:tblGrid>
        <w:gridCol w:w="1321"/>
        <w:gridCol w:w="1157"/>
        <w:gridCol w:w="1166"/>
        <w:gridCol w:w="211"/>
        <w:gridCol w:w="721"/>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sales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and cost per acquisition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did not recognize any impairment on capitalized costs associated with contracts with customers for the three and six months ended June 30, 2026 and 2025. Amortization of capitalized costs is included within sales and marketing on the condensed consolidated statements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$386.8 million of remaining performance obligations presented as deferred revenue in the condensed consolidated balance sheets. We expect to recognize approximately 50% of that amount as revenues over the next twelve months, with the remainder recognized thereafter.</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Goodwill and Intangible Assets, Net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carrying amounts of goodwill are as follows:</w:t>
      </w:r>
    </w:p>
    <w:tbl>
      <w:tblPr>
        <w:tblW w:w="3395" w:type="dxa"/>
        <w:jc w:val="left"/>
        <w:tblInd w:w="0" w:type="dxa"/>
        <w:tblLayout w:type="fixed"/>
        <w:tblCellMar>
          <w:top w:w="28" w:type="dxa"/>
          <w:left w:w="28" w:type="dxa"/>
          <w:bottom w:w="28" w:type="dxa"/>
          <w:right w:w="28" w:type="dxa"/>
        </w:tblCellMar>
      </w:tblPr>
      <w:tblGrid>
        <w:gridCol w:w="837"/>
        <w:gridCol w:w="733"/>
        <w:gridCol w:w="73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 as of the dates indicated:</w:t>
      </w:r>
    </w:p>
    <w:tbl>
      <w:tblPr>
        <w:tblW w:w="10205" w:type="dxa"/>
        <w:jc w:val="left"/>
        <w:tblInd w:w="0" w:type="dxa"/>
        <w:tblLayout w:type="fixed"/>
        <w:tblCellMar>
          <w:top w:w="28" w:type="dxa"/>
          <w:left w:w="28" w:type="dxa"/>
          <w:bottom w:w="28" w:type="dxa"/>
          <w:right w:w="28" w:type="dxa"/>
        </w:tblCellMar>
      </w:tblPr>
      <w:tblGrid>
        <w:gridCol w:w="997"/>
        <w:gridCol w:w="760"/>
        <w:gridCol w:w="764"/>
        <w:gridCol w:w="211"/>
        <w:gridCol w:w="721"/>
        <w:gridCol w:w="109"/>
        <w:gridCol w:w="109"/>
        <w:gridCol w:w="109"/>
        <w:gridCol w:w="109"/>
        <w:gridCol w:w="315"/>
        <w:gridCol w:w="1174"/>
        <w:gridCol w:w="162"/>
        <w:gridCol w:w="109"/>
        <w:gridCol w:w="109"/>
        <w:gridCol w:w="109"/>
        <w:gridCol w:w="250"/>
        <w:gridCol w:w="733"/>
        <w:gridCol w:w="129"/>
        <w:gridCol w:w="109"/>
        <w:gridCol w:w="109"/>
        <w:gridCol w:w="109"/>
        <w:gridCol w:w="847"/>
        <w:gridCol w:w="847"/>
        <w:gridCol w:w="1205"/>
      </w:tblGrid>
      <w:tr>
        <w:trPr/>
        <w:tc>
          <w:tcPr>
            <w:tcW w:w="99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 (in years)</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domain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(20,746)</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7"/>
        <w:gridCol w:w="760"/>
        <w:gridCol w:w="764"/>
        <w:gridCol w:w="211"/>
        <w:gridCol w:w="721"/>
        <w:gridCol w:w="109"/>
        <w:gridCol w:w="109"/>
        <w:gridCol w:w="109"/>
        <w:gridCol w:w="109"/>
        <w:gridCol w:w="315"/>
        <w:gridCol w:w="1174"/>
        <w:gridCol w:w="162"/>
        <w:gridCol w:w="109"/>
        <w:gridCol w:w="109"/>
        <w:gridCol w:w="109"/>
        <w:gridCol w:w="250"/>
        <w:gridCol w:w="733"/>
        <w:gridCol w:w="129"/>
        <w:gridCol w:w="109"/>
        <w:gridCol w:w="109"/>
        <w:gridCol w:w="109"/>
        <w:gridCol w:w="847"/>
        <w:gridCol w:w="847"/>
        <w:gridCol w:w="1205"/>
      </w:tblGrid>
      <w:tr>
        <w:trPr/>
        <w:tc>
          <w:tcPr>
            <w:tcW w:w="99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 (in years)</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domain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recorded amortization expense related to finite-lived intangible assets of $527 thousand and $473 thousand for the three months ended June 30, 2026 and 2025, respectively, and $1.0 million and $949 thousand for the six months ended June 30, 2026 and 2025, respectively, within depreciation and amortization in the accompanying condensed consolidated statement of operations. These amounts include amortization of capitalized software development costs of $346 thousand and $218 thousand for the three months ended June 30, 2026 and 2025, respectively, and $614 thousand and $443 thousand for the six months ended June 30, 2026 and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recorded additions to capitalized software development costs of $863 thousand and $204 thousand for the three months ended June 30, 2026 and 2025, respectively, and $992 thousand and $398 thousand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expected future amortization expense for finite-lived intangible assets is as follows: </w:t>
      </w:r>
    </w:p>
    <w:tbl>
      <w:tblPr>
        <w:tblW w:w="3800" w:type="dxa"/>
        <w:jc w:val="left"/>
        <w:tblInd w:w="0" w:type="dxa"/>
        <w:tblLayout w:type="fixed"/>
        <w:tblCellMar>
          <w:top w:w="28" w:type="dxa"/>
          <w:left w:w="28" w:type="dxa"/>
          <w:bottom w:w="28" w:type="dxa"/>
          <w:right w:w="28" w:type="dxa"/>
        </w:tblCellMar>
      </w:tblPr>
      <w:tblGrid>
        <w:gridCol w:w="1020"/>
        <w:gridCol w:w="896"/>
        <w:gridCol w:w="903"/>
        <w:gridCol w:w="211"/>
        <w:gridCol w:w="61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5.    Fair Value Measurements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our financial assets and liabilities measured at fair value on a recurring basis by level within the fair value hierarchy as of the dates indicated: </w:t>
      </w:r>
    </w:p>
    <w:tbl>
      <w:tblPr>
        <w:tblW w:w="8513" w:type="dxa"/>
        <w:jc w:val="left"/>
        <w:tblInd w:w="0" w:type="dxa"/>
        <w:tblLayout w:type="fixed"/>
        <w:tblCellMar>
          <w:top w:w="28" w:type="dxa"/>
          <w:left w:w="28" w:type="dxa"/>
          <w:bottom w:w="28" w:type="dxa"/>
          <w:right w:w="28" w:type="dxa"/>
        </w:tblCellMar>
      </w:tblPr>
      <w:tblGrid>
        <w:gridCol w:w="1116"/>
        <w:gridCol w:w="980"/>
        <w:gridCol w:w="994"/>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338"/>
        <w:gridCol w:w="1155"/>
        <w:gridCol w:w="246"/>
      </w:tblGrid>
      <w:tr>
        <w:trPr/>
        <w:tc>
          <w:tcPr>
            <w:tcW w:w="1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5423"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28,615 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5423"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13" w:type="dxa"/>
        <w:jc w:val="left"/>
        <w:tblInd w:w="0" w:type="dxa"/>
        <w:tblLayout w:type="fixed"/>
        <w:tblCellMar>
          <w:top w:w="28" w:type="dxa"/>
          <w:left w:w="28" w:type="dxa"/>
          <w:bottom w:w="28" w:type="dxa"/>
          <w:right w:w="28" w:type="dxa"/>
        </w:tblCellMar>
      </w:tblPr>
      <w:tblGrid>
        <w:gridCol w:w="1116"/>
        <w:gridCol w:w="980"/>
        <w:gridCol w:w="994"/>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338"/>
        <w:gridCol w:w="1155"/>
        <w:gridCol w:w="246"/>
      </w:tblGrid>
      <w:tr>
        <w:trPr/>
        <w:tc>
          <w:tcPr>
            <w:tcW w:w="1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5423"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66,381 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5423"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level 3 assets relate to contingent consideration receivables primarily from a related party associated with the sale of brands disposed as part of the Legacy Reorganization, the Buttonwood Publishing sale. The level 3 liabilities relate to profits interests, which are presented in other liabilities, noncurrent on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fair value of the recurring Level 3 fair value measurements during the six months ended June 30, 2026:</w:t>
      </w:r>
    </w:p>
    <w:tbl>
      <w:tblPr>
        <w:tblW w:w="10205" w:type="dxa"/>
        <w:jc w:val="left"/>
        <w:tblInd w:w="0" w:type="dxa"/>
        <w:tblLayout w:type="fixed"/>
        <w:tblCellMar>
          <w:top w:w="28" w:type="dxa"/>
          <w:left w:w="28" w:type="dxa"/>
          <w:bottom w:w="28" w:type="dxa"/>
          <w:right w:w="28" w:type="dxa"/>
        </w:tblCellMar>
      </w:tblPr>
      <w:tblGrid>
        <w:gridCol w:w="605"/>
        <w:gridCol w:w="531"/>
        <w:gridCol w:w="534"/>
        <w:gridCol w:w="1067"/>
        <w:gridCol w:w="807"/>
        <w:gridCol w:w="810"/>
        <w:gridCol w:w="109"/>
        <w:gridCol w:w="109"/>
        <w:gridCol w:w="109"/>
        <w:gridCol w:w="536"/>
        <w:gridCol w:w="920"/>
        <w:gridCol w:w="279"/>
        <w:gridCol w:w="109"/>
        <w:gridCol w:w="109"/>
        <w:gridCol w:w="109"/>
        <w:gridCol w:w="320"/>
        <w:gridCol w:w="935"/>
        <w:gridCol w:w="165"/>
        <w:gridCol w:w="109"/>
        <w:gridCol w:w="109"/>
        <w:gridCol w:w="109"/>
        <w:gridCol w:w="467"/>
        <w:gridCol w:w="898"/>
        <w:gridCol w:w="350"/>
      </w:tblGrid>
      <w:tr>
        <w:trPr/>
        <w:tc>
          <w:tcPr>
            <w:tcW w:w="6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3 Fair Value Measurements </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Statement Line Item That Includes The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Profits interests, 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 liability</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Issues</w:t>
            </w:r>
          </w:p>
        </w:tc>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gains recorded in earnings</w:t>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recorded in earnings</w:t>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received</w:t>
            </w:r>
          </w:p>
        </w:tc>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quantitative information regarding the recurring Level 3 fair value measurements inputs for the contingent consideration receivable and profits interests at their measurement dates:</w:t>
      </w:r>
    </w:p>
    <w:tbl>
      <w:tblPr>
        <w:tblW w:w="4383" w:type="dxa"/>
        <w:jc w:val="left"/>
        <w:tblInd w:w="0" w:type="dxa"/>
        <w:tblLayout w:type="fixed"/>
        <w:tblCellMar>
          <w:top w:w="28" w:type="dxa"/>
          <w:left w:w="28" w:type="dxa"/>
          <w:bottom w:w="28" w:type="dxa"/>
          <w:right w:w="28" w:type="dxa"/>
        </w:tblCellMar>
      </w:tblPr>
      <w:tblGrid>
        <w:gridCol w:w="1151"/>
        <w:gridCol w:w="1012"/>
        <w:gridCol w:w="1017"/>
        <w:gridCol w:w="255"/>
        <w:gridCol w:w="256"/>
        <w:gridCol w:w="692"/>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 consideration receivable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Profits interests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Balance Sheet Components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Capitalized Implementation Costs</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The capitalized implementation costs are capitalized within other current assets and other assets on the condensed consolidated balance sheets. There were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capitalized cloud computing costs during the </w:t>
      </w:r>
      <w:r>
        <w:rPr>
          <w:rFonts w:ascii="Times New Roman;serif" w:hAnsi="Times New Roman;serif"/>
          <w:b w:val="false"/>
          <w:color w:val="000000"/>
          <w:sz w:val="20"/>
        </w:rPr>
        <w:t xml:space="preserve">three months ended June 30, 2026 or 2025 and six months ended June 30, 2026 or 2025. </w:t>
      </w:r>
      <w:r>
        <w:rPr>
          <w:rFonts w:ascii="Times New Roman;serif" w:hAnsi="Times New Roman;serif"/>
          <w:b w:val="false"/>
          <w:color w:val="000000"/>
          <w:sz w:val="20"/>
          <w:shd w:fill="FFFFFF" w:val="clear"/>
        </w:rPr>
        <w:t>Amortization expense related to capitalized cloud computing impleme</w:t>
      </w:r>
      <w:r>
        <w:rPr>
          <w:rFonts w:ascii="Times New Roman;serif" w:hAnsi="Times New Roman;serif"/>
          <w:b w:val="false"/>
          <w:color w:val="000000"/>
          <w:sz w:val="20"/>
        </w:rPr>
        <w:t xml:space="preserve">ntation costs was $14 thousand and $237 thousand for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June 30, 2026 and 2025, respectively and $37 thousand and $479 thousand for the six months ended June 30, 2026 and 2025,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10205" w:type="dxa"/>
        <w:jc w:val="left"/>
        <w:tblInd w:w="0" w:type="dxa"/>
        <w:tblLayout w:type="fixed"/>
        <w:tblCellMar>
          <w:top w:w="28" w:type="dxa"/>
          <w:left w:w="28" w:type="dxa"/>
          <w:bottom w:w="28" w:type="dxa"/>
          <w:right w:w="28" w:type="dxa"/>
        </w:tblCellMar>
      </w:tblPr>
      <w:tblGrid>
        <w:gridCol w:w="1277"/>
        <w:gridCol w:w="1020"/>
        <w:gridCol w:w="1027"/>
        <w:gridCol w:w="1229"/>
        <w:gridCol w:w="1198"/>
        <w:gridCol w:w="1202"/>
        <w:gridCol w:w="109"/>
        <w:gridCol w:w="109"/>
        <w:gridCol w:w="109"/>
        <w:gridCol w:w="275"/>
        <w:gridCol w:w="609"/>
        <w:gridCol w:w="142"/>
        <w:gridCol w:w="109"/>
        <w:gridCol w:w="109"/>
        <w:gridCol w:w="109"/>
        <w:gridCol w:w="349"/>
        <w:gridCol w:w="773"/>
        <w:gridCol w:w="182"/>
        <w:gridCol w:w="109"/>
        <w:gridCol w:w="159"/>
      </w:tblGrid>
      <w:tr>
        <w:trPr/>
        <w:tc>
          <w:tcPr>
            <w:tcW w:w="127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software and equipment</w:t>
            </w:r>
          </w:p>
        </w:tc>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estimated useful life or remaining term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for property and equipment was $39 thousand and $28 thousand for the three months ended June 30, 2026 and 2025, respectively, and $78 thousand and $82 thousand for the six months ended June 30, 2026 and 2025, respectively. During the six months ended June 30, 2025, the Company recorded an impairment loss on leasehold improvement assets totaling $380 thousand, and the related lease was terminated for a gain of $1.6 million, which is included within general and administrative expense. During the six months ended June 30, 2026, the Company has recorded no impairment loss on leasehold improvement assets.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w:t>
      </w:r>
    </w:p>
    <w:tbl>
      <w:tblPr>
        <w:tblW w:w="6370" w:type="dxa"/>
        <w:jc w:val="left"/>
        <w:tblInd w:w="0" w:type="dxa"/>
        <w:tblLayout w:type="fixed"/>
        <w:tblCellMar>
          <w:top w:w="28" w:type="dxa"/>
          <w:left w:w="28" w:type="dxa"/>
          <w:bottom w:w="28" w:type="dxa"/>
          <w:right w:w="28" w:type="dxa"/>
        </w:tblCellMar>
      </w:tblPr>
      <w:tblGrid>
        <w:gridCol w:w="1223"/>
        <w:gridCol w:w="1073"/>
        <w:gridCol w:w="1078"/>
        <w:gridCol w:w="228"/>
        <w:gridCol w:w="779"/>
        <w:gridCol w:w="117"/>
        <w:gridCol w:w="109"/>
        <w:gridCol w:w="109"/>
        <w:gridCol w:w="109"/>
        <w:gridCol w:w="300"/>
        <w:gridCol w:w="1026"/>
        <w:gridCol w:w="219"/>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variable compensation</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disputes or regulatory inquiries, which arise in the ordinary course of business. When we determine that a loss is both probable and reasonably estimable, a liability is recorded and disclosed if the amount is material to us in aggregate. When a material loss contingency is reasonably possible, we do not record a liability, but instead disclose the nature and the amount of the claim and an estimate of the loss or range of loss, if such an estimate can reasonably be made. While it is not feasible to predict or determine the ultimate outcome of these matters, the Company believes that none of its current legal proceedings will have a material adverse effect on its financial position or results of operations and no corresponding liability has been recorded for any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Included within cost of revenue, sales and marketing, and general and administrative expenses are total stock-based compensation expenses as follows:</w:t>
      </w:r>
    </w:p>
    <w:tbl>
      <w:tblPr>
        <w:tblW w:w="8719" w:type="dxa"/>
        <w:jc w:val="left"/>
        <w:tblInd w:w="0" w:type="dxa"/>
        <w:tblLayout w:type="fixed"/>
        <w:tblCellMar>
          <w:top w:w="28" w:type="dxa"/>
          <w:left w:w="28" w:type="dxa"/>
          <w:bottom w:w="28" w:type="dxa"/>
          <w:right w:w="28" w:type="dxa"/>
        </w:tblCellMar>
      </w:tblPr>
      <w:tblGrid>
        <w:gridCol w:w="1247"/>
        <w:gridCol w:w="1099"/>
        <w:gridCol w:w="1104"/>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09"/>
        <w:gridCol w:w="109"/>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based-compensation expense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includes expenses related to our 2021 Incentive Award Plan, our ESPP and profits interests, as follows:</w:t>
      </w:r>
    </w:p>
    <w:tbl>
      <w:tblPr>
        <w:tblW w:w="8719" w:type="dxa"/>
        <w:jc w:val="left"/>
        <w:tblInd w:w="0" w:type="dxa"/>
        <w:tblLayout w:type="fixed"/>
        <w:tblCellMar>
          <w:top w:w="28" w:type="dxa"/>
          <w:left w:w="28" w:type="dxa"/>
          <w:bottom w:w="28" w:type="dxa"/>
          <w:right w:w="28" w:type="dxa"/>
        </w:tblCellMar>
      </w:tblPr>
      <w:tblGrid>
        <w:gridCol w:w="1250"/>
        <w:gridCol w:w="1099"/>
        <w:gridCol w:w="1101"/>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09"/>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Incentive Award Plan</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2021 Incentive Award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granted 210,837 restricted stock units (“RSUs”) to certain employees and service providers in aggregate under our 2021 Incentive Award Plan.</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For employees and service providers, both RSUs and stock appreciation rights (“SARs”) are primarily time 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the Company’s Class A common stock. The SARs will be settled in the Company’s Class A common stock upon exercise. The shares to be issued upon exercise will have a total market value equal to the SAR value calculated as (x) number of shares underlying SAR, multiplied by (y) any excess of the Company’s share value on the date of exercise over the exercise price set in each individual grant notice.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RSU is the same as the Company’s share price on the date of grant. The fair value of the SARs was determined using a Black-Scholes model.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activities of the RSUs and SARs and the related weighted average grant-date fair value of the respective share classes are summarized as follows, including granted, exercised and forfeited from January 1, 2026 to June 30, 2026.</w:t>
      </w:r>
    </w:p>
    <w:tbl>
      <w:tblPr>
        <w:tblW w:w="10205" w:type="dxa"/>
        <w:jc w:val="left"/>
        <w:tblInd w:w="0" w:type="dxa"/>
        <w:tblLayout w:type="fixed"/>
        <w:tblCellMar>
          <w:top w:w="28" w:type="dxa"/>
          <w:left w:w="28" w:type="dxa"/>
          <w:bottom w:w="28" w:type="dxa"/>
          <w:right w:w="28" w:type="dxa"/>
        </w:tblCellMar>
      </w:tblPr>
      <w:tblGrid>
        <w:gridCol w:w="774"/>
        <w:gridCol w:w="680"/>
        <w:gridCol w:w="682"/>
        <w:gridCol w:w="109"/>
        <w:gridCol w:w="109"/>
        <w:gridCol w:w="488"/>
        <w:gridCol w:w="488"/>
        <w:gridCol w:w="161"/>
        <w:gridCol w:w="109"/>
        <w:gridCol w:w="109"/>
        <w:gridCol w:w="109"/>
        <w:gridCol w:w="540"/>
        <w:gridCol w:w="1581"/>
        <w:gridCol w:w="280"/>
        <w:gridCol w:w="109"/>
        <w:gridCol w:w="109"/>
        <w:gridCol w:w="109"/>
        <w:gridCol w:w="360"/>
        <w:gridCol w:w="361"/>
        <w:gridCol w:w="161"/>
        <w:gridCol w:w="109"/>
        <w:gridCol w:w="109"/>
        <w:gridCol w:w="109"/>
        <w:gridCol w:w="526"/>
        <w:gridCol w:w="1535"/>
        <w:gridCol w:w="389"/>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SARs</w:t>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(RSUs) or Exercised (SARs)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0" w:type="dxa"/>
            <w:gridSpan w:val="3"/>
            <w:tcBorders/>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Exercisable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56,361 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stock compensation expense related to the RSU and SAR grants was $2.3 million and $3.1 million for the three months ended June 30, 2026 and 2025, respectively, and $4.6 million and $6.4 million for six months ended June 30, 2026 and 2025, respectively. As of June 30, 2026, 56,361 SARs were exercisable and they have a remaining contractual term of 5.2 years.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July 2026, 228,762 RSUs vested in accordance with the original grant terms.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recognized $12 thousand of stock-based compensation expense related to the ESPP for the three months ended June 30, 2026 and 2025, and $24 thousand and $25 thousand for six months ended June 30, 2026 and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issued 11,189 shares of Class A common stock for $143 thousand related to employee purchases under the ESPP during the six months ended June 30,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Profits Interests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$653 thousand and $(511) thousand of stock-based compensation (benefit) expense related to the profits interests, which are liability classified, for the three months ended June 30, 2026 and 2025, respectively, and $521 thousand and $(712) thousand for six months ended June 30, 2026 and 2025, respectively.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Earnings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689"/>
        <w:gridCol w:w="1471"/>
        <w:gridCol w:w="1481"/>
        <w:gridCol w:w="211"/>
        <w:gridCol w:w="689"/>
        <w:gridCol w:w="109"/>
        <w:gridCol w:w="109"/>
        <w:gridCol w:w="109"/>
        <w:gridCol w:w="109"/>
        <w:gridCol w:w="211"/>
        <w:gridCol w:w="721"/>
        <w:gridCol w:w="109"/>
        <w:gridCol w:w="109"/>
        <w:gridCol w:w="109"/>
        <w:gridCol w:w="109"/>
        <w:gridCol w:w="211"/>
        <w:gridCol w:w="689"/>
        <w:gridCol w:w="109"/>
        <w:gridCol w:w="109"/>
        <w:gridCol w:w="109"/>
        <w:gridCol w:w="109"/>
        <w:gridCol w:w="211"/>
        <w:gridCol w:w="721"/>
        <w:gridCol w:w="109"/>
        <w:gridCol w:w="109"/>
        <w:gridCol w:w="109"/>
        <w:gridCol w:w="109"/>
        <w:gridCol w:w="156"/>
      </w:tblGrid>
      <w:tr>
        <w:trPr/>
        <w:tc>
          <w:tcPr>
            <w:tcW w:w="168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Class A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(in thousands)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Class A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(in thousands)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and their impact on the computation of diluted earnings per share is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Sponsor and MarketWise Management Member Earnout Shares: the 152,550 Sponsor Earnout Shares and the 99,998 MarketWise Management Member Earnout Shares held in escrow were excluded from the earnings per share computation in the 2025 period since the earnout contingency had not been met. In July 2025, the earnout period for all 252,548 previously escrowed Management Member Earnout Shares and Sponsor Earnout Shares (“EO Shares”) expired. As a result, there was no dilution to other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related to this arrangement. As a result of the EO Shares expiration, the Company reversed $1.3 million in cumulative dividends that had been accrued attributable to the EO Shares during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Restricted stock units: The basic earnings per share calculation includes the impact of vested RSUs. The diluted earnings per share calculation includes the impact of unvested RSUs, where the impact is dilutive, unless the Company has a net loss.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Stock appreciation rights: The diluted earnings per share calculation excludes the impact of SARs since the effect was antidilutive.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ESPP: The diluted earnings per share calculation includes the impact of dilutive shares and excludes the impact of antidilutive shares under the ESPP as of June 30, 2026 and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the three and six months ended June 30, 2026 the Company’s potential dilutive securities, which include, restricted stock units and performance stock units have been excluded from the computation of diluted net loss per share as the effect would be to reduce the net loss per share. Therefore, the weighted-average number of common stock outstanding used to calculate both basic and diluted net loss per share attributable to common stockholders is the same for the three and six months ended June 30,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that were not included in the diluted per share calculations because they would be anti-dilutive were as follows (in thousands):</w:t>
      </w:r>
    </w:p>
    <w:tbl>
      <w:tblPr>
        <w:tblW w:w="8549" w:type="dxa"/>
        <w:jc w:val="left"/>
        <w:tblInd w:w="0" w:type="dxa"/>
        <w:tblLayout w:type="fixed"/>
        <w:tblCellMar>
          <w:top w:w="28" w:type="dxa"/>
          <w:left w:w="28" w:type="dxa"/>
          <w:bottom w:w="28" w:type="dxa"/>
          <w:right w:w="28" w:type="dxa"/>
        </w:tblCellMar>
      </w:tblPr>
      <w:tblGrid>
        <w:gridCol w:w="1087"/>
        <w:gridCol w:w="955"/>
        <w:gridCol w:w="958"/>
        <w:gridCol w:w="427"/>
        <w:gridCol w:w="251"/>
        <w:gridCol w:w="251"/>
        <w:gridCol w:w="251"/>
        <w:gridCol w:w="251"/>
        <w:gridCol w:w="251"/>
        <w:gridCol w:w="251"/>
        <w:gridCol w:w="251"/>
        <w:gridCol w:w="251"/>
        <w:gridCol w:w="109"/>
        <w:gridCol w:w="109"/>
        <w:gridCol w:w="109"/>
        <w:gridCol w:w="396"/>
        <w:gridCol w:w="230"/>
        <w:gridCol w:w="230"/>
        <w:gridCol w:w="230"/>
        <w:gridCol w:w="230"/>
        <w:gridCol w:w="230"/>
        <w:gridCol w:w="300"/>
        <w:gridCol w:w="230"/>
        <w:gridCol w:w="230"/>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RSUs</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SARs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10.    Income Taxes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U.S. federal and state taxes with respect to our allocable share of any taxable income or loss of MarketWise, LLC, as well as any stand-alone income or loss we generate. MarketWise, LLC is treated as a partnership for U.S. income tax purposes and for most applicable state and local income tax purposes and generally does not pay income taxes in most jurisdictions. Instead, MarketWise, LLC’s taxable income or loss is passed through to its members, including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was 2.8% and 4.9% for the six months ended June 30, 2026 and 2025, respectively. The main driver of the effective income tax rate for the six months ended June 30, 2026 was the income allocation to the noncontrolling interest. The main driver of the decrease in the effective tax rate from the six months ended June 30, 2025 is the impact of pretax GAAP loss (the denominator) and discrete items related to vesting stock compensation. Our effective tax rate for the six months ended June 30, 2026 differs from the U.S. federal statutory rate primarily because we generally do not record income taxes for the noncontrolling portion of pre-tax income.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reverse capitalization in 2021,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evaluating the need for a valuation allowance on the deferred tax asset, the company considered positive evidence related to its historic earnings, forecasted income and reversal of temporary differences. Therefore, the Company recorded a valuation allowance in the amount of $32.2 million for certain deferred tax assets that are not more likely than not to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part of the Transactions (as defined and discussed in our Current Report on Form 8-K filed with the SEC on July 28, 2021), we entered into Tax Receivable Agreements (“TRAs”) with certain shareholders. Pursuant to our election under Section 754 of the Code, as amended, and the regulations issued thereunder, we expect to receive a step up in the tax basis of our ownership in MarketWise, LLC as exchanges of the LLC Units (as defined herein) occur. These increases in tax basis may reduce the amount we may otherwise pay to various tax authorities in the future. The TRA liability will represent approximately 85% of the calculated tax savings based on basis adjustments and other carryforward attributes assumed that we anticipate being able to utilize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During the six months ended June 30, 2026, Members of MarketWise, LLC exchanged an aggregate of 105,000 common units of MarketWise, LLC (“LLC Units”) together with an equal number of shares of Class B common stock for 105,000 newly-issued shares of Class A common stock. In addition, MarketWise LLC redeemed 520,867 LLC Units and canceled an equal number of shares of Class B common stock. As a result, we have recorded a cumulative liability of $3.1 million under the TRA as of June 30, 2026. A total of $121 thousand in payments have been made under the TRA and $577 thousand in payments are expected in the next 12 months.</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we had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unrecognized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11.    Related Party Transactions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certain revenue share agreements with related parties. Accordingly, we recognized revenue from related parties of $518 thousand and $641 thousand for the three months ended June 30, 2026 and 2025, respectively, and $1.2 million and $1.1 million for the six months ended June 30, 2026 and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also incurred revenue share expenses paid to related parties of $1.6 million and $1.2 million which were capitalized as contract origination costs for the three months ended June 30, 2026 and 2025, respectively, and $4.7 million and $2.3 million for the six months ended June 30, 2026 and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related party provided call center support and other services to the Company for which we recorded an expense within cost of revenue of $90 thousand and $91 thousand for the three months ended June 30, 2026 and 2025, respectively, and $178 thousand and $201 thousand for the six months ended June 30, 2026 and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related party provided marketing and copywriting services to the Company for which we recorded an expense within cost of revenue of none and $286 thousand for the three months ended June 30, 2026 and 2025, respectively, and $40 thousand and $376 thousand for the six months ended June 30, 2026 and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related party also provided certain corporate functions to MarketWise and the costs of these services are charged to MarketWise. We recorded $25 thousand and $24 thousand for the three months ended June 30, 2026 and 2025, respectively, and $50 thousand and $48 thousand for the six months ended June 30, 2026 and 2025, respectively, within related party expense in the accompanying condensed consolidated statement of operations. We held balances of $433 thousand and $502 thousand as of June 30, 2026 and December 31, 2025 of related party payables related to revenue share expenses, call center support, and the services noted above. We also have receivables balances of $823 thousand and $339 thousand as of June 30, 2026 and December 31, 2025 of related party payables related to revenue share expenses, call center support, and the services noted above.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earned fees and provided certain accounting and marketing services to companies owned by certain of MarketWise’s Class B stockholders. As a result, we recognized $88 thousand and $84 thousand in other income, net for the three months ended June 30, 2026 and 2025, respectively, and $194 thousand and $244 thousand for the six months ended June 30, 2026 and 2025, respectively. Related party receivables related to these services were $199 thousand and $176 thousand as of June 30, 2026 and December 31,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lease offices from related parties. Lease payments made to related parties were $261 thousand and $279 thousand for the three months ended June 30, 2026 and 2025, respectively, and $522 thousand and $668 thousand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pPr>
      <w:r>
        <w:rPr>
          <w:rFonts w:ascii="Times New Roman;serif" w:hAnsi="Times New Roman;serif"/>
          <w:b w:val="false"/>
          <w:color w:val="000000"/>
          <w:sz w:val="20"/>
        </w:rPr>
        <w:t>for six months ended June 30, 2026 and 2025, respectively. Related party rent expense of $279 thousand and $$448 thousand were recognized in general and administrative expenses for the three months ended June 30, 2026 and 2025, respectively, and $558 thousand and $1.0 million for six months ended June 30, 2026 and 2025, respectively. At June 30, 2026 and December 31, 2025, ROU assets of $6.1 million and $6.7 million and lease liabilities of $5.5 million and $6.1 million, respectively are associated with leases with related parties. Additionally, we paid $700 thousand in lease termination fees related to our former Legacy Research lease during the six months ended June 30, 2025. For more information, see</w:t>
      </w:r>
      <w:r>
        <w:rPr>
          <w:color w:val="000000"/>
        </w:rPr>
        <w:t xml:space="preserve"> </w:t>
      </w:r>
      <w:r>
        <w:rPr>
          <w:rFonts w:ascii="Times New Roman;serif" w:hAnsi="Times New Roman;serif"/>
          <w:b w:val="false"/>
          <w:i/>
          <w:color w:val="000000"/>
          <w:sz w:val="20"/>
        </w:rPr>
        <w:t xml:space="preserve">Note 6 – Balance Sheet Components.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12.    Supplemental Cash Flow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Supplemental cash flow disclosures are as follows:</w:t>
      </w:r>
    </w:p>
    <w:tbl>
      <w:tblPr>
        <w:tblW w:w="10205" w:type="dxa"/>
        <w:jc w:val="left"/>
        <w:tblInd w:w="0" w:type="dxa"/>
        <w:tblLayout w:type="fixed"/>
        <w:tblCellMar>
          <w:top w:w="28" w:type="dxa"/>
          <w:left w:w="28" w:type="dxa"/>
          <w:bottom w:w="28" w:type="dxa"/>
          <w:right w:w="28" w:type="dxa"/>
        </w:tblCellMar>
      </w:tblPr>
      <w:tblGrid>
        <w:gridCol w:w="2205"/>
        <w:gridCol w:w="1938"/>
        <w:gridCol w:w="1948"/>
        <w:gridCol w:w="109"/>
        <w:gridCol w:w="665"/>
        <w:gridCol w:w="665"/>
        <w:gridCol w:w="667"/>
        <w:gridCol w:w="109"/>
        <w:gridCol w:w="278"/>
        <w:gridCol w:w="338"/>
        <w:gridCol w:w="109"/>
        <w:gridCol w:w="109"/>
        <w:gridCol w:w="109"/>
        <w:gridCol w:w="109"/>
        <w:gridCol w:w="310"/>
        <w:gridCol w:w="376"/>
        <w:gridCol w:w="161"/>
      </w:tblGrid>
      <w:tr>
        <w:trPr/>
        <w:tc>
          <w:tcPr>
            <w:tcW w:w="2205"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008" w:type="dxa"/>
            <w:gridSpan w:val="10"/>
            <w:tcBorders/>
          </w:tcPr>
          <w:p>
            <w:pPr>
              <w:pStyle w:val="TableContents"/>
              <w:bidi w:val="0"/>
              <w:spacing w:before="0" w:after="283"/>
              <w:jc w:val="left"/>
              <w:rPr>
                <w:sz w:val="4"/>
                <w:szCs w:val="4"/>
              </w:rPr>
            </w:pPr>
            <w:r>
              <w:rPr>
                <w:sz w:val="4"/>
                <w:szCs w:val="4"/>
              </w:rPr>
            </w:r>
          </w:p>
        </w:tc>
      </w:tr>
      <w:tr>
        <w:trPr/>
        <w:tc>
          <w:tcPr>
            <w:tcW w:w="6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included in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Stockholders’ Equity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capital stock consists of (i) issued and outstanding Class A common stock with a par value of $0.0001 per share, and (ii) issued and outstanding Class B common stock with a par value of $0.0001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set forth below reflects information about the Company’s equity as of June 30, 2026. </w:t>
      </w:r>
    </w:p>
    <w:tbl>
      <w:tblPr>
        <w:tblW w:w="7040" w:type="dxa"/>
        <w:jc w:val="left"/>
        <w:tblInd w:w="0" w:type="dxa"/>
        <w:tblLayout w:type="fixed"/>
        <w:tblCellMar>
          <w:top w:w="28" w:type="dxa"/>
          <w:left w:w="28" w:type="dxa"/>
          <w:bottom w:w="28" w:type="dxa"/>
          <w:right w:w="28" w:type="dxa"/>
        </w:tblCellMar>
      </w:tblPr>
      <w:tblGrid>
        <w:gridCol w:w="765"/>
        <w:gridCol w:w="672"/>
        <w:gridCol w:w="677"/>
        <w:gridCol w:w="592"/>
        <w:gridCol w:w="594"/>
        <w:gridCol w:w="306"/>
        <w:gridCol w:w="109"/>
        <w:gridCol w:w="109"/>
        <w:gridCol w:w="109"/>
        <w:gridCol w:w="540"/>
        <w:gridCol w:w="541"/>
        <w:gridCol w:w="181"/>
        <w:gridCol w:w="109"/>
        <w:gridCol w:w="109"/>
        <w:gridCol w:w="109"/>
        <w:gridCol w:w="540"/>
        <w:gridCol w:w="541"/>
        <w:gridCol w:w="437"/>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Class A</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2,666,908 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2,666,908 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Class B</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12,986,774 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12,986,774 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162,500,000 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15,653,682 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15,653,682 </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Class A and Class B common stock entitles the holder to one vote per share. Holders of Class A common stock have the right to receive dividends while holders of Class B common stock have the right to receive a proportionate amount of distributions. In the event of liquidation, dissolution or winding up of the affairs of the Company, only holders of Class A common stock have the right to receive liquidation proceeds, while the holders of Class B common stock are entitled to only the par value of their shares. Class B common stock can be issued only to the members of MarketWise, LLC (“MarketWise Members”),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 our option. If redeemed for cash at the Company’s option, such cash would have to be generated through an offering of shares to the market such that there would not be any situation where there would be a net cash obligation to the Company for such redemption. Shares of our Class B common stock held by any such redeeming or exchanging MarketWise Member will be canceled for no additional consideration on a one-for-one basis with the redeemed or exchanged LLC Units whenever the MarketWise Members’ LLC Units are so redeemed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or exchanged. The MarketWise Members may exercise such redemption rights for as long as their LLC Units remain outstanding. Our Board has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paid quarterly dividends on shares of our Class A common stock.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dividends on shares of Class A common stock and other distributions on LLC Units declared during the six months ended June 30, 2026, on a split adjusted basis, were as follows:</w:t>
      </w:r>
    </w:p>
    <w:tbl>
      <w:tblPr>
        <w:tblW w:w="7860" w:type="dxa"/>
        <w:jc w:val="left"/>
        <w:tblInd w:w="0" w:type="dxa"/>
        <w:tblLayout w:type="fixed"/>
        <w:tblCellMar>
          <w:top w:w="28" w:type="dxa"/>
          <w:left w:w="28" w:type="dxa"/>
          <w:bottom w:w="28" w:type="dxa"/>
          <w:right w:w="28" w:type="dxa"/>
        </w:tblCellMar>
      </w:tblPr>
      <w:tblGrid>
        <w:gridCol w:w="276"/>
        <w:gridCol w:w="243"/>
        <w:gridCol w:w="247"/>
        <w:gridCol w:w="429"/>
        <w:gridCol w:w="429"/>
        <w:gridCol w:w="431"/>
        <w:gridCol w:w="464"/>
        <w:gridCol w:w="464"/>
        <w:gridCol w:w="467"/>
        <w:gridCol w:w="211"/>
        <w:gridCol w:w="511"/>
        <w:gridCol w:w="109"/>
        <w:gridCol w:w="109"/>
        <w:gridCol w:w="109"/>
        <w:gridCol w:w="109"/>
        <w:gridCol w:w="211"/>
        <w:gridCol w:w="466"/>
        <w:gridCol w:w="109"/>
        <w:gridCol w:w="109"/>
        <w:gridCol w:w="109"/>
        <w:gridCol w:w="109"/>
        <w:gridCol w:w="211"/>
        <w:gridCol w:w="511"/>
        <w:gridCol w:w="109"/>
        <w:gridCol w:w="109"/>
        <w:gridCol w:w="109"/>
        <w:gridCol w:w="109"/>
        <w:gridCol w:w="211"/>
        <w:gridCol w:w="616"/>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Dividends on </w:t>
              <w:b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distributions on</w:t>
              <w:br/>
              <w:t>LLC Units</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declared</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paid</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Special </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 2026</w:t>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 2026</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 Repurchase</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On February 28, 2025, the Company announced that the Board authorized a stock repurchase program of up to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depend on market conditions and other requirements. Repurchases under the program were authorized for the next 12 months but the program may be modified, suspended, or terminated at any time. The share repurchase program does not obligate the Company to repurchase any dollar amount or number of shares. The authorization expired in April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7, 2026, the Company announced that the Board authorized a new stock repurchase program of up to $50 million 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will depend on market conditions and other requirements. Repurchases under the program have been authorized for the next 12 months but the program may be modified, suspended, or terminated at any time. The share repurchase program does not obligate the Company to repurchase any dollar amount or number of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repurchased 18,054 shares totaling $313 thousand and 117,673 shares totaling $1.9 million, respectively. During the six months ended June 30, 2026 and 2025, we repurchased 21,311 shares totaling $370 thousand and 117,673 shares totaling $1.9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each share of Class A common stock the Company repurchases under the share repurchase program, MarketWise, LLC, the Company’s direct subsidiary, will redeem one common unit of MarketWise, LLC held by the Company, decreasing the percentage ownership of MarketWise, LLC by the Company and relatively increasing the ownership by the other unit holders of MarketWise, LLC in accordance with the MarketWise Operating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Settlement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April 21, 2026, the Company and MarketWise, LLC (collectively, the “MarketWise Group”) entered into a Settlement Agreement and Release (the “Settlement Agreement”) with Mark P. Arnold, the Company’s former Chief Executive Officer, and JAMA 2021, LLC (together with Mr. Arnold, the “Arnold Parties”). The Settlement Agreement resolves Mr. Arnold’s demand for arbitration (“Arbitration”) that was previously disclosed in Item 3 of the Company’s Annual Reports filed on Form 10-K for the fiscal years ended December 31, 2024 and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April 22, 2026: (i) the MarketWise Group made a one-time cash payment of $12.2 million to Mr. Arnold (the “Settlement Payment”); (ii) the Arnold Parties surrendered, and MarketWise, LLC redeemed and canceled an aggregate of 520,867 common units of MarketWise, LLC (the “Common Units”), along with the corresponding shares of the Company’s Class B common stock, held by the Arnold Parties; and (iii) the Arnold Parties waived and released their rights, including rights to future payments, under that certain Tax Receivables Agreement dated July 21, 2021 (the “TRA”), by and among the Company, Marketwise, LLC and the members of Marketwise, LLC. Of the total Settlement Payment, approximately $11.3 million was recorded as a reduction of additional paid-in capital in connection with the redemption and cancellation of the Common Units and corresponding Class B shares. The remaining $818 thousand was recorded as a reduction of the TRA liability in connection with the termination and release of the Arnold Parties’ rights under the TRA.</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reportable segment. The Company primarily provides subscription-based financial research, publications, and SaaS offerings to individual customers through its online platforms. The Company also offers membership subscriptions.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Chief Operating Decision Maker (“CODM”), which is the Company’s Chief Executive Officer, monitors financial results for internal purposes that are not prepared in accordance with GAAP (“Adjusted Basis”) because these results more closely align to how the business generates and uses cash.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CODM uses Adjusted Net Profit (Loss) as the key performance measure for evaluating segment income or loss on a monthly basis when assessing segment performance and when making decisions about how to allocate operating resources, such as marketing spend and determining variable compensation for certain employees.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primary components of the “Corporate and all other” line in the following tables include certain corporate overhead charges, expenses that have not been allocated to the reportable segment, including corporate functions, taxes, and activity related to components that is below quantitative threshold for separate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reconciliation of reportable segment Adjusted Basis Net Profit (Loss) to the consolidated totals are as follows:</w:t>
      </w:r>
    </w:p>
    <w:tbl>
      <w:tblPr>
        <w:tblW w:w="10205" w:type="dxa"/>
        <w:jc w:val="left"/>
        <w:tblInd w:w="0" w:type="dxa"/>
        <w:tblLayout w:type="fixed"/>
        <w:tblCellMar>
          <w:top w:w="28" w:type="dxa"/>
          <w:left w:w="28" w:type="dxa"/>
          <w:bottom w:w="28" w:type="dxa"/>
          <w:right w:w="28" w:type="dxa"/>
        </w:tblCellMar>
      </w:tblPr>
      <w:tblGrid>
        <w:gridCol w:w="1703"/>
        <w:gridCol w:w="1327"/>
        <w:gridCol w:w="133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70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net revenue for reportable segment</w:t>
            </w:r>
            <w:r>
              <w:rPr>
                <w:color w:val="000000"/>
              </w:rPr>
              <w:t xml:space="preserve"> </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to total net revenue for reportable segment </w:t>
            </w:r>
            <w:r>
              <w:rPr>
                <w:rFonts w:ascii="Times New Roman;serif" w:hAnsi="Times New Roman;serif"/>
                <w:b w:val="false"/>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expense </w:t>
            </w:r>
            <w:r>
              <w:rPr>
                <w:rFonts w:ascii="Times New Roman;serif" w:hAnsi="Times New Roman;serif"/>
                <w:b w:val="false"/>
                <w:color w:val="000000"/>
                <w:sz w:val="13"/>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 share expense </w:t>
            </w:r>
            <w:r>
              <w:rPr>
                <w:rFonts w:ascii="Times New Roman;serif" w:hAnsi="Times New Roman;serif"/>
                <w:b w:val="false"/>
                <w:color w:val="000000"/>
                <w:sz w:val="13"/>
              </w:rPr>
              <w:t>(c)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Direct marketing </w:t>
            </w:r>
            <w:r>
              <w:rPr>
                <w:rFonts w:ascii="Times New Roman;serif" w:hAnsi="Times New Roman;serif"/>
                <w:b w:val="false"/>
                <w:color w:val="000000"/>
                <w:sz w:val="13"/>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and outside labor </w:t>
            </w:r>
            <w:r>
              <w:rPr>
                <w:rFonts w:ascii="Times New Roman;serif" w:hAnsi="Times New Roman;serif"/>
                <w:b w:val="false"/>
                <w:color w:val="000000"/>
                <w:sz w:val="13"/>
              </w:rPr>
              <w:t>(c)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overhead </w:t>
            </w:r>
            <w:r>
              <w:rPr>
                <w:rFonts w:ascii="Times New Roman;serif" w:hAnsi="Times New Roman;serif"/>
                <w:b w:val="false"/>
                <w:color w:val="000000"/>
                <w:sz w:val="13"/>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allocations </w:t>
            </w:r>
            <w:r>
              <w:rPr>
                <w:rFonts w:ascii="Times New Roman;serif" w:hAnsi="Times New Roman;serif"/>
                <w:b w:val="false"/>
                <w:color w:val="000000"/>
                <w:sz w:val="13"/>
              </w:rPr>
              <w:t>(c)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Adjusted Net Profit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Net Profit (Loss) to consolidated income before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all other Adjusted Net Profit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to total net revenue </w:t>
            </w:r>
            <w:r>
              <w:rPr>
                <w:rFonts w:ascii="Times New Roman;serif" w:hAnsi="Times New Roman;serif"/>
                <w:b w:val="false"/>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contract acquisition costs </w:t>
            </w:r>
            <w:r>
              <w:rPr>
                <w:rFonts w:ascii="Times New Roman;serif" w:hAnsi="Times New Roman;serif"/>
                <w:b w:val="false"/>
                <w:color w:val="000000"/>
                <w:sz w:val="13"/>
              </w:rPr>
              <w: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(f)(g)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(loss)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(a)total net revenue for reportable segment is in accordance with GAAP</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(b)subscription revenue, revenue share and other income are generally recognized on a cash basis under Adjusted Basis, rather than deferred and recognized over the subscription term or when earned in accordance with ASC 606</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(c)amounts represent Adjusted Basis</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(d)amounts represent stock-based compensation expense</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(e)costs to obtain a contract are expensed under Adjusted Basis, rather than capitalized as deferred contract acquisition costs and subsequently amortized in accordance with ASC 340</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(f)certain operating leases are recognized on a cash basis under Adjusted Basis, rather than initially recognizing right-of-use assets and lease liabilities, which are subsequently amortized over the lease term in accordance with ASC 842</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(g)certain intangible assets arising from business combinations are not recognized upon acquisition and subsequently amortized in accordance with ASC 805 under Adjusted Basis</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(h)other line includes various items that are recognized differently under Adjusted Basis, software development and implementation related costs, including implementation costs of cloud computing arrangements, employee benefit related items, gain on lease termination, change in fair value of contingent consideration, and certain tax related items.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reconciliation of reportable segment revenues to the consolidated totals are as follows:</w:t>
      </w:r>
    </w:p>
    <w:tbl>
      <w:tblPr>
        <w:tblW w:w="9567" w:type="dxa"/>
        <w:jc w:val="left"/>
        <w:tblInd w:w="0" w:type="dxa"/>
        <w:tblLayout w:type="fixed"/>
        <w:tblCellMar>
          <w:top w:w="28" w:type="dxa"/>
          <w:left w:w="28" w:type="dxa"/>
          <w:bottom w:w="28" w:type="dxa"/>
          <w:right w:w="28" w:type="dxa"/>
        </w:tblCellMar>
      </w:tblPr>
      <w:tblGrid>
        <w:gridCol w:w="1231"/>
        <w:gridCol w:w="1083"/>
        <w:gridCol w:w="109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 for reportable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CODM does not use segment assets to evaluate segment performance or allocate resources. Therefore, we do not disclose segment assets. Long-lived assets were located in the United States as of June 30, 2026 and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July 2025, we reorganized our reporting structure by eliminating our 1729 Research and Alta operating subsidiaries, which were also two of our three reporting units. Accordingly, assets and liabilities were reassigned to the operating subsidiary level, including 1729 Research and Alta goodwill of $14.2 million and $13.0 million, respectively, which was determined using a relative fair value approach. Significant assumptions of the valuation included, but were not limited to, prospective financial information, growth rates, discount rates, and inflation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0" w:after="180"/>
        <w:jc w:val="left"/>
        <w:rPr/>
      </w:pPr>
      <w:r>
        <w:rPr>
          <w:rFonts w:ascii="Times New Roman;serif" w:hAnsi="Times New Roman;serif"/>
          <w:b w:val="false"/>
          <w:color w:val="000000"/>
          <w:sz w:val="20"/>
        </w:rPr>
        <w:t xml:space="preserve">Subsequent events have been evaluated through August 6, 2026, which is the date that the financial statements were issued. The Company concluded there were no subsequent events that require recognition or disclosure other than what is disclosed in </w:t>
      </w:r>
      <w:r>
        <w:rPr>
          <w:rFonts w:ascii="Times New Roman;serif" w:hAnsi="Times New Roman;serif"/>
          <w:b w:val="false"/>
          <w:i/>
          <w:color w:val="000000"/>
          <w:sz w:val="20"/>
        </w:rPr>
        <w:t>Note 8 – Stock-Based Compensation</w:t>
      </w:r>
      <w:r>
        <w:rPr>
          <w:rFonts w:ascii="Times New Roman;serif" w:hAnsi="Times New Roman;serif"/>
          <w:b w:val="false"/>
          <w:color w:val="000000"/>
          <w:sz w:val="20"/>
        </w:rPr>
        <w:t>.</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MarketWise, Inc., a Delaware corporation (“MarketWise,” “we,” “us,” and “our”), should be read together with our unaudited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2025 (the “Annual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 entitled “Cautionary Statement Regarding Forward-Looking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Chaikin Analytics, Altimetry, TradeSmith, InvestorPlace, and Brownstone Research. Our entire investment research product portfolio is 100% digital and channel agnostic, and we offer all of our research across a variety of platforms, including desktop, laptop, and mobile devices, including tablets and mobile phones.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Today, we benefit from the confluence of a leading editorial team, a diverse portfolio of content and brands, and a comprehensive suite of investor-centric tools that appeal to a broad subscriber base.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erif" w:hAnsi="Times New Roman;serif"/>
          <w:b/>
          <w:i/>
          <w:color w:val="000000"/>
          <w:sz w:val="20"/>
        </w:rPr>
        <w:t xml:space="preserve">Second Quarter 2026 Highlights </w:t>
      </w:r>
      <w:r>
        <w:rPr>
          <w:rFonts w:ascii="Times New Roman;serif" w:hAnsi="Times New Roman;serif"/>
          <w:b/>
          <w:i/>
          <w:color w:val="000000"/>
          <w:sz w:val="13"/>
        </w:rPr>
        <w:t>(1)</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Total net revenue was $75.8 million in the second quarter 2026</w:t>
      </w:r>
      <w:r>
        <w:rPr>
          <w:rFonts w:ascii="Times New Roman;serif" w:hAnsi="Times New Roman;serif"/>
          <w:b w:val="false"/>
          <w:color w:val="000000"/>
          <w:sz w:val="13"/>
        </w:rPr>
        <w:t>(2)</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Total Billings were $91.2 million in the second quarter 2026, a year-over-year increase of 57%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loss was $2.6 million in the second quarter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Cash from Operating Activities (“CFFO”) was $22.4 million in the second quarter 2026, an increase of $4.6 million compared to the second quarter 2025. On a year to date basis, CFFO improved by $0.8 million compared to first half of 2025.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Cash and cash equivalents were $32.9 million as of June 30, 2026, and no debt outstanding</w:t>
      </w:r>
    </w:p>
    <w:p>
      <w:pPr>
        <w:pStyle w:val="TextBody"/>
        <w:bidi w:val="0"/>
        <w:spacing w:lineRule="auto" w:line="288" w:before="0" w:after="18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(1) The second quarter 2026 and 2025 results reported herein are unaudited.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(2) Net Revenue (a GAAP measure) represents Billings that are recognized over the term of the subscription, which can be multiple years. Billings are amounts invoiced to customers in the period and is thus indicative of the current operating environment and demand for our products.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cash provided by operating activities, and the related margin as a percentage of net revenue, Adjusted CFFO (as defined below), a non-GAAP measure, and the related margin as a percentage of Billings, and Free Cash Flow, a non-GAAP measure, for each of the periods presented. For more information on our non-GAAP measures, see “Non-GAAP Financial Measures.”</w:t>
      </w:r>
    </w:p>
    <w:tbl>
      <w:tblPr>
        <w:tblW w:w="8494" w:type="dxa"/>
        <w:jc w:val="left"/>
        <w:tblInd w:w="0" w:type="dxa"/>
        <w:tblLayout w:type="fixed"/>
        <w:tblCellMar>
          <w:top w:w="28" w:type="dxa"/>
          <w:left w:w="28" w:type="dxa"/>
          <w:bottom w:w="28" w:type="dxa"/>
          <w:right w:w="28" w:type="dxa"/>
        </w:tblCellMar>
      </w:tblPr>
      <w:tblGrid>
        <w:gridCol w:w="1478"/>
        <w:gridCol w:w="1299"/>
        <w:gridCol w:w="1302"/>
        <w:gridCol w:w="109"/>
        <w:gridCol w:w="109"/>
        <w:gridCol w:w="109"/>
        <w:gridCol w:w="211"/>
        <w:gridCol w:w="721"/>
        <w:gridCol w:w="271"/>
        <w:gridCol w:w="109"/>
        <w:gridCol w:w="109"/>
        <w:gridCol w:w="109"/>
        <w:gridCol w:w="211"/>
        <w:gridCol w:w="721"/>
        <w:gridCol w:w="271"/>
        <w:gridCol w:w="109"/>
        <w:gridCol w:w="109"/>
        <w:gridCol w:w="109"/>
        <w:gridCol w:w="255"/>
        <w:gridCol w:w="256"/>
        <w:gridCol w:w="517"/>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25.7 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our growth and future success are dependent upon several factors, including those below and those noted in the “Risk Factors” section in the Annual Report. The key factors below represent significant business opportunities as well as challenges that we must successfully address in order to continue our growth and improve our financial results.</w:t>
      </w:r>
    </w:p>
    <w:p>
      <w:pPr>
        <w:pStyle w:val="TextBody"/>
        <w:bidi w:val="0"/>
        <w:spacing w:lineRule="auto" w:line="288" w:before="0" w:after="180"/>
        <w:jc w:val="left"/>
        <w:rPr/>
      </w:pPr>
      <w:r>
        <w:rPr>
          <w:rFonts w:ascii="Times New Roman;serif" w:hAnsi="Times New Roman;serif"/>
          <w:b/>
          <w:i/>
          <w:color w:val="000000"/>
          <w:sz w:val="20"/>
        </w:rPr>
        <w:t xml:space="preserve">Growing our subscriber base with compelling unit economics. </w:t>
      </w:r>
      <w:r>
        <w:rPr>
          <w:rFonts w:ascii="Times New Roman;serif" w:hAnsi="Times New Roman;serif"/>
          <w:b w:val="false"/>
          <w:color w:val="000000"/>
          <w:sz w:val="20"/>
        </w:rPr>
        <w:t>We are highly focused on continuing to acquire new subscribers to support our long-term growth. Our marketing spend is a large driver of new subscriber growth. At the heart of our marketing strategy is our compelling unit economics that combine long-term subscriber relationships, highly scalable content delivery, cost-effective customer acquisition, and high-margin conversions.</w:t>
      </w:r>
    </w:p>
    <w:p>
      <w:pPr>
        <w:pStyle w:val="TextBody"/>
        <w:bidi w:val="0"/>
        <w:spacing w:lineRule="auto" w:line="288" w:before="0" w:after="180"/>
        <w:jc w:val="left"/>
        <w:rPr/>
      </w:pPr>
      <w:r>
        <w:rPr>
          <w:rFonts w:ascii="Times New Roman;serif" w:hAnsi="Times New Roman;serif"/>
          <w:b w:val="false"/>
          <w:color w:val="000000"/>
          <w:sz w:val="20"/>
        </w:rPr>
        <w:t>Our Paid Subscribers (as defined below) as of December 31, 2025 generated average customer lifetime Billings of approximately $2,031, resulting in a LTV/CAC (as defined below) ratio of approximately 2.0x. For more information on Billings and our LTV/CAC ratio and the components of this ratio, see “</w:t>
      </w:r>
      <w:r>
        <w:rPr>
          <w:rFonts w:ascii="Times New Roman;serif" w:hAnsi="Times New Roman;serif"/>
          <w:b w:val="false"/>
          <w:i/>
          <w:color w:val="000000"/>
          <w:sz w:val="20"/>
        </w:rPr>
        <w:t>Key Business Metrics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Definitions of Metrics.”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adjust our marketing spend to drive efficient and profitable customer acquisition. We can adjust our marketing spend in near real-time, and we monitor costs per acquisition relative to the cart value of the initial subscription.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our Paid Subscriber base was 400 thousand, an increase of 6 thousand, or 1.5%, from 394 thousand at June 30, 2025. The increase in Paid Subscribers is a result of an increased investment in customer acquisition and direct marketing in the first half 2026 of which we expect to decline in the second half of 2026 as we reduce these investments and focus on monetization of our existing subscriber base.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Paid Subscriber base is comprised of subscribers obtained through both direct-to-paid acquisition and free-to-paid conversions. Since 2023, direct-to-paid acquisition has accounted for approximately 48% of our annual Paid Subscriber acquisition, and is largely driven by display ads and targeted email campaigns. Our free subscription products also serve as a significant source of new Paid Subscribers, accounting for approximately 52% of our annual Paid Subscriber acquisition.</w:t>
      </w:r>
    </w:p>
    <w:p>
      <w:pPr>
        <w:pStyle w:val="TextBody"/>
        <w:bidi w:val="0"/>
        <w:spacing w:lineRule="auto" w:line="288" w:before="0" w:after="180"/>
        <w:jc w:val="left"/>
        <w:rPr/>
      </w:pPr>
      <w:r>
        <w:rPr>
          <w:rFonts w:ascii="Times New Roman;serif" w:hAnsi="Times New Roman;serif"/>
          <w:b/>
          <w:i/>
          <w:color w:val="000000"/>
          <w:sz w:val="20"/>
        </w:rPr>
        <w:t>Retaining and expanding relationships with existing subscribers.</w:t>
      </w:r>
      <w:r>
        <w:rPr>
          <w:color w:val="000000"/>
        </w:rPr>
        <w:t xml:space="preserve"> </w:t>
      </w:r>
      <w:r>
        <w:rPr>
          <w:rFonts w:ascii="Times New Roman;serif" w:hAnsi="Times New Roman;serif"/>
          <w:b w:val="false"/>
          <w:color w:val="000000"/>
          <w:sz w:val="20"/>
        </w:rPr>
        <w:t>We believe that we have a significant opportunity to expand our relationships with our large base of Active Free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 Our ARPU (as defined below) as of June 30, 2026 was $822, which increased by $347, or 73.3% from $474 as of June 30, 2025. For more information on ARPU, see “</w:t>
      </w:r>
      <w:r>
        <w:rPr>
          <w:rFonts w:ascii="Times New Roman;serif" w:hAnsi="Times New Roman;serif"/>
          <w:b w:val="false"/>
          <w:i/>
          <w:color w:val="000000"/>
          <w:sz w:val="20"/>
        </w:rPr>
        <w:t>Key Business Metrics — Average Revenue Per User</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high-value composition rate reflects the percentage of Paid Subscribers that have purchased more than $600 of our products over their lifetime. We believe our high-value composition rate reflects our ability to retain existing subscribers through renewals and our ability to expand our relationship with them when those subscribers purchase higher-value subscriptions. Our ultra high-value composition rate reflects the percentage of Paid Subscribers that have purchased more than $5,000 of our products over their lifetime. We believe our ultra high-value composition rate reflects our ability to successfully build lifetime relationships with our subscribers, often across multiple products and brands. As of June 30, 2026, 60% of our Paid Subscribers were high-value subscribers and 28% of our Paid Subscribers were ultra high-value subscribers.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Definitions of Metrics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discussion and analysis, a number of our financial and operating metrics are referenced which we do not consider to be key business metrics, but which we review to monitor performance, and which we believe may be useful to investors. These are: </w:t>
      </w:r>
    </w:p>
    <w:p>
      <w:pPr>
        <w:pStyle w:val="TextBody"/>
        <w:bidi w:val="0"/>
        <w:spacing w:lineRule="auto" w:line="288" w:before="0" w:after="180"/>
        <w:jc w:val="left"/>
        <w:rPr/>
      </w:pPr>
      <w:r>
        <w:rPr>
          <w:rFonts w:ascii="Times New Roman;serif" w:hAnsi="Times New Roman;serif"/>
          <w:b/>
          <w:i/>
          <w:color w:val="000000"/>
          <w:sz w:val="20"/>
        </w:rPr>
        <w:t xml:space="preserve">High-value composition rate: </w:t>
      </w:r>
      <w:r>
        <w:rPr>
          <w:rFonts w:ascii="Times New Roman;serif" w:hAnsi="Times New Roman;serif"/>
          <w:b w:val="false"/>
          <w:color w:val="000000"/>
          <w:sz w:val="20"/>
        </w:rPr>
        <w:t>High-value composition rate is the number of high-valued subscribers divided by Paid Subscribers. High-value subscribers are Paid Subscribers who have purchased greater than $600 in aggregate over their lifetime.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LTV/CAC ratio: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Lifetime Value (“LTV”) represents the average margin on customer lifetime Billings (that is, the estimated cumulative spend across a customer’s lifetime). Customer Acquisition Costs (“CAC”) are comprised of: direct marketing expenses; external revenue share expenses; retention and renewal expenses, copywriting and marketing salaries; telesales salaries and commissions; and customer service commissions. </w:t>
      </w:r>
    </w:p>
    <w:p>
      <w:pPr>
        <w:pStyle w:val="TextBody"/>
        <w:bidi w:val="0"/>
        <w:spacing w:lineRule="auto" w:line="288" w:before="0" w:after="180"/>
        <w:jc w:val="left"/>
        <w:rPr/>
      </w:pPr>
      <w:r>
        <w:rPr>
          <w:rFonts w:ascii="Times New Roman;serif" w:hAnsi="Times New Roman;serif"/>
          <w:b w:val="false"/>
          <w:color w:val="000000"/>
          <w:sz w:val="20"/>
        </w:rPr>
        <w:t xml:space="preserve">We calculate LTV/CAC ratio as LTV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CAC. We use LTV/CAC ratio because we believe it is a standard metric for subscription-based businesses, and we 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We believe investors should consider this metric when evaluating our ability to achieve a return on our marketing investment. </w:t>
      </w:r>
    </w:p>
    <w:p>
      <w:pPr>
        <w:pStyle w:val="TextBody"/>
        <w:bidi w:val="0"/>
        <w:spacing w:lineRule="auto" w:line="288" w:before="0" w:after="180"/>
        <w:jc w:val="left"/>
        <w:rPr/>
      </w:pPr>
      <w:r>
        <w:rPr>
          <w:rFonts w:ascii="Times New Roman;serif" w:hAnsi="Times New Roman;serif"/>
          <w:b/>
          <w:i/>
          <w:color w:val="000000"/>
          <w:sz w:val="20"/>
        </w:rPr>
        <w:t xml:space="preserve">Net revenue retention: </w:t>
      </w:r>
      <w:r>
        <w:rPr>
          <w:rFonts w:ascii="Times New Roman;serif" w:hAnsi="Times New Roman;serif"/>
          <w:b w:val="false"/>
          <w:color w:val="000000"/>
          <w:sz w:val="20"/>
        </w:rPr>
        <w:t xml:space="preserve">Net revenue retention is defined as Billings from all prior period cohorts in the current period,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all Billings from the prior period. We believe 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pStyle w:val="TextBody"/>
        <w:bidi w:val="0"/>
        <w:spacing w:lineRule="auto" w:line="288" w:before="0" w:after="180"/>
        <w:jc w:val="left"/>
        <w:rPr/>
      </w:pPr>
      <w:r>
        <w:rPr>
          <w:rFonts w:ascii="Times New Roman;serif" w:hAnsi="Times New Roman;serif"/>
          <w:b/>
          <w:i/>
          <w:color w:val="000000"/>
          <w:sz w:val="20"/>
        </w:rPr>
        <w:t>Subscriber count churn rate:</w:t>
      </w:r>
      <w:r>
        <w:rPr>
          <w:color w:val="000000"/>
        </w:rPr>
        <w:t xml:space="preserve"> </w:t>
      </w:r>
      <w:r>
        <w:rPr>
          <w:rFonts w:ascii="Times New Roman;serif" w:hAnsi="Times New Roman;serif"/>
          <w:b w:val="false"/>
          <w:color w:val="000000"/>
          <w:sz w:val="20"/>
        </w:rPr>
        <w:t>Our subscriber count churn rate is defined as the number of paid subscribers who either cancelled or failed to renew all of their paid subscriptions during the period divided by the number of unique paid subscribers at the beginning of the period plus the number of new subscribers obtained during the period. Monthly subscriber count churn rate is defined by the annual subscriber count churn divided by twelve months.</w:t>
      </w:r>
    </w:p>
    <w:p>
      <w:pPr>
        <w:pStyle w:val="TextBody"/>
        <w:bidi w:val="0"/>
        <w:spacing w:lineRule="auto" w:line="288" w:before="0" w:after="180"/>
        <w:jc w:val="left"/>
        <w:rPr/>
      </w:pPr>
      <w:r>
        <w:rPr>
          <w:rFonts w:ascii="Times New Roman;serif" w:hAnsi="Times New Roman;serif"/>
          <w:b/>
          <w:i/>
          <w:color w:val="000000"/>
          <w:sz w:val="20"/>
        </w:rPr>
        <w:t xml:space="preserve">Ultra high-value composition rate: </w:t>
      </w:r>
      <w:r>
        <w:rPr>
          <w:rFonts w:ascii="Times New Roman;serif" w:hAnsi="Times New Roman;serif"/>
          <w:b w:val="false"/>
          <w:color w:val="000000"/>
          <w:sz w:val="20"/>
        </w:rPr>
        <w:t>Ultra high-value composition rate is the number of ultra high-valued subscribers divided by Paid Subscribers. Ultra high-value subscribers are Paid Subscribers who have purchased &gt;$5,000 in aggregate over their lifetime.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the following key business metrics to measure our performance, identify trends, formulate financial projections, and make strategic decisions. We are not aware of any uniform standards for calculating these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metrics, which may hinder comparability with other companies who may calculate similarly titled metrics in a different way.</w:t>
      </w:r>
    </w:p>
    <w:tbl>
      <w:tblPr>
        <w:tblW w:w="11647"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220"/>
        <w:gridCol w:w="756"/>
        <w:gridCol w:w="109"/>
        <w:gridCol w:w="109"/>
        <w:gridCol w:w="109"/>
        <w:gridCol w:w="109"/>
        <w:gridCol w:w="220"/>
        <w:gridCol w:w="756"/>
        <w:gridCol w:w="109"/>
        <w:gridCol w:w="109"/>
        <w:gridCol w:w="109"/>
        <w:gridCol w:w="109"/>
        <w:gridCol w:w="265"/>
        <w:gridCol w:w="265"/>
        <w:gridCol w:w="266"/>
        <w:gridCol w:w="109"/>
        <w:gridCol w:w="109"/>
        <w:gridCol w:w="109"/>
        <w:gridCol w:w="211"/>
        <w:gridCol w:w="826"/>
        <w:gridCol w:w="109"/>
        <w:gridCol w:w="109"/>
        <w:gridCol w:w="109"/>
        <w:gridCol w:w="109"/>
        <w:gridCol w:w="211"/>
        <w:gridCol w:w="826"/>
        <w:gridCol w:w="109"/>
        <w:gridCol w:w="109"/>
        <w:gridCol w:w="109"/>
        <w:gridCol w:w="109"/>
        <w:gridCol w:w="265"/>
        <w:gridCol w:w="265"/>
        <w:gridCol w:w="266"/>
        <w:gridCol w:w="109"/>
        <w:gridCol w:w="109"/>
        <w:gridCol w:w="109"/>
        <w:gridCol w:w="255"/>
        <w:gridCol w:w="721"/>
        <w:gridCol w:w="109"/>
        <w:gridCol w:w="109"/>
        <w:gridCol w:w="109"/>
        <w:gridCol w:w="109"/>
        <w:gridCol w:w="246"/>
        <w:gridCol w:w="246"/>
        <w:gridCol w:w="349"/>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w:t>
              <w:b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w:t>
              <w:b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w:t>
              <w:br/>
              <w:t>Three Months Ended March 31,</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Free Subscribers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7.9%</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Subscribers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4.8%</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11.4%</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Marketing Billings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21.0%</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Renewal Billings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(13.9)%</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Billings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(22.4)%</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Billings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12.0%</w:t>
            </w:r>
          </w:p>
        </w:tc>
      </w:tr>
    </w:tbl>
    <w:p>
      <w:pPr>
        <w:pStyle w:val="TextBody"/>
        <w:bidi w:val="0"/>
        <w:spacing w:lineRule="auto" w:line="288" w:before="0" w:after="180"/>
        <w:jc w:val="left"/>
        <w:rPr/>
      </w:pPr>
      <w:r>
        <w:rPr>
          <w:rFonts w:ascii="Times New Roman;serif" w:hAnsi="Times New Roman;serif"/>
          <w:b/>
          <w:i/>
          <w:color w:val="000000"/>
          <w:sz w:val="20"/>
        </w:rPr>
        <w:t>Active Free Subscribers.</w:t>
      </w:r>
      <w:r>
        <w:rPr>
          <w:color w:val="000000"/>
        </w:rPr>
        <w:t xml:space="preserve"> </w:t>
      </w:r>
      <w:r>
        <w:rPr>
          <w:rFonts w:ascii="Times New Roman;serif" w:hAnsi="Times New Roman;serif"/>
          <w:b w:val="false"/>
          <w:color w:val="000000"/>
          <w:sz w:val="20"/>
        </w:rPr>
        <w:t>Active Free Subscribers are defined as unique subscribers who have subscribed to one of our free investment publications via a valid email address and who have received and/or consumed our content during the quarter, excluding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Active Free Subscribers learn about our editors and analysts, get to know our products and services, and learn more about ways we can help them be a better investor. Since 2023, approximately 52% of our new Paid Subscribers come from free to paid conversions.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Active Free Subscribers decreased by 0.2 million, or 6.1%, to 2.1 million as of June 30, 2026 as compared to 2.3 million as of June 30, 2025. The year over year decrease in Active Free Subscribers is a result of fewer free subscribers in total and a reduced number of free products available as we rationalize our offerings.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Active Free Subscribers increased by 0.1 million, or 7.9% to 2.1 million as of June 30, 2026 as compared to 2.0 million as of March 31, 2026. The sequential increase was the result of increased success with targeted email sends during the quarter.</w:t>
      </w:r>
    </w:p>
    <w:p>
      <w:pPr>
        <w:pStyle w:val="TextBody"/>
        <w:bidi w:val="0"/>
        <w:spacing w:lineRule="auto" w:line="288" w:before="0" w:after="180"/>
        <w:jc w:val="left"/>
        <w:rPr/>
      </w:pPr>
      <w:r>
        <w:rPr>
          <w:rFonts w:ascii="Times New Roman;serif" w:hAnsi="Times New Roman;serif"/>
          <w:b/>
          <w:i/>
          <w:color w:val="000000"/>
          <w:sz w:val="20"/>
        </w:rPr>
        <w:t xml:space="preserve">Paid Subscribers. </w:t>
      </w:r>
      <w:r>
        <w:rPr>
          <w:rFonts w:ascii="Times New Roman;serif" w:hAnsi="Times New Roman;serif"/>
          <w:b w:val="false"/>
          <w:color w:val="000000"/>
          <w:sz w:val="20"/>
        </w:rPr>
        <w:t>We define Paid Subscribers as the total number of unique subscribers with at least one paid subscription at the end of the period. We view the number of Paid Subscribers at the end of a given period as a key indicator of the attractiveness of our products and services, as well as the efficacy of our marketing in converting Free Subscribers to Paid Subscribers and generating direct-to-paid acquisitions. We grow our Paid Subscriber base through marketing directly to prospective and existing subscribers across a variety of media, channels, and platforms.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Paid Subscribers increased by 6 thousand, or 1.5%, to 400 thousand as of June 30, 2026 as compared to 394 thousand at June 30, 2025, primarily related to meaningfully increased opportunistic investment in customer acquisition that began in late first quarter 2026 and continued throughout second quarter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Total Paid Subscribers increased by 19 thousand, or 4.8%, to 400 thousand as of June 30, 2026 as compared to 381 thousand as of March 31, 2026. The increase was a result of increased new subscriber acquisition driven by a continuation of opportunistic investment that continued throughout the second quarter 2026. There were many successful campaigns in the quarter while churn remained at low levels relative to recent history.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Subscriber count churn has ranged from approximately 2.4% to 3.7% per month between 2023 and 2025. Almost all of the subscribers who churned in second quarter 2026 did so having owned only one entry level publication. This is evidenced by the fact that their ARPU approximately matched the subscription price of our entry level publications. We believe our net revenue retention rate, which improved from 53% in 2024 to 91% in 2025, is a more meaningful gauge of subscriber satisfaction.</w:t>
      </w:r>
    </w:p>
    <w:p>
      <w:pPr>
        <w:pStyle w:val="TextBody"/>
        <w:bidi w:val="0"/>
        <w:spacing w:lineRule="auto" w:line="288" w:before="0" w:after="180"/>
        <w:jc w:val="left"/>
        <w:rPr/>
      </w:pPr>
      <w:r>
        <w:rPr>
          <w:rFonts w:ascii="Times New Roman;serif" w:hAnsi="Times New Roman;serif"/>
          <w:b/>
          <w:i/>
          <w:color w:val="000000"/>
          <w:sz w:val="20"/>
        </w:rPr>
        <w:t xml:space="preserve">Average Revenue Per User (“ARPU”). </w:t>
      </w:r>
      <w:r>
        <w:rPr>
          <w:rFonts w:ascii="Times New Roman;serif" w:hAnsi="Times New Roman;serif"/>
          <w:b w:val="false"/>
          <w:color w:val="000000"/>
          <w:sz w:val="20"/>
        </w:rPr>
        <w:t xml:space="preserve">We calculate ARPU as the trailing four quarters of net Billings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the average number of quarterly total Paid Subscribers over that period. We believe ARPU is a key indicator of how successful we are in attracting subscribers to higher value content. We believe that our high ARPU is indicative of the trust we build with our subscribers and of the value they see in our products and services.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ARPU increased by $347, or 73.3%, to $822 as of June 30, 2026 as compared to $474 as of June 30, 2025. The year-over-year increase was driven by a 35% increase in trailing four-quarter Billings, while trailing four-quarter average Paid Subscribers decreased by 22%. The Billings increase was seen across our product categories with the highest level of growth on a percentage basis coming from our software offerings. The decrease in trailing four-quarter Paid Subscribers was driven by the winding down of our Legacy Research business during 2024. At the time of shutdown, paid Legacy Research subscribers were given replacement subscriptions to other affiliates within MarketWise for at least the duration of their original subscription. The last significant batch of these replacement subscriptions expired in the second quarter 2025 and as such, those subscribers are still impacting the trailing four-quarter Paid Subscribers ending June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ARPU increased by $83, or 11.4%, to $822 as of June 30, 2026 as compared to $738 as of March 31, 2026. The sequential increase was driven by a 11.7% increase in trailing four-quarter Billings, while trailing four-quarter average Paid Subscribers were flat. Our ARPUs remain high relative to other subscription businesses, and we attribute this to the quality of our content and effective sales and marketing efforts regarding higher value content, bundled subscriptions and membership subscriptions. </w:t>
      </w:r>
    </w:p>
    <w:p>
      <w:pPr>
        <w:pStyle w:val="TextBody"/>
        <w:bidi w:val="0"/>
        <w:spacing w:lineRule="auto" w:line="288" w:before="0" w:after="180"/>
        <w:jc w:val="left"/>
        <w:rPr/>
      </w:pPr>
      <w:r>
        <w:rPr>
          <w:rFonts w:ascii="Times New Roman;serif" w:hAnsi="Times New Roman;serif"/>
          <w:b/>
          <w:i/>
          <w:color w:val="000000"/>
          <w:sz w:val="20"/>
        </w:rPr>
        <w:t xml:space="preserve">Billings. </w:t>
      </w:r>
      <w:r>
        <w:rPr>
          <w:rFonts w:ascii="Times New Roman;serif" w:hAnsi="Times New Roman;serif"/>
          <w:b w:val="false"/>
          <w:color w:val="000000"/>
          <w:sz w:val="20"/>
        </w:rPr>
        <w:t>Billings represent amounts invoiced to customers. We measure and monitor our Billings because it provides insight into trends in cash generation from our marketing 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 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While Net Revenue and Billings are both related to sales of our products, there are key differences in how those sales are recognized. From a Net Revenue perspective, substantially all of the amounts invoiced to customers are originally reported as deferred revenue on our Balance Sheet and are subsequently recognized as Net Revenue over a period up to 5 years; whereas Billings, as defined above, represents amounts invoiced to customers in each period, and provides more insight from a cash generation perspective. As a result, there will be a perpetual disconnect between Billings and Net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break down our Billings into three sub-categories: New Marketing Billings, Net Renewal Billings, and Other Billings.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New Marketing Billings are Billings from all new subscription sales. New Marketing Billings increased by $32.0 million, or 77.0%, to $73.6 million for second quarter 2026 as compared to $41.6 million for second quarter 2025. The increase was driven by sales across all of our categories, with the largest percentage increases coming from our entry level traditional newsletters followed by software related content and higher value traditional newsletters.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New Marketing Billings increased by $12.7 million, or 21.0% to $73.6 million for second quarter 2026 as compared to $60.9 million in first quarter 2026. The increase was primarily driven by sales of our higher value traditional newsletters in the second quarter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Renewal Billings are Billings from renewals and maintenance fee payments. Net Renewal Billings increased by $1.0 million, or 6.3%, to $16.4 million for second quarter 2026 as compared to $15.4 million for second quarter 2025. The increase was primarily driven by renewals of our higher value traditional newsletters.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Renewal Billings decreased by $2.6 million, or 13.9%, to $16.4 million for second quarter 2026 as compared to $19.0 million for first quarter 2026. The decrease was driven by a far smaller base of subscriptions available for renewal in second quarter 2026 vs first quarter 2026 due to timing of campaigns in the previous year.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Billings are Billings from revenue share, advertising and conferences. Other Billings decreased by $0.1 million, or 2.2% to $1.1 million for second quarter 2026 as compared to $1.2 million for second quarter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Billings decreased by $0.4 million or 22.4% to $1.1 million for second quarter 2026 as compared to $1.5 million for first quarter 2026 as a result of decreasing revenue share activity with external parties.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Billings increased by $33.0 million, or 56.7%, to $91.2 million for the second quarter 2026 as compared to $58.2 million for second quarter 2025. The increase was primarily driven by new marketing sales across all categories.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Billings increased by $9.8 million, or 12.0%, to $91.2 million for second quarter 2026 as compared to $81.4 million for first quarter 2026. The increase was primarily driven by new marketing sales of higher value traditional newsletters and to a lesser extent, new marketing sales of entry level traditional newsletters.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MarketWise’s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Net 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generate net revenue primarily from services provided in delivering term and membership subscription-based financial research, publications, and SaaS offerings to individual subscribers through our online platforms, and from advertising arrangements, print products, and events. We also recognize net revenue through revenue share agreements where we earn a commission for successful sales that other parties generate from our customer list.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Compensation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 Stock-based compensation includes amounts related to our 2021 Incentive Award Plan, our ESPP, and profits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employee compensation costs associated with producing and publishing our content, hosting fees, customer service, credit card processing fees, product costs, and allocated overhead. Cost of revenue is exclusive of depreciation and amortization, which is shown as a separate line item.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employee compensation costs, amortization of deferred contract acquisition costs, agency costs, advertising campaigns, and branding initiatives. Sales and marketing expenses are exclusive of depreciation and amortization shown as a separate line item.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employee compensation costs associated with our finance, legal, information technology, human resources, executive, and administrative personnel, legal fees, corporate insurance, office expenses, professional fees, and travel and entertainment costs.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employee compensation costs, technical services, software expenses, and hosting expenses associated with maintaining and enhancing the functionality of our platforms, including our software and analytical tools. Research and development expenses are exclusive of depreciation and amortization shown as a separate line item.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consist of amortization of trade names, customer relationship intangibles, and software development costs, as well as depreciation on other property and equipment such as leasehold improvements, furniture and fixtures, and computer equipment.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Impairment Losses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Impairment losses relate to impairment of intangible assets.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Related Party Expense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Related party expenses primarily consist of Board of Director compensation, revenue share expenses and expenses for certain corporate functions performed by a related party for certain historic periods.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income, net primarily consists of the net gains or losses on our embedded derivative instruments and gain on sale of business unit.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income, net primarily consists of interest income from our money market accounts.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Income Attributable to Noncontrolling Interests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MarketWise, Inc.’s controlling interest in MarketWise, LLC was 17.0% and the noncontrolling interest was 83.0%. For the three months ended June 30, 2026, net income attributable to controlling interests included a $0.2 million tax benefit, and for six months ended June 30, 2026, net income attributable to controlling interests included a $0.1 million tax benefit both of which were 100% attributable to the controlling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MarketWise, Inc.’s controlling interest in MarketWise, LLC was 14.8% and the noncontrolling interest was 85.2%. For the three and six months ended June 30, 2025, net income attributable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controlling interests included a $0.6 million tax provision and a $1.7 million tax provision, respectively, which is 100% attributable to the controlling interest.</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316"/>
        <w:gridCol w:w="1056"/>
        <w:gridCol w:w="1014"/>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09"/>
        <w:gridCol w:w="109"/>
        <w:gridCol w:w="109"/>
        <w:gridCol w:w="109"/>
        <w:gridCol w:w="156"/>
      </w:tblGrid>
      <w:tr>
        <w:trPr/>
        <w:tc>
          <w:tcPr>
            <w:tcW w:w="131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MarketWise,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(1)Cost of revenue, sales and marketing, general and administrative, and research and development expenses are exclusive of depreciation and amortization shown as a separate line item.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operations data expressed as a percentage of net revenue for the periods indicated:</w:t>
      </w:r>
    </w:p>
    <w:tbl>
      <w:tblPr>
        <w:tblW w:w="10205" w:type="dxa"/>
        <w:jc w:val="left"/>
        <w:tblInd w:w="0" w:type="dxa"/>
        <w:tblLayout w:type="fixed"/>
        <w:tblCellMar>
          <w:top w:w="28" w:type="dxa"/>
          <w:left w:w="28" w:type="dxa"/>
          <w:bottom w:w="28" w:type="dxa"/>
          <w:right w:w="28" w:type="dxa"/>
        </w:tblCellMar>
      </w:tblPr>
      <w:tblGrid>
        <w:gridCol w:w="1486"/>
        <w:gridCol w:w="1260"/>
        <w:gridCol w:w="1230"/>
        <w:gridCol w:w="109"/>
        <w:gridCol w:w="109"/>
        <w:gridCol w:w="109"/>
        <w:gridCol w:w="308"/>
        <w:gridCol w:w="308"/>
        <w:gridCol w:w="425"/>
        <w:gridCol w:w="171"/>
        <w:gridCol w:w="171"/>
        <w:gridCol w:w="171"/>
        <w:gridCol w:w="308"/>
        <w:gridCol w:w="308"/>
        <w:gridCol w:w="425"/>
        <w:gridCol w:w="109"/>
        <w:gridCol w:w="109"/>
        <w:gridCol w:w="109"/>
        <w:gridCol w:w="308"/>
        <w:gridCol w:w="308"/>
        <w:gridCol w:w="394"/>
        <w:gridCol w:w="158"/>
        <w:gridCol w:w="158"/>
        <w:gridCol w:w="158"/>
        <w:gridCol w:w="308"/>
        <w:gridCol w:w="308"/>
        <w:gridCol w:w="394"/>
        <w:gridCol w:w="109"/>
        <w:gridCol w:w="109"/>
        <w:gridCol w:w="109"/>
        <w:gridCol w:w="159"/>
      </w:tblGrid>
      <w:tr>
        <w:trPr/>
        <w:tc>
          <w:tcPr>
            <w:tcW w:w="148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MarketWise,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(1)Cost of revenue, sales and marketing, general and administrative, and research and development expenses are exclusive of depreciation and amortization shown as a separate line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Comparison of Three Months Ended June 30, 2026 and Three Months Ended June 30, 2025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Revenue</w:t>
      </w:r>
    </w:p>
    <w:tbl>
      <w:tblPr>
        <w:tblW w:w="6238" w:type="dxa"/>
        <w:jc w:val="left"/>
        <w:tblInd w:w="0" w:type="dxa"/>
        <w:tblLayout w:type="fixed"/>
        <w:tblCellMar>
          <w:top w:w="28" w:type="dxa"/>
          <w:left w:w="28" w:type="dxa"/>
          <w:bottom w:w="28" w:type="dxa"/>
          <w:right w:w="28" w:type="dxa"/>
        </w:tblCellMar>
      </w:tblPr>
      <w:tblGrid>
        <w:gridCol w:w="413"/>
        <w:gridCol w:w="363"/>
        <w:gridCol w:w="364"/>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39"/>
        <w:gridCol w:w="241"/>
        <w:gridCol w:w="54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net revenue was primarily driven by a decrease of $2.1 million in membership subscription revenue, $1.9 million in term subscription revenue, and $0.2 million in non-subscription 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Membership subscription and term subscription revenue decreased during the three months ended June 30, 2026, primarily due to the wind down of Legacy Research and a decrease in Billings in prior periods causing reduced revenue recognition in the 2026 period since revenue is deferred and recognized over the subscription term. This is partially offset by an increase in Billings. Importantly, while Billings for the second quarter of 2026 increased 56.7% year over year, and represented the strongest quarterly Billings total since 2023, only a portion is recognized as Net Revenue in the current period, with the majority of the Billings recorded as Deferred Revenue to be recognized over future periods.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Non-subscription revenue decreased during the three months ended June 30, 2026, primarily due to decrease in income related to revenue share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7888" w:type="dxa"/>
        <w:jc w:val="left"/>
        <w:tblInd w:w="0" w:type="dxa"/>
        <w:tblLayout w:type="fixed"/>
        <w:tblCellMar>
          <w:top w:w="28" w:type="dxa"/>
          <w:left w:w="28" w:type="dxa"/>
          <w:bottom w:w="28" w:type="dxa"/>
          <w:right w:w="28" w:type="dxa"/>
        </w:tblCellMar>
      </w:tblPr>
      <w:tblGrid>
        <w:gridCol w:w="962"/>
        <w:gridCol w:w="845"/>
        <w:gridCol w:w="84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91"/>
        <w:gridCol w:w="294"/>
        <w:gridCol w:w="54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80,064 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65,139 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14,925 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revenue increased $0.2 million primarily driven by a $1.0 million increase in credit card fees. This increase in Cost of revenue was partially offset by a $0.4 million decrease in stock-based compensation expense, and $0.3 million in salaries, taxes and benefits and outside labor.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$11.2 million primarily due to a $12.8 million increase in marketing expense as the Company increased marketing efforts in the quarter due to multiple successful product launches. The increase in marketing expenses drove higher customer acquisition in the quarter which also resulted in an increase in Paid Subscribers following several years of Paid Subscriber declines. From a timing perspective, the majority of Sales and marketing expenses are recognized in the period incurred whereas a majority of Billings resulting from the marketing efforts are recorded as Deferred Revenue. Additionally, Sales and marketing expense increased due to a $1.2 million increase in salaries, taxes and benefits due to increased headcount. This increase in Sales and marketing expense was partially offset by a $2.6 million decrease in amortization of deferred contract acquisition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$2.9 million primarily due to an increase of $1.4 million in incentive compensation, $0.8 million in professional services, $0.7 million in software expense, $0.3 million in salaries, taxes and benefits, and $1.1 million in stock-based compensation expense. This increase in general and administrative expense was offset by a $1.4 million decrease in outside labor.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$0.6 million primarily due to $0.4 million additional spending for expanded maintenance and enhancement of the Company’s SaaS platform, including increased external technical support. The increase also included $0.2 million of higher spending for freelance editorial and content development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Six Months Ended June 30, 2026 and Six Months Ended June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Revenue</w:t>
      </w:r>
    </w:p>
    <w:tbl>
      <w:tblPr>
        <w:tblW w:w="6553" w:type="dxa"/>
        <w:jc w:val="left"/>
        <w:tblInd w:w="0" w:type="dxa"/>
        <w:tblLayout w:type="fixed"/>
        <w:tblCellMar>
          <w:top w:w="28" w:type="dxa"/>
          <w:left w:w="28" w:type="dxa"/>
          <w:bottom w:w="28" w:type="dxa"/>
          <w:right w:w="28" w:type="dxa"/>
        </w:tblCellMar>
      </w:tblPr>
      <w:tblGrid>
        <w:gridCol w:w="413"/>
        <w:gridCol w:w="363"/>
        <w:gridCol w:w="364"/>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39"/>
        <w:gridCol w:w="241"/>
        <w:gridCol w:w="54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decrease in net revenue was primarily driven by a $8.9 million decrease in term subscription revenue and a $2.3 million decrease in membership subscription revenue, partially offset by a $0.6 million increase in non-subscription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Membership subscription and term subscription revenue decreased during the six months ended June 30, 2026, primarily due to the wind down of Legacy Research and a decrease in Billings in prior periods causing reduced revenue recognition in the 2026 period since revenue is deferred and recognized over the subscription term. This is partially offset by an increase in Billings. Importantly, while Billings for the six months ended June 30, 2026, increased 34.1% year over year, and represented the strongest quarterly Billings total since 2023, only a portion is recognized as Net Revenue in the current period, with the majority of the Billings recorded as Deferred Revenue to be recognized over future periods.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Non-subscription revenue increased during the six months ended June 30, 2026, primarily due to income related to revenue share agreements.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203" w:type="dxa"/>
        <w:jc w:val="left"/>
        <w:tblInd w:w="0" w:type="dxa"/>
        <w:tblLayout w:type="fixed"/>
        <w:tblCellMar>
          <w:top w:w="28" w:type="dxa"/>
          <w:left w:w="28" w:type="dxa"/>
          <w:bottom w:w="28" w:type="dxa"/>
          <w:right w:w="28" w:type="dxa"/>
        </w:tblCellMar>
      </w:tblPr>
      <w:tblGrid>
        <w:gridCol w:w="962"/>
        <w:gridCol w:w="845"/>
        <w:gridCol w:w="84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42"/>
        <w:gridCol w:w="348"/>
        <w:gridCol w:w="54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158,189 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131,866 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26,323 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revenue decreased $0.6 million primarily driven by a $1.1 million decrease in stock-based compensation expense, $0.4 million in salaries, taxes and benefits and outside labor and $0.3 million in customer service expense. This decrease in Cost of revenue was partially offset by an increase of $1.2 million in credit card fees.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$16.8 million primarily due to a $22.1 million increase in marketing expense as the Company meaningfully increased marketing efforts in the first half of 2026 due to multiple successful product launches. The increase in marketing expenses drove significantly higher customer acquisition in the quarter which also resulted in an increase in Paid Subscribers following several years of Paid Subscriber declines. From a timing perspective, the majority of Sales and marketing expenses are recognized in the period incurred whereas a majority of Billings resulting from the marketing efforts are recorded as Deferred Revenue. Additionally, Sales and marketing expense increased due to a $2.2 million increase in salaries, taxes and benefits due to increased headcount. This increase in Sales and marketing expense was partially offset by a $7.3 million decrease in amortization of deferred contract acquisition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increased $9.8 million primarily due to $2.5 million increase in variable compensation, $2.3 million in professional services, $1.4 million in software expense and $1.0 million in salaries, taxes and benefits. Additionally, the 2025 period’s expense was reduced by one time items including a $1.6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gain on lease termination and a $1.7 million gain primarily from change in fair value of contingent consideration. These increases were partially offset by a $0.9 million decrease in outside labor.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increased $0.6 million primarily due higher spending related to expanded maintenance and enhancements, including increased external technical support and additional project scope.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we believe that the below non-GAAP financial measures are useful in evaluating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 GAAP financial measures and the reconciliations of these non-GAAP financial measures to their most directly comparable 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new non-GAAP measures are provided in addition to, and not as a substitute for or superior to, our existing non-GAAP financial measures, which we will continue to present.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Management uses these non-GAAP measures internally to evaluate performance and make operating decisions, and we believe they provide a meaningful perspective to investors when used in conjunction with our GAAP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non-GAAP measures have limitations as analytical tools, and should not be considered in isolation or as substitutes for analysis of other GAAP financial measures, such as cash flow from operations, operating cash flow margin, and net income. Some of the limitations of using these non-GAAP measures are that these metrics may be calculated differently by other companies in our industry.</w: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633"/>
        <w:gridCol w:w="549"/>
        <w:gridCol w:w="551"/>
        <w:gridCol w:w="109"/>
        <w:gridCol w:w="109"/>
        <w:gridCol w:w="109"/>
        <w:gridCol w:w="211"/>
        <w:gridCol w:w="721"/>
        <w:gridCol w:w="271"/>
        <w:gridCol w:w="109"/>
        <w:gridCol w:w="109"/>
        <w:gridCol w:w="109"/>
        <w:gridCol w:w="211"/>
        <w:gridCol w:w="721"/>
        <w:gridCol w:w="271"/>
        <w:gridCol w:w="109"/>
        <w:gridCol w:w="109"/>
        <w:gridCol w:w="109"/>
        <w:gridCol w:w="275"/>
        <w:gridCol w:w="275"/>
        <w:gridCol w:w="276"/>
        <w:gridCol w:w="109"/>
        <w:gridCol w:w="109"/>
        <w:gridCol w:w="109"/>
        <w:gridCol w:w="211"/>
        <w:gridCol w:w="721"/>
        <w:gridCol w:w="271"/>
        <w:gridCol w:w="109"/>
        <w:gridCol w:w="109"/>
        <w:gridCol w:w="109"/>
        <w:gridCol w:w="211"/>
        <w:gridCol w:w="721"/>
        <w:gridCol w:w="271"/>
        <w:gridCol w:w="109"/>
        <w:gridCol w:w="109"/>
        <w:gridCol w:w="109"/>
        <w:gridCol w:w="255"/>
        <w:gridCol w:w="255"/>
        <w:gridCol w:w="362"/>
      </w:tblGrid>
      <w:tr>
        <w:trPr/>
        <w:tc>
          <w:tcPr>
            <w:tcW w:w="63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3.9%</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(1.5)%</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Adjusted CFFO / Adjusted CFFO Margin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Adjusted CFFO and Adjusted CFFO Margin are useful indicators that provide information to management and investors about our ability to generate cash, and for internal planning and forecasting purposes.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provided by operating activities, the most directly comparable financial measure calculated in accordance with GAAP, to Adjusted CFFO for each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008"/>
        <w:gridCol w:w="685"/>
        <w:gridCol w:w="687"/>
        <w:gridCol w:w="109"/>
        <w:gridCol w:w="109"/>
        <w:gridCol w:w="109"/>
        <w:gridCol w:w="211"/>
        <w:gridCol w:w="721"/>
        <w:gridCol w:w="109"/>
        <w:gridCol w:w="109"/>
        <w:gridCol w:w="109"/>
        <w:gridCol w:w="109"/>
        <w:gridCol w:w="211"/>
        <w:gridCol w:w="721"/>
        <w:gridCol w:w="109"/>
        <w:gridCol w:w="109"/>
        <w:gridCol w:w="109"/>
        <w:gridCol w:w="109"/>
        <w:gridCol w:w="275"/>
        <w:gridCol w:w="275"/>
        <w:gridCol w:w="276"/>
        <w:gridCol w:w="109"/>
        <w:gridCol w:w="109"/>
        <w:gridCol w:w="109"/>
        <w:gridCol w:w="211"/>
        <w:gridCol w:w="721"/>
        <w:gridCol w:w="109"/>
        <w:gridCol w:w="109"/>
        <w:gridCol w:w="109"/>
        <w:gridCol w:w="109"/>
        <w:gridCol w:w="211"/>
        <w:gridCol w:w="721"/>
        <w:gridCol w:w="109"/>
        <w:gridCol w:w="109"/>
        <w:gridCol w:w="109"/>
        <w:gridCol w:w="109"/>
        <w:gridCol w:w="255"/>
        <w:gridCol w:w="255"/>
        <w:gridCol w:w="363"/>
      </w:tblGrid>
      <w:tr>
        <w:trPr/>
        <w:tc>
          <w:tcPr>
            <w:tcW w:w="100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i/>
                <w:color w:val="000000"/>
                <w:sz w:val="20"/>
              </w:rPr>
            </w:pPr>
            <w:r>
              <w:rPr>
                <w:rFonts w:ascii="Times New Roman;serif" w:hAnsi="Times New Roman;serif"/>
                <w:b w:val="false"/>
                <w:i/>
                <w:color w:val="000000"/>
                <w:sz w:val="20"/>
              </w:rPr>
              <w:t>3.9%</w:t>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N/M</w:t>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CFFO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3.9%</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calculation of net cash provided by operating activities margin as a percentage of total net revenue, the most directly comparable financial measure in accordance with GAAP, and Adjusted CFFO Margin for each of the periods presented:</w:t>
      </w:r>
    </w:p>
    <w:tbl>
      <w:tblPr>
        <w:tblW w:w="10205" w:type="dxa"/>
        <w:jc w:val="left"/>
        <w:tblInd w:w="0" w:type="dxa"/>
        <w:tblLayout w:type="fixed"/>
        <w:tblCellMar>
          <w:top w:w="28" w:type="dxa"/>
          <w:left w:w="28" w:type="dxa"/>
          <w:bottom w:w="28" w:type="dxa"/>
          <w:right w:w="28" w:type="dxa"/>
        </w:tblCellMar>
      </w:tblPr>
      <w:tblGrid>
        <w:gridCol w:w="684"/>
        <w:gridCol w:w="553"/>
        <w:gridCol w:w="555"/>
        <w:gridCol w:w="109"/>
        <w:gridCol w:w="109"/>
        <w:gridCol w:w="109"/>
        <w:gridCol w:w="211"/>
        <w:gridCol w:w="721"/>
        <w:gridCol w:w="271"/>
        <w:gridCol w:w="109"/>
        <w:gridCol w:w="109"/>
        <w:gridCol w:w="109"/>
        <w:gridCol w:w="211"/>
        <w:gridCol w:w="721"/>
        <w:gridCol w:w="271"/>
        <w:gridCol w:w="109"/>
        <w:gridCol w:w="109"/>
        <w:gridCol w:w="109"/>
        <w:gridCol w:w="265"/>
        <w:gridCol w:w="265"/>
        <w:gridCol w:w="266"/>
        <w:gridCol w:w="109"/>
        <w:gridCol w:w="109"/>
        <w:gridCol w:w="109"/>
        <w:gridCol w:w="211"/>
        <w:gridCol w:w="721"/>
        <w:gridCol w:w="271"/>
        <w:gridCol w:w="109"/>
        <w:gridCol w:w="109"/>
        <w:gridCol w:w="109"/>
        <w:gridCol w:w="211"/>
        <w:gridCol w:w="721"/>
        <w:gridCol w:w="271"/>
        <w:gridCol w:w="109"/>
        <w:gridCol w:w="109"/>
        <w:gridCol w:w="109"/>
        <w:gridCol w:w="246"/>
        <w:gridCol w:w="246"/>
        <w:gridCol w:w="351"/>
      </w:tblGrid>
      <w:tr>
        <w:trPr/>
        <w:tc>
          <w:tcPr>
            <w:tcW w:w="68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3.9%</w:t>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(6.5)%</w:t>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3.9%</w:t>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34.1%</w:t>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CFFO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CFFO and Adjusted CFFO for the three months ended June 30, 2026 was primarily due to net loss of $2.6 million, adjusted for net non-cash items which increased cash by $3.3 million. This was partially offset by net changes in our operating assets and liabilities which increased cash by $21.8 million, primarily driven by changes in deferred contract costs and deferred 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nature of our business, CFFO fluctuates from quarter to quarter. Specifically, Q2 and Q4 tend to have higher CFFO while Q1 and Q3 tend to have lower CFFO. The amount of CFFO in any given quarter is impacted by the timing of product launches, marketing campaigns, and discrete working capital items.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define Free Cash Flow as net cash provided by (used in) operating activities less capital expenditures. We define capital expenditures as purchases of property and equipment plus capitalized software development costs. Acquisitions are not included in capital expenditures.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Free Cash Flow is a useful indicator that provides information to management and investors about the cash generated by the business that is available for discretionary purposes, such as dividends and strategic investments.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provided by operating activities, the most directly comparable financial measure calculated in accordance with GAAP, to Free Cash Flow for each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919"/>
        <w:gridCol w:w="599"/>
        <w:gridCol w:w="601"/>
        <w:gridCol w:w="109"/>
        <w:gridCol w:w="109"/>
        <w:gridCol w:w="109"/>
        <w:gridCol w:w="211"/>
        <w:gridCol w:w="721"/>
        <w:gridCol w:w="109"/>
        <w:gridCol w:w="109"/>
        <w:gridCol w:w="109"/>
        <w:gridCol w:w="109"/>
        <w:gridCol w:w="211"/>
        <w:gridCol w:w="721"/>
        <w:gridCol w:w="109"/>
        <w:gridCol w:w="109"/>
        <w:gridCol w:w="109"/>
        <w:gridCol w:w="109"/>
        <w:gridCol w:w="275"/>
        <w:gridCol w:w="275"/>
        <w:gridCol w:w="276"/>
        <w:gridCol w:w="109"/>
        <w:gridCol w:w="109"/>
        <w:gridCol w:w="109"/>
        <w:gridCol w:w="211"/>
        <w:gridCol w:w="721"/>
        <w:gridCol w:w="109"/>
        <w:gridCol w:w="109"/>
        <w:gridCol w:w="109"/>
        <w:gridCol w:w="109"/>
        <w:gridCol w:w="211"/>
        <w:gridCol w:w="721"/>
        <w:gridCol w:w="109"/>
        <w:gridCol w:w="109"/>
        <w:gridCol w:w="109"/>
        <w:gridCol w:w="109"/>
        <w:gridCol w:w="308"/>
        <w:gridCol w:w="308"/>
        <w:gridCol w:w="518"/>
      </w:tblGrid>
      <w:tr>
        <w:trPr/>
        <w:tc>
          <w:tcPr>
            <w:tcW w:w="91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188.6 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refer to this accumulation of cash as our “float” which we view as a valuable resource that we may invest or use to expand our operations. The Company estimates that the amount of “float” was approximately $97.2 million and $98.2 million as of June 30, 2026 and December 31, 2025, respectively. As part of the Company's broader capital allocation strategy, our consolidated cash balance may from time to time decline below our estimate of the long term float requirement.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may invest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respectively, the Company earned interest income of $0.3 million and $0.8 million, respectively, on our cash portfolio which was invested solely in money market funds.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may allocate a portion of our “float” to investments meeting pre-determined guidelines, including U.S.-listed equity securities, with the objective to provide an acceptable rate of return while complying with established risk tolerances and liquidity parameters. The Board is responsible for approving investment decisions. Gains and losses on marketable securities may fluctuate significantly from period to period in the future and could have a significant impact on the Company’s results of operations. Historically, the Company has only invested in money market funds.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our principal sources of liquidity were cash and cash equivalents of $32.9 million. Cash and cash equivalents are comprised of bank deposits, money market funds, and certificates of deposit. We have financed our operations primarily through cash received from operations, and our sources of liquidity have enabled us to make continued investments in supporting the growth of our business. We expect that our anticipated operating cash flows, in addition to cash on hand, will enable us to continue to make investments in the future, and to pay dividends. We expect our operating cash flows to further improve as we increase our operational efficiency and experience economies of scale.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pay quarterly dividends on shares of our Class A common stock and a proportionate amount of distributions on our LLC Units.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dividends and distributions declared during the six months ended June 30, 2026, were as follows:</w:t>
      </w:r>
    </w:p>
    <w:tbl>
      <w:tblPr>
        <w:tblW w:w="7860" w:type="dxa"/>
        <w:jc w:val="left"/>
        <w:tblInd w:w="0" w:type="dxa"/>
        <w:tblLayout w:type="fixed"/>
        <w:tblCellMar>
          <w:top w:w="28" w:type="dxa"/>
          <w:left w:w="28" w:type="dxa"/>
          <w:bottom w:w="28" w:type="dxa"/>
          <w:right w:w="28" w:type="dxa"/>
        </w:tblCellMar>
      </w:tblPr>
      <w:tblGrid>
        <w:gridCol w:w="276"/>
        <w:gridCol w:w="243"/>
        <w:gridCol w:w="247"/>
        <w:gridCol w:w="429"/>
        <w:gridCol w:w="429"/>
        <w:gridCol w:w="431"/>
        <w:gridCol w:w="464"/>
        <w:gridCol w:w="464"/>
        <w:gridCol w:w="467"/>
        <w:gridCol w:w="211"/>
        <w:gridCol w:w="511"/>
        <w:gridCol w:w="109"/>
        <w:gridCol w:w="109"/>
        <w:gridCol w:w="109"/>
        <w:gridCol w:w="109"/>
        <w:gridCol w:w="211"/>
        <w:gridCol w:w="466"/>
        <w:gridCol w:w="109"/>
        <w:gridCol w:w="109"/>
        <w:gridCol w:w="109"/>
        <w:gridCol w:w="109"/>
        <w:gridCol w:w="211"/>
        <w:gridCol w:w="511"/>
        <w:gridCol w:w="109"/>
        <w:gridCol w:w="109"/>
        <w:gridCol w:w="109"/>
        <w:gridCol w:w="109"/>
        <w:gridCol w:w="211"/>
        <w:gridCol w:w="616"/>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Dividends on </w:t>
              <w:b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distributions on</w:t>
              <w:br/>
              <w:t>LLC Units</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declared</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paid</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Special </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 2026</w:t>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 2026</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and the introduction of new and enhanced products. We may, in the future, enter into arrangements to acquire or invest in complementary businesses, products, and technologies.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incur payment obligations under the Tax Receivable Agreement in the future. These obligations correspond to future cash tax savings that MarketWise, Inc. derives from tax-related benefits created as MarketWise Members exchange their LLC Units for shares of Class A common stock of MarketWise, Inc. This obligation is equal to 85% of the estimated future tax benefit for MarketWise, Inc. and is recorded as a TRA liability on the condensed consolidated balance sheet. The TRA liability was $3.1 million as of June 30, 2026. During the three and six months ended June 30, 2026, the Company paid $0.0 million and $0.1 million under the TRA, respectively, and expects to pay $0.6 million within the next twelve months. These obligations may be significant in the future. MarketWise, Inc. intends to cause MarketWise, LLC to make distributions to MarketWise, Inc. in an amount sufficient to allow MarketWise, Inc. to pay its tax obligations and operating expenses, including distributions to fund any payments due under the Tax Receivable Agreement. 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 Inc. is unable to make timely payments under the Tax Receivable Agreement for any reason, the unpaid amounts will be deferred and will accrue interest until paid. For additional information regarding the Tax Receivable Agreement, see the section entitled “ Management’s Discussion and Analysis of Financial Condition and Results of Operations—Liquidity and Capital Resources—Tax Receivable Agreement” in the Annual Report.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to the extent we have taxable income, we will make distributions to the MarketWise Members and to MarketWise, Inc. in amounts sufficient for the recipients to pay taxes due on their share of MarketWise income at prevailing individual income tax rates, which for the 2026 tax year the highest federal, state and local tax rate the Company used was 50.6%. In the quarter ended June 30, 2026, MarketWise, LLC made quarterly tax distributions of $33.7 million proportionately to all MarketWise Members, including MarketWise, Inc. These quarterly tax distributions to MarketWise, Inc. exceeded its corporate tax liability and enabled MarketWise, Inc. to declare and pay the aforementioned special dividend with the excess tax distribution proceeds. We expect MarketWise, Inc. will receive quarterly tax distributions in future quarters such that quarterly special dividends are expected to continue, however the amount is uncertain. Beginning in the third quarter 2026, the Company declared a regular dividend in the amount of $0.45 to holders of Class A common stock and will discontinue the use of the term special dividend. A comparable distribution of $0.25 per unit has also been approved to holders of MarketWise, LLC units. We expect to continue to calculate and issue regular dividends using a methodology equivalent to historical total dividends, such that we expect no material change to our capital 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and cash flow from operations will be sufficient to support working capital and capital expenditure requirements for at least the next 12 months. However, in the event that we require additional financing in the future,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On February 28, 2025, the Company announced that the Board authorized a stock repurchase program of up to </w:t>
      </w:r>
      <w:r>
        <w:rPr>
          <w:rFonts w:ascii="Times New Roman;serif" w:hAnsi="Times New Roman;serif"/>
          <w:b w:val="false"/>
          <w:color w:val="000000"/>
          <w:sz w:val="20"/>
        </w:rPr>
        <w:t>$50 million, which expired in April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 announced that the Board of Directors authorized a new stock repurchase program of up to $50 million of Class A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each share of Class A common stock the Company repurchases under the share repurchase program, MarketWise, LLC, the Company’s direct subsidiary, will redeem one common unit of MarketWise, LLC held by the Company, decreasing the percentage ownership of MarketWise, LLC by the Company and relatively increasing the ownership by the other unit holders of MarketWise, LLC. During the three and six months ended June 30, 2026, we repurchased 18,054 shares totaling $313 in the aggregate, and 21,311 shares totaling $370 in the aggregate,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Legacy Reorganization</w:t>
      </w:r>
    </w:p>
    <w:p>
      <w:pPr>
        <w:pStyle w:val="TextBody"/>
        <w:bidi w:val="0"/>
        <w:spacing w:lineRule="auto" w:line="288" w:before="0" w:after="180"/>
        <w:jc w:val="left"/>
        <w:rPr/>
      </w:pPr>
      <w:r>
        <w:rPr>
          <w:rFonts w:ascii="Times New Roman;serif" w:hAnsi="Times New Roman;serif"/>
          <w:b w:val="false"/>
          <w:color w:val="000000"/>
          <w:sz w:val="20"/>
        </w:rPr>
        <w:t xml:space="preserve">In October 2024, we completed our reorganization and operational transition plans with respect to substantially all of the Legacy Research brands. The Company dissolved the Legacy Research legal entities during the second quarter 2025. For further background, see </w:t>
      </w:r>
      <w:r>
        <w:rPr>
          <w:rFonts w:ascii="Times New Roman;serif" w:hAnsi="Times New Roman;serif"/>
          <w:b w:val="false"/>
          <w:i/>
          <w:color w:val="000000"/>
          <w:sz w:val="20"/>
        </w:rPr>
        <w:t>Note 4 – Acquisitions and Disposals</w:t>
      </w:r>
      <w:r>
        <w:rPr>
          <w:color w:val="000000"/>
        </w:rPr>
        <w:t xml:space="preserve"> </w:t>
      </w:r>
      <w:r>
        <w:rPr>
          <w:rFonts w:ascii="Times New Roman;serif" w:hAnsi="Times New Roman;serif"/>
          <w:b w:val="false"/>
          <w:color w:val="000000"/>
          <w:sz w:val="20"/>
        </w:rPr>
        <w:t>in our Annual Report on Form 10-K for the year ended December 31, 2024</w:t>
      </w:r>
      <w:r>
        <w:rPr>
          <w:rFonts w:ascii="Times New Roman;serif" w:hAnsi="Times New Roman;serif"/>
          <w:b w:val="false"/>
          <w:i/>
          <w:color w:val="000000"/>
          <w:sz w:val="20"/>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Legacy Research agreed to terminate its office lease early. During the three months ended March 31, 2025, the Company recorded an impairment loss on leasehold improvement assets totaling $380, and the related lease was terminated for a gain of $1,646, which is included within general and administrative expense.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consolidated cash flows provided by (used in) operating, investing, and financing activities for the periods indicated:</w:t>
      </w:r>
    </w:p>
    <w:tbl>
      <w:tblPr>
        <w:tblW w:w="6245" w:type="dxa"/>
        <w:jc w:val="left"/>
        <w:tblInd w:w="0" w:type="dxa"/>
        <w:tblLayout w:type="fixed"/>
        <w:tblCellMar>
          <w:top w:w="28" w:type="dxa"/>
          <w:left w:w="28" w:type="dxa"/>
          <w:bottom w:w="28" w:type="dxa"/>
          <w:right w:w="28" w:type="dxa"/>
        </w:tblCellMar>
      </w:tblPr>
      <w:tblGrid>
        <w:gridCol w:w="1255"/>
        <w:gridCol w:w="1103"/>
        <w:gridCol w:w="1106"/>
        <w:gridCol w:w="109"/>
        <w:gridCol w:w="109"/>
        <w:gridCol w:w="109"/>
        <w:gridCol w:w="211"/>
        <w:gridCol w:w="721"/>
        <w:gridCol w:w="109"/>
        <w:gridCol w:w="109"/>
        <w:gridCol w:w="109"/>
        <w:gridCol w:w="109"/>
        <w:gridCol w:w="211"/>
        <w:gridCol w:w="72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provided by operating activities was $20.3 million, attributable to net loss of $3.2 million adjusted for net non-cash items which increased cash by $6.2 million and net changes in our operating assets and liabilities which increased cash by $17.3 million (primarily driven by net changes in deferred contract costs and deferred revenue). The non-cash items include stock-based compensation expense of $5.1 million, and depreciation and amortization expense of $1.1 million.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operating activities was $19.6 million, primarily due to net income of $32.2 million, adjusted for net non-cash items which increased cash by $8.0 million, and partially offset by net changes in our operating assets and liabilities which reduced cash by $20.5 million. The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items include stock-based compensation expense and depreciation and amortization of 5.7 million and 1.0 million, respectively. The changes in operating assets and liabilities were primarily driven by a decrease in deferred revenue, which reduced cash by $33.1 million due to lower Billings, partially offset by a decrease in deferred contract acquisition costs, which increased cash by $16.6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used in investing activities was $1.6 million, primarily for purchases of property and equipment, and capitalized software costs.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investing activities was $0.6 million, primarily driven by $0.4 million in capitalized software development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financing activities was $55.9 million, primarily driven by $33.7 million in tax distribution to noncontrolling interests, $6.7 million in other distribution to noncontrolling interests, $2.3 million in dividends to Class A shareholders and $12.2 million in one-time cash settlement payment.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financing activities was $47.8 million, primarily due to $33.8 million in tax distributions to noncontrolling interests, $9.1 million in other distribution to noncontrolling interests, $2.8 million in dividends to Class A shareholders, and $1.9 million in repurchases of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financial statements have been prepared in accordance with GAAP. The preparation of these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Management believes that, of our significant accounting policies, which are described in Note 2 to our consolidated financial statements for the year ended December 31, 2025 in our Annual Report, the following accounting policies involve a greater degree of judgment and complexity. Accordingly, management believes that “Revenue Recognition” and “Transactions and Valuation of Goodwill and Other Acquired Intangible Assets” are the two policies that are the most critical to aid in fully understanding and evaluating our condensed consolidated financial condition and results of operations. Refer to the 2025 Annual Report on Form 10-K for further discussion of these two policies. During the three and six months ended June 30, 2026, there were no material changes to these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Operating and Financial Officer, evaluated, as of the end of the period covered by this Quarterly Report on Form 10-Q, the effectiveness of the design and operation of our disclosure controls and procedures (as defined in Rules 13a-15(e) and 15d-15(e) under the Exchange Act of 1934, as amended (the “Exchange Act”)). Based on that evaluation, our Chief Executive Officer and Chief Operating and Financial Officer concluded that, as of June 30, 2026, our disclosure controls and procedures are effective.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quarter ended June 30, 2026, that have materially affected, or are reasonably likely to materially affect, our internal control over financial reporting identified in connection with the evaluation required by Rule 13a-15(d) and 15d-15(d) of the Exchange Act.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Operating and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April 21, 2026, the Company and MarketWise, LLC (collectively, the “MarketWise Group”) entered into a Settlement Agreement and Release (the “Settlement Agreement”) with Mark P. Arnold, the Company’s former Chief Executive Officer, and JAMA 2021, LLC (together with Mr. Arnold, the “Arnold Parties”). The Settlement Agreement resolves Mr. Arnold’s demand for arbitration (“Arbitration”) that was previously disclosed in Item 3 of the Company’s Annual Reports filed on Form 10-K for the fiscal years ended December 31, 2024 and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Settlement Agreement: (i) on April 22, 2026 the MarketWise Group made a one-time cash payment of $12.16 million to Mr. Arnold (the “Settlement Payment”); (ii) the Arnold Parties surrendered, and MarketWise, LLC redeemed and canceled an aggregate of 520,867 common units of MarketWise, LLC (the “Common Units”), along with the corresponding shares of the Company’s Class B common stock, held by the Arnold Parties; (iii) the Arnold Parties waived and released their rights, including rights to future payments, under that certain Tax Receivables Agreement dated July 21, 2021, by and among the Company, Marketwise, LLC and the members of Marketwise, LLC; (iv) MarketWise and the Arnold Parties agreed to mutual general releases resolving all claims, including claims in the Arbitration; and (v) MarketWise agreed to indemnify Mr. Arnold for certain possible tax implications associated with his claims underlying the Arbitration.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Settlement Agreement was reached as a compromise and should not be construed as an admission by any of the parties with respect to any allegation, fact, liability, or fault.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Settlement Agreement is qualified in its entirety by reference to the full text of the Settlement Agreement. See Exhibit 10.1 to this Quarterly Report on Form 10-Q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risks described below could have a material adverse impact on our business, financial condition, or operating results. Although it is not possible to predict or identify all such risks and uncertainties, they may include, but are not limited to, the factors discussed below. The risks and uncertainties described below are not the only 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we face. Additional risks and uncertainties that we are unaware of, or that we currently believe are not material, may also become important factors that adversely affect our business or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risk factors disclosed in Part 1, Item 1A,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information with respect to purchases made by or on behalf of the Company of its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411"/>
        <w:gridCol w:w="362"/>
        <w:gridCol w:w="366"/>
        <w:gridCol w:w="587"/>
        <w:gridCol w:w="482"/>
        <w:gridCol w:w="484"/>
        <w:gridCol w:w="109"/>
        <w:gridCol w:w="109"/>
        <w:gridCol w:w="109"/>
        <w:gridCol w:w="302"/>
        <w:gridCol w:w="882"/>
        <w:gridCol w:w="155"/>
        <w:gridCol w:w="109"/>
        <w:gridCol w:w="109"/>
        <w:gridCol w:w="109"/>
        <w:gridCol w:w="837"/>
        <w:gridCol w:w="759"/>
        <w:gridCol w:w="762"/>
        <w:gridCol w:w="109"/>
        <w:gridCol w:w="109"/>
        <w:gridCol w:w="109"/>
        <w:gridCol w:w="549"/>
        <w:gridCol w:w="1878"/>
        <w:gridCol w:w="408"/>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a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Dollar Value of Shares that May Yet Be Purchased Under the Plan </w:t>
            </w:r>
            <w:r>
              <w:rPr>
                <w:rFonts w:ascii="Times New Roman;serif" w:hAnsi="Times New Roman;serif"/>
                <w:b w:val="false"/>
                <w:i/>
                <w:color w:val="000000"/>
                <w:sz w:val="16"/>
              </w:rPr>
              <w:t>(in thousands)</w:t>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June 1 to June 30, 2026</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49,688 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18,054 </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18,054 </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28, 2025, the Company announced that the Board authorized a stock repurchase program of up $50 million in aggregate of shares of the Company’s Class A common stock, which expired in April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7, 2026, the Company announced that the Board authorized a new stock repurchase program of up to $50 million of Class A common stock. Repurchases under the program have been authorized for the next 12 months but the program may be modified, suspended, or terminated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October 29, 2025, the Company announced that it had received a proposal (the "Proposal") from Monument &amp; Cathedral Holdings, LLC (collectively with its affiliates, “M&amp;C”) to acquire all of the outstanding equity interests of each of the Company and Marketwise, LLC that are not owned directly or indirectly by M&amp;C, for cash consideration of $17.25 per share, which is contingent upon the termination of the Company’s Tax Receivable Agreement concurrent with the closing of the transaction. Upon receiving the Proposal, the Company suspended repurchases under its share repurchase program effective October 30, 2025. The Company resumed repurchases in March 2026.</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2698"/>
        <w:gridCol w:w="2598"/>
        <w:gridCol w:w="3701"/>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Settlement Agreement, dated April 21, 2026, by and between the Company and Mark P. Arnold and Jama 2021, LLC (incorporated by reference to Exhibit 10.1 to the Issuer’s current report on Form 8-K filed on April 24, 2026).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02610-q_exhibit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02610-q_exhibit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02610-q_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02610-q_exhibit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155" w:type="dxa"/>
        <w:jc w:val="left"/>
        <w:tblInd w:w="0" w:type="dxa"/>
        <w:tblLayout w:type="fixed"/>
        <w:tblCellMar>
          <w:top w:w="28" w:type="dxa"/>
          <w:left w:w="28" w:type="dxa"/>
          <w:bottom w:w="28" w:type="dxa"/>
          <w:right w:w="28" w:type="dxa"/>
        </w:tblCellMar>
      </w:tblPr>
      <w:tblGrid>
        <w:gridCol w:w="667"/>
        <w:gridCol w:w="587"/>
        <w:gridCol w:w="590"/>
        <w:gridCol w:w="367"/>
        <w:gridCol w:w="367"/>
        <w:gridCol w:w="367"/>
        <w:gridCol w:w="939"/>
        <w:gridCol w:w="939"/>
        <w:gridCol w:w="133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Dr. David Eifrig,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MarketWise, Inc. (the “registrant”) for the fiscal quarter ended June 30, 2026;</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81" w:type="dxa"/>
        <w:jc w:val="left"/>
        <w:tblInd w:w="0" w:type="dxa"/>
        <w:tblLayout w:type="fixed"/>
        <w:tblCellMar>
          <w:top w:w="28" w:type="dxa"/>
          <w:left w:w="28" w:type="dxa"/>
          <w:bottom w:w="28" w:type="dxa"/>
          <w:right w:w="28" w:type="dxa"/>
        </w:tblCellMar>
      </w:tblPr>
      <w:tblGrid>
        <w:gridCol w:w="667"/>
        <w:gridCol w:w="587"/>
        <w:gridCol w:w="590"/>
        <w:gridCol w:w="289"/>
        <w:gridCol w:w="289"/>
        <w:gridCol w:w="289"/>
        <w:gridCol w:w="604"/>
        <w:gridCol w:w="604"/>
        <w:gridCol w:w="86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David Eifrig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Eifrig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Erik Mickels,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MarketWise, Inc. (the “registrant”) for the fiscal quarter ended June 30, 2026;</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921" w:type="dxa"/>
        <w:jc w:val="left"/>
        <w:tblInd w:w="0" w:type="dxa"/>
        <w:tblLayout w:type="fixed"/>
        <w:tblCellMar>
          <w:top w:w="28" w:type="dxa"/>
          <w:left w:w="28" w:type="dxa"/>
          <w:bottom w:w="28" w:type="dxa"/>
          <w:right w:w="28" w:type="dxa"/>
        </w:tblCellMar>
      </w:tblPr>
      <w:tblGrid>
        <w:gridCol w:w="667"/>
        <w:gridCol w:w="587"/>
        <w:gridCol w:w="590"/>
        <w:gridCol w:w="289"/>
        <w:gridCol w:w="289"/>
        <w:gridCol w:w="289"/>
        <w:gridCol w:w="937"/>
        <w:gridCol w:w="937"/>
        <w:gridCol w:w="13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Dr. David Eifrig, certify, pursuant to 18 U.S.C. Section 1350, as adopted pursuant to Section 906 of the Sarbanes-Oxley Act of 2002, that the Quarterly Report on Form 10-Q of MarketWise, Inc. for the fiscal quarter ended June 30, 2026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tbl>
      <w:tblPr>
        <w:tblW w:w="4781" w:type="dxa"/>
        <w:jc w:val="left"/>
        <w:tblInd w:w="0" w:type="dxa"/>
        <w:tblLayout w:type="fixed"/>
        <w:tblCellMar>
          <w:top w:w="28" w:type="dxa"/>
          <w:left w:w="28" w:type="dxa"/>
          <w:bottom w:w="28" w:type="dxa"/>
          <w:right w:w="28" w:type="dxa"/>
        </w:tblCellMar>
      </w:tblPr>
      <w:tblGrid>
        <w:gridCol w:w="667"/>
        <w:gridCol w:w="587"/>
        <w:gridCol w:w="590"/>
        <w:gridCol w:w="289"/>
        <w:gridCol w:w="289"/>
        <w:gridCol w:w="289"/>
        <w:gridCol w:w="604"/>
        <w:gridCol w:w="604"/>
        <w:gridCol w:w="86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David Eifrig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Eifrig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Erik Mickels, certify, pursuant to 18 U.S.C. Section 1350, as adopted pursuant to Section 906 of the Sarbanes-Oxley Act of 2002, that the Quarterly Report on Form 10-Q of MarketWise, Inc. for the fiscal quarter ended June 30, 2026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tbl>
      <w:tblPr>
        <w:tblW w:w="5921" w:type="dxa"/>
        <w:jc w:val="left"/>
        <w:tblInd w:w="0" w:type="dxa"/>
        <w:tblLayout w:type="fixed"/>
        <w:tblCellMar>
          <w:top w:w="28" w:type="dxa"/>
          <w:left w:w="28" w:type="dxa"/>
          <w:bottom w:w="28" w:type="dxa"/>
          <w:right w:w="28" w:type="dxa"/>
        </w:tblCellMar>
      </w:tblPr>
      <w:tblGrid>
        <w:gridCol w:w="667"/>
        <w:gridCol w:w="587"/>
        <w:gridCol w:w="590"/>
        <w:gridCol w:w="289"/>
        <w:gridCol w:w="289"/>
        <w:gridCol w:w="289"/>
        <w:gridCol w:w="937"/>
        <w:gridCol w:w="937"/>
        <w:gridCol w:w="13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bl>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651/000180565126000038/exhibit101-arnoldsettlemen.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22997</Words>
  <Characters>127566</Characters>
  <CharactersWithSpaces>148857</CharactersWithSpaces>
  <Paragraphs>3612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