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60325</wp:posOffset>
            </wp:positionV>
            <wp:extent cx="1825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1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74930</wp:posOffset>
            </wp:positionV>
            <wp:extent cx="1508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350" w:lineRule="exact"/>
        <w:rPr>
          <w:sz w:val="24"/>
          <w:szCs w:val="24"/>
          <w:color w:val="auto"/>
        </w:rPr>
      </w:pPr>
    </w:p>
    <w:p>
      <w:pPr>
        <w:ind w:left="1380" w:hanging="598"/>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7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For the quarterly period ended June 30, 2024</w:t>
      </w:r>
    </w:p>
    <w:p>
      <w:pPr>
        <w:spacing w:after="0" w:line="17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1380" w:hanging="582"/>
        <w:spacing w:after="0"/>
        <w:tabs>
          <w:tab w:leader="none" w:pos="13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93" w:lineRule="exact"/>
        <w:rPr>
          <w:sz w:val="24"/>
          <w:szCs w:val="24"/>
          <w:color w:val="auto"/>
        </w:rPr>
      </w:pPr>
    </w:p>
    <w:tbl>
      <w:tblPr>
        <w:tblLayout w:type="fixed"/>
        <w:tblInd w:w="4060" w:type="dxa"/>
        <w:tblCellMar>
          <w:top w:w="0" w:type="dxa"/>
          <w:left w:w="0" w:type="dxa"/>
          <w:bottom w:w="0" w:type="dxa"/>
          <w:right w:w="0" w:type="dxa"/>
        </w:tblCellMar>
      </w:tblP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t>
            </w:r>
          </w:p>
        </w:tc>
      </w:tr>
      <w:tr>
        <w:trPr>
          <w:trHeight w:val="378"/>
        </w:trPr>
        <w:tc>
          <w:tcPr>
            <w:tcW w:w="14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001-39405</w:t>
            </w:r>
          </w:p>
        </w:tc>
      </w:tr>
      <w:tr>
        <w:trPr>
          <w:trHeight w:val="135"/>
        </w:trPr>
        <w:tc>
          <w:tcPr>
            <w:tcW w:w="140" w:type="dxa"/>
            <w:vAlign w:val="bottom"/>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pacing w:after="0" w:line="17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6"/>
          <w:szCs w:val="36"/>
          <w:b w:val="1"/>
          <w:bCs w:val="1"/>
          <w:color w:val="auto"/>
        </w:rPr>
        <w:t>MarketWise, Inc.</w:t>
      </w:r>
    </w:p>
    <w:p>
      <w:pPr>
        <w:spacing w:after="0" w:line="19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102870</wp:posOffset>
            </wp:positionV>
            <wp:extent cx="1825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70" w:lineRule="exact"/>
        <w:rPr>
          <w:sz w:val="24"/>
          <w:szCs w:val="24"/>
          <w:color w:val="auto"/>
        </w:rPr>
      </w:pPr>
    </w:p>
    <w:tbl>
      <w:tblPr>
        <w:tblLayout w:type="fixed"/>
        <w:tblInd w:w="1300" w:type="dxa"/>
        <w:tblCellMar>
          <w:top w:w="0" w:type="dxa"/>
          <w:left w:w="0" w:type="dxa"/>
          <w:bottom w:w="0" w:type="dxa"/>
          <w:right w:w="0" w:type="dxa"/>
        </w:tblCellMar>
      </w:tblPr>
      <w:tr>
        <w:trPr>
          <w:trHeight w:val="212"/>
        </w:trPr>
        <w:tc>
          <w:tcPr>
            <w:tcW w:w="6160" w:type="dxa"/>
            <w:vAlign w:val="bottom"/>
            <w:gridSpan w:val="3"/>
          </w:tcPr>
          <w:p>
            <w:pPr>
              <w:jc w:val="center"/>
              <w:ind w:right="31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64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87-1767914</w:t>
            </w:r>
          </w:p>
        </w:tc>
      </w:tr>
      <w:tr>
        <w:trPr>
          <w:trHeight w:val="199"/>
        </w:trPr>
        <w:tc>
          <w:tcPr>
            <w:tcW w:w="6160" w:type="dxa"/>
            <w:vAlign w:val="bottom"/>
            <w:gridSpan w:val="3"/>
          </w:tcPr>
          <w:p>
            <w:pPr>
              <w:jc w:val="center"/>
              <w:ind w:right="312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640" w:type="dxa"/>
            <w:vAlign w:val="bottom"/>
          </w:tcPr>
          <w:p>
            <w:pPr>
              <w:jc w:val="center"/>
              <w:ind w:left="183"/>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6160" w:type="dxa"/>
            <w:vAlign w:val="bottom"/>
            <w:gridSpan w:val="3"/>
          </w:tcPr>
          <w:p>
            <w:pPr>
              <w:jc w:val="center"/>
              <w:ind w:right="312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640" w:type="dxa"/>
            <w:vAlign w:val="bottom"/>
          </w:tcPr>
          <w:p>
            <w:pPr>
              <w:jc w:val="center"/>
              <w:ind w:left="223"/>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530"/>
        </w:trPr>
        <w:tc>
          <w:tcPr>
            <w:tcW w:w="6160" w:type="dxa"/>
            <w:vAlign w:val="bottom"/>
            <w:gridSpan w:val="3"/>
          </w:tcPr>
          <w:p>
            <w:pPr>
              <w:jc w:val="center"/>
              <w:ind w:right="3120"/>
              <w:spacing w:after="0"/>
              <w:rPr>
                <w:sz w:val="20"/>
                <w:szCs w:val="20"/>
                <w:color w:val="auto"/>
              </w:rPr>
            </w:pPr>
            <w:r>
              <w:rPr>
                <w:rFonts w:ascii="Times New Roman" w:cs="Times New Roman" w:eastAsia="Times New Roman" w:hAnsi="Times New Roman"/>
                <w:sz w:val="16"/>
                <w:szCs w:val="16"/>
                <w:b w:val="1"/>
                <w:bCs w:val="1"/>
                <w:color w:val="auto"/>
              </w:rPr>
              <w:t>1125 N. Charles Street Baltimore, Maryland</w:t>
            </w:r>
          </w:p>
        </w:tc>
        <w:tc>
          <w:tcPr>
            <w:tcW w:w="164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21201</w:t>
            </w:r>
          </w:p>
        </w:tc>
      </w:tr>
      <w:tr>
        <w:trPr>
          <w:trHeight w:val="216"/>
        </w:trPr>
        <w:tc>
          <w:tcPr>
            <w:tcW w:w="6160" w:type="dxa"/>
            <w:vAlign w:val="bottom"/>
            <w:gridSpan w:val="3"/>
          </w:tcPr>
          <w:p>
            <w:pPr>
              <w:jc w:val="center"/>
              <w:ind w:right="31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640" w:type="dxa"/>
            <w:vAlign w:val="bottom"/>
          </w:tcPr>
          <w:p>
            <w:pPr>
              <w:jc w:val="center"/>
              <w:ind w:left="223"/>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276"/>
        </w:trPr>
        <w:tc>
          <w:tcPr>
            <w:tcW w:w="29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2"/>
        </w:trPr>
        <w:tc>
          <w:tcPr>
            <w:tcW w:w="576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(888) 261-2693</w:t>
            </w: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80"/>
        </w:trPr>
        <w:tc>
          <w:tcPr>
            <w:tcW w:w="6160" w:type="dxa"/>
            <w:vAlign w:val="bottom"/>
            <w:gridSpan w:val="3"/>
          </w:tcPr>
          <w:p>
            <w:pPr>
              <w:jc w:val="center"/>
              <w:ind w:left="240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6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117475</wp:posOffset>
            </wp:positionV>
            <wp:extent cx="1825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5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7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143510</wp:posOffset>
            </wp:positionV>
            <wp:extent cx="1825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580"/>
        <w:spacing w:after="0"/>
        <w:tabs>
          <w:tab w:leader="none" w:pos="4900" w:val="left"/>
          <w:tab w:leader="none" w:pos="71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12" w:lineRule="exact"/>
        <w:rPr>
          <w:sz w:val="24"/>
          <w:szCs w:val="24"/>
          <w:color w:val="auto"/>
        </w:rPr>
      </w:pPr>
    </w:p>
    <w:p>
      <w:pPr>
        <w:ind w:left="280"/>
        <w:spacing w:after="0"/>
        <w:tabs>
          <w:tab w:leader="none" w:pos="5320" w:val="left"/>
          <w:tab w:leader="none" w:pos="7640" w:val="left"/>
        </w:tabs>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r>
        <w:rPr>
          <w:sz w:val="20"/>
          <w:szCs w:val="20"/>
          <w:color w:val="auto"/>
        </w:rPr>
        <w:tab/>
      </w:r>
      <w:r>
        <w:rPr>
          <w:rFonts w:ascii="Times New Roman" w:cs="Times New Roman" w:eastAsia="Times New Roman" w:hAnsi="Times New Roman"/>
          <w:sz w:val="18"/>
          <w:szCs w:val="18"/>
          <w:b w:val="1"/>
          <w:bCs w:val="1"/>
          <w:color w:val="auto"/>
        </w:rPr>
        <w:t>MKTW</w:t>
      </w:r>
      <w:r>
        <w:rPr>
          <w:sz w:val="20"/>
          <w:szCs w:val="20"/>
          <w:color w:val="auto"/>
        </w:rPr>
        <w:tab/>
      </w:r>
      <w:r>
        <w:rPr>
          <w:rFonts w:ascii="Times New Roman" w:cs="Times New Roman" w:eastAsia="Times New Roman" w:hAnsi="Times New Roman"/>
          <w:sz w:val="17"/>
          <w:szCs w:val="17"/>
          <w:b w:val="1"/>
          <w:bCs w:val="1"/>
          <w:color w:val="auto"/>
        </w:rPr>
        <w:t>The Nasdaq Stock Market LLC</w:t>
      </w:r>
    </w:p>
    <w:p>
      <w:pPr>
        <w:spacing w:after="0" w:line="270"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104"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84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104"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40"/>
          </w:cols>
          <w:pgMar w:left="320" w:top="911" w:right="639" w:bottom="1440" w:gutter="0" w:footer="0" w:header="0"/>
        </w:sectPr>
      </w:pPr>
    </w:p>
    <w:p>
      <w:pPr>
        <w:spacing w:after="0" w:line="39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11" w:right="6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12 (a)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August 12, 2024, there were 43,932,380 shares of the registrant’s Class A common stock and 272,032,743 shares of the registrant’s Class B common stock, each with a par value of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2" w:name="page3"/>
    <w:bookmarkEnd w:id="2"/>
    <w:p>
      <w:pPr>
        <w:spacing w:after="0" w:line="1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u w:val="single" w:color="auto"/>
          <w:color w:val="0000FF"/>
        </w:rPr>
        <w:t>FINANCIAL INFORMATION</w:t>
      </w:r>
    </w:p>
    <w:p>
      <w:pPr>
        <w:spacing w:after="0" w:line="24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June 30, 2024 and December 31, 2023 (unaudited)</w:t>
      </w:r>
    </w:p>
    <w:p>
      <w:pPr>
        <w:spacing w:after="0" w:line="225" w:lineRule="exact"/>
        <w:rPr>
          <w:sz w:val="20"/>
          <w:szCs w:val="20"/>
          <w:color w:val="auto"/>
        </w:rPr>
      </w:pPr>
    </w:p>
    <w:p>
      <w:pPr>
        <w:ind w:left="128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 of Operations for the Three and Six Months Ended June 30, 2024 and 2023 (unaudited)</w:t>
      </w:r>
    </w:p>
    <w:p>
      <w:pPr>
        <w:spacing w:after="0" w:line="23" w:lineRule="exact"/>
        <w:rPr>
          <w:sz w:val="20"/>
          <w:szCs w:val="20"/>
          <w:color w:val="auto"/>
        </w:rPr>
      </w:pPr>
    </w:p>
    <w:p>
      <w:pPr>
        <w:ind w:left="128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 for the Three and Six Months Ended June 30, 2024 and 2023 (unaudited)</w:t>
      </w:r>
    </w:p>
    <w:p>
      <w:pPr>
        <w:spacing w:after="0" w:line="23" w:lineRule="exact"/>
        <w:rPr>
          <w:sz w:val="20"/>
          <w:szCs w:val="20"/>
          <w:color w:val="auto"/>
        </w:rPr>
      </w:pPr>
    </w:p>
    <w:p>
      <w:pPr>
        <w:ind w:left="1280" w:right="22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Changes in Stockholders' Deficit for the Three and Six Months Ended June 30, 2024 and 2023 (unaudited)</w:t>
      </w:r>
    </w:p>
    <w:p>
      <w:pPr>
        <w:spacing w:after="0" w:line="23" w:lineRule="exact"/>
        <w:rPr>
          <w:sz w:val="20"/>
          <w:szCs w:val="20"/>
          <w:color w:val="auto"/>
        </w:rPr>
      </w:pPr>
    </w:p>
    <w:p>
      <w:pPr>
        <w:ind w:left="1280" w:right="24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Six Months Ended June 30, 2024 and 2023 (unaudited)</w:t>
      </w:r>
    </w:p>
    <w:p>
      <w:pPr>
        <w:spacing w:after="0" w:line="2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u w:val="single" w:color="auto"/>
          <w:color w:val="0000FF"/>
        </w:rPr>
        <w:t>Notes to the Condensed Consolidated Financial Statements (unaudited)</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2320" w:type="dxa"/>
            <w:vAlign w:val="bottom"/>
            <w:gridSpan w:val="2"/>
          </w:tcPr>
          <w:p>
            <w:pPr>
              <w:spacing w:after="0"/>
              <w:rPr>
                <w:sz w:val="18"/>
                <w:szCs w:val="18"/>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3020" w:type="dxa"/>
            <w:vAlign w:val="bottom"/>
            <w:gridSpan w:val="4"/>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580" w:type="dxa"/>
            <w:vAlign w:val="bottom"/>
            <w:gridSpan w:val="3"/>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3040" w:type="dxa"/>
            <w:vAlign w:val="bottom"/>
            <w:gridSpan w:val="5"/>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33655</wp:posOffset>
            </wp:positionV>
            <wp:extent cx="6089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30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47</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47</w:t>
      </w: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50</w:t>
      </w:r>
    </w:p>
    <w:p>
      <w:pPr>
        <w:sectPr>
          <w:pgSz w:w="11900" w:h="16838" w:orient="portrait"/>
          <w:cols w:equalWidth="0" w:num="2">
            <w:col w:w="8900" w:space="600"/>
            <w:col w:w="619"/>
          </w:cols>
          <w:pgMar w:left="340" w:top="1440" w:right="1440" w:bottom="1440" w:gutter="0" w:footer="0" w:header="0"/>
        </w:sectPr>
      </w:pPr>
    </w:p>
    <w:bookmarkStart w:id="3" w:name="page4"/>
    <w:bookmarkEnd w:id="3"/>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and as such are not historical facts. This includes, without limitation, statements regarding our financial position and business strategy, and the plans and objectives of management for our future operations. Such statements can be identified by the fact that they do not relate strictly to historical or current facts. When used in this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w:t>
      </w:r>
    </w:p>
    <w:p>
      <w:pPr>
        <w:spacing w:after="0" w:line="134" w:lineRule="exact"/>
        <w:rPr>
          <w:sz w:val="20"/>
          <w:szCs w:val="20"/>
          <w:color w:val="auto"/>
        </w:rPr>
      </w:pPr>
    </w:p>
    <w:p>
      <w:pPr>
        <w:ind w:left="660" w:right="740" w:hanging="328"/>
        <w:spacing w:after="0" w:line="282"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subscribers and to persuade existing subscribers to renew their subscription agreements with us and to purchase additional products and services from 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market our products and services, and to develop additional products and product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 including through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and protect our reputation for trustworthiness and independence;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capable management, editors, and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market share in our existing markets or any new markets we may enter;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or weakened conditions in the financial sector, global financial markets, and global economy;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macroeconomic events, including heightened inflation, rise in interest rates and the potential for an economic recession;</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or other regulatory action or investigations, including the Investment Advisers Act of 1940, as amended (the “Advisers 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and adapt to changes in technology and consumer behavior;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identify and integrate acquisitions, or dispose of assets and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and complexities with compliance related to such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 over 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intellectual property;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of our Annual Report on Form 10-K for the year ended December 31, 2023 entitled “Risk Factors.”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and involve a number of judgments, risks, and uncertainties. Additionally, as a result of a number of known and unknown risks and uncertainties, our actual results or performance may be materially different from those expressed or implied by these forward-looking statements. Accordingly, forward-looking statements should not be relied upon as representing our views as of any subsequent date, and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undertake any obligation to update forward-looking statements for any reason, except as may be required under applicable securities laws.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 w:name="page6"/>
    <w:bookmarkEnd w:id="5"/>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155,174</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91,480</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267,841</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31,038</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73,420</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396,555</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 contract liabilities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287,751</w:t>
            </w: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27,959</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373,893</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 – related party</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other contract liabilities, noncurrent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304,342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tax receivable agreement liability, noncurrent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579,259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685,498</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 Class A, par value of $0.0001 per share, 950,000,000 shares authorized; 38,599,509</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36,384,981 shares issued and outstanding at June 30, 2024 and December 31, 2023,</w:t>
            </w: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75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 Class B, par value of $0.0001 per share, 300,000,000 shares authorized; 280,390,147</w:t>
            </w: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288,092,303 shares issued and outstanding at June 30, 2024 and December 31, 2023,</w:t>
            </w: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5"/>
        </w:trPr>
        <w:tc>
          <w:tcPr>
            <w:tcW w:w="75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par value of $0.0001 per share, 100,000,000 shares authorized; 0 shares issued and</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June 30, 2024 and December 31, 2023, respectively</w:t>
            </w:r>
          </w:p>
        </w:tc>
        <w:tc>
          <w:tcPr>
            <w:tcW w:w="3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(123,142)</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(126,343)</w:t>
            </w: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 attributable to MarketWise, Inc.</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w:t>
            </w:r>
          </w:p>
        </w:tc>
      </w:tr>
      <w:tr>
        <w:trPr>
          <w:trHeight w:val="230"/>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(240,286)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(277,862)</w:t>
            </w:r>
          </w:p>
        </w:tc>
      </w:tr>
      <w:tr>
        <w:trPr>
          <w:trHeight w:val="223"/>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(288,943)</w:t>
            </w: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315,305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396,555</w:t>
            </w:r>
          </w:p>
        </w:tc>
      </w:tr>
      <w:tr>
        <w:trPr>
          <w:trHeight w:val="20"/>
        </w:trPr>
        <w:tc>
          <w:tcPr>
            <w:tcW w:w="7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4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228,978</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revenue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229,877</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29,925</w:t>
            </w:r>
          </w:p>
        </w:tc>
      </w:tr>
      <w:tr>
        <w:trPr>
          <w:trHeight w:val="229"/>
        </w:trPr>
        <w:tc>
          <w:tcPr>
            <w:tcW w:w="49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97,760</w:t>
            </w:r>
          </w:p>
        </w:tc>
      </w:tr>
      <w:tr>
        <w:trPr>
          <w:trHeight w:val="230"/>
        </w:trPr>
        <w:tc>
          <w:tcPr>
            <w:tcW w:w="49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55,662</w:t>
            </w:r>
          </w:p>
        </w:tc>
      </w:tr>
      <w:tr>
        <w:trPr>
          <w:trHeight w:val="229"/>
        </w:trPr>
        <w:tc>
          <w:tcPr>
            <w:tcW w:w="49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r>
      <w:tr>
        <w:trPr>
          <w:trHeight w:val="229"/>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30"/>
        </w:trPr>
        <w:tc>
          <w:tcPr>
            <w:tcW w:w="4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Related party expense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171,148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190,350</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39,527</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41,703</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40,348</w:t>
            </w: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38,845</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4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4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21" w:lineRule="exact"/>
        <w:rPr>
          <w:sz w:val="20"/>
          <w:szCs w:val="20"/>
          <w:color w:val="auto"/>
        </w:rPr>
      </w:pPr>
    </w:p>
    <w:p>
      <w:pPr>
        <w:ind w:left="20" w:right="320" w:firstLine="6"/>
        <w:spacing w:after="0" w:line="239" w:lineRule="auto"/>
        <w:tabs>
          <w:tab w:leader="none" w:pos="183" w:val="left"/>
        </w:tabs>
        <w:numPr>
          <w:ilvl w:val="0"/>
          <w:numId w:val="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66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40,348</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40,334</w:t>
            </w:r>
          </w:p>
        </w:tc>
      </w:tr>
      <w:tr>
        <w:trPr>
          <w:trHeight w:val="21"/>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Deficit (Unaudited)</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6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7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 Class</w:t>
            </w: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620" w:type="dxa"/>
            <w:vAlign w:val="bottom"/>
            <w:gridSpan w:val="5"/>
            <w:vMerge w:val="continue"/>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89"/>
              </w:rPr>
              <w:t>to</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1160" w:type="dxa"/>
            <w:vAlign w:val="bottom"/>
            <w:tcBorders>
              <w:bottom w:val="single" w:sz="8" w:color="auto"/>
            </w:tcBorders>
            <w:gridSpan w:val="3"/>
          </w:tcPr>
          <w:p>
            <w:pPr>
              <w:ind w:left="500"/>
              <w:spacing w:after="0" w:line="108" w:lineRule="exact"/>
              <w:rPr>
                <w:sz w:val="20"/>
                <w:szCs w:val="20"/>
                <w:color w:val="auto"/>
              </w:rPr>
            </w:pPr>
            <w:r>
              <w:rPr>
                <w:rFonts w:ascii="Times New Roman" w:cs="Times New Roman" w:eastAsia="Times New Roman" w:hAnsi="Times New Roman"/>
                <w:sz w:val="12"/>
                <w:szCs w:val="12"/>
                <w:b w:val="1"/>
                <w:bCs w:val="1"/>
                <w:color w:val="auto"/>
              </w:rPr>
              <w:t>Class A</w:t>
            </w: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gridSpan w:val="2"/>
          </w:tcPr>
          <w:p>
            <w:pPr>
              <w:jc w:val="right"/>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B</w:t>
            </w:r>
          </w:p>
        </w:tc>
        <w:tc>
          <w:tcPr>
            <w:tcW w:w="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80" w:type="dxa"/>
            <w:vAlign w:val="bottom"/>
            <w:gridSpan w:val="3"/>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11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8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w:t>
            </w:r>
          </w:p>
        </w:tc>
        <w:tc>
          <w:tcPr>
            <w:tcW w:w="1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100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29,913,490</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291,092,303</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109,925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(126,658)</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(16,636)</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(248,028)</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(264,664)</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April 1, 2023</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0" w:type="dxa"/>
            <w:vAlign w:val="bottom"/>
          </w:tcPr>
          <w:p>
            <w:pPr>
              <w:spacing w:after="0"/>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648,849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261,656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stock units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withheld to</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 taxes</w:t>
            </w:r>
          </w:p>
        </w:tc>
        <w:tc>
          <w:tcPr>
            <w:tcW w:w="8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declared</w:t>
            </w:r>
          </w:p>
        </w:tc>
        <w:tc>
          <w:tcPr>
            <w:tcW w:w="8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0" w:type="dxa"/>
            <w:vAlign w:val="bottom"/>
          </w:tcPr>
          <w:p>
            <w:pPr>
              <w:spacing w:after="0"/>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per</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redemption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of Class B</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shares for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3"/>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currency</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9,743</w:t>
            </w:r>
          </w:p>
        </w:tc>
        <w:tc>
          <w:tcPr>
            <w:tcW w:w="0" w:type="dxa"/>
            <w:vAlign w:val="bottom"/>
          </w:tcPr>
          <w:p>
            <w:pPr>
              <w:spacing w:after="0"/>
              <w:rPr>
                <w:sz w:val="1"/>
                <w:szCs w:val="1"/>
                <w:color w:val="auto"/>
              </w:rPr>
            </w:pPr>
          </w:p>
        </w:tc>
      </w:tr>
      <w:tr>
        <w:trPr>
          <w:trHeight w:val="145"/>
        </w:trPr>
        <w:tc>
          <w:tcPr>
            <w:tcW w:w="10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32,073,995</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289,842,303</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112,146</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(126,622)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(14,414)</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(242,837)</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(257,251)</w:t>
            </w:r>
          </w:p>
        </w:tc>
        <w:tc>
          <w:tcPr>
            <w:tcW w:w="0" w:type="dxa"/>
            <w:vAlign w:val="bottom"/>
          </w:tcPr>
          <w:p>
            <w:pPr>
              <w:spacing w:after="0"/>
              <w:rPr>
                <w:sz w:val="1"/>
                <w:szCs w:val="1"/>
                <w:color w:val="auto"/>
              </w:rPr>
            </w:pPr>
          </w:p>
        </w:tc>
      </w:tr>
      <w:tr>
        <w:trPr>
          <w:trHeight w:val="209"/>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17" w:right="919" w:bottom="1440" w:gutter="0" w:footer="0" w:header="0"/>
        </w:sectPr>
      </w:pPr>
    </w:p>
    <w:bookmarkStart w:id="10" w:name="page11"/>
    <w:bookmarkEnd w:id="10"/>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Deficit (Unaudited)</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8"/>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7"/>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 - Class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8"/>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to</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5"/>
          </w:tcPr>
          <w:p>
            <w:pPr>
              <w:jc w:val="right"/>
              <w:ind w:right="119"/>
              <w:spacing w:after="0" w:line="108" w:lineRule="exact"/>
              <w:rPr>
                <w:sz w:val="20"/>
                <w:szCs w:val="20"/>
                <w:color w:val="auto"/>
              </w:rPr>
            </w:pPr>
            <w:r>
              <w:rPr>
                <w:rFonts w:ascii="Times New Roman" w:cs="Times New Roman" w:eastAsia="Times New Roman" w:hAnsi="Times New Roman"/>
                <w:sz w:val="12"/>
                <w:szCs w:val="12"/>
                <w:b w:val="1"/>
                <w:bCs w:val="1"/>
                <w:color w:val="auto"/>
              </w:rPr>
              <w:t>Class A</w:t>
            </w: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gridSpan w:val="2"/>
          </w:tcPr>
          <w:p>
            <w:pPr>
              <w:jc w:val="right"/>
              <w:ind w:right="120"/>
              <w:spacing w:after="0" w:line="108" w:lineRule="exact"/>
              <w:rPr>
                <w:sz w:val="20"/>
                <w:szCs w:val="20"/>
                <w:color w:val="auto"/>
              </w:rPr>
            </w:pPr>
            <w:r>
              <w:rPr>
                <w:rFonts w:ascii="Times New Roman" w:cs="Times New Roman" w:eastAsia="Times New Roman" w:hAnsi="Times New Roman"/>
                <w:sz w:val="12"/>
                <w:szCs w:val="12"/>
                <w:b w:val="1"/>
                <w:bCs w:val="1"/>
                <w:color w:val="auto"/>
              </w:rPr>
              <w:t>B</w:t>
            </w: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4"/>
            <w:vMerge w:val="restart"/>
          </w:tcPr>
          <w:p>
            <w:pPr>
              <w:jc w:val="right"/>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9"/>
                <w:szCs w:val="9"/>
                <w:color w:val="auto"/>
              </w:rPr>
            </w:pPr>
          </w:p>
        </w:tc>
        <w:tc>
          <w:tcPr>
            <w:tcW w:w="1040" w:type="dxa"/>
            <w:vAlign w:val="bottom"/>
            <w:gridSpan w:val="6"/>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3"/>
            <w:vMerge w:val="restart"/>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9"/>
                <w:szCs w:val="9"/>
                <w:color w:val="auto"/>
              </w:rPr>
            </w:pPr>
          </w:p>
        </w:tc>
        <w:tc>
          <w:tcPr>
            <w:tcW w:w="1000" w:type="dxa"/>
            <w:vAlign w:val="bottom"/>
            <w:gridSpan w:val="5"/>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80" w:type="dxa"/>
            <w:vAlign w:val="bottom"/>
          </w:tcPr>
          <w:p>
            <w:pPr>
              <w:spacing w:after="0"/>
              <w:rPr>
                <w:sz w:val="9"/>
                <w:szCs w:val="9"/>
                <w:color w:val="auto"/>
              </w:rPr>
            </w:pPr>
          </w:p>
        </w:tc>
        <w:tc>
          <w:tcPr>
            <w:tcW w:w="1080" w:type="dxa"/>
            <w:vAlign w:val="bottom"/>
            <w:gridSpan w:val="5"/>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 w:type="dxa"/>
            <w:vAlign w:val="bottom"/>
          </w:tcPr>
          <w:p>
            <w:pPr>
              <w:spacing w:after="0"/>
              <w:rPr>
                <w:sz w:val="9"/>
                <w:szCs w:val="9"/>
                <w:color w:val="auto"/>
              </w:rPr>
            </w:pPr>
          </w:p>
        </w:tc>
        <w:tc>
          <w:tcPr>
            <w:tcW w:w="98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2"/>
                <w:szCs w:val="2"/>
                <w:color w:val="auto"/>
              </w:rPr>
            </w:pP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3"/>
            <w:vMerge w:val="restart"/>
          </w:tcPr>
          <w:p>
            <w:pPr>
              <w:jc w:val="right"/>
              <w:ind w:right="14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2"/>
                <w:szCs w:val="2"/>
                <w:color w:val="auto"/>
              </w:rPr>
            </w:pP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6"/>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5"/>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4"/>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2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2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1260" w:type="dxa"/>
            <w:vAlign w:val="bottom"/>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 April</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287,592,303</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w:t>
            </w:r>
          </w:p>
        </w:tc>
        <w:tc>
          <w:tcPr>
            <w:tcW w:w="2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115,259</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(124,686)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(9,367)</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(260,019)</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(269,386)</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1, 2024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38,122,283</w:t>
            </w: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00" w:type="dxa"/>
            <w:vAlign w:val="bottom"/>
            <w:gridSpan w:val="5"/>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680" w:type="dxa"/>
            <w:vAlign w:val="bottom"/>
            <w:gridSpan w:val="4"/>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0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880" w:type="dxa"/>
            <w:vAlign w:val="bottom"/>
            <w:gridSpan w:val="4"/>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960" w:type="dxa"/>
            <w:vAlign w:val="bottom"/>
            <w:gridSpan w:val="4"/>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0" w:type="dxa"/>
            <w:vAlign w:val="bottom"/>
          </w:tcPr>
          <w:p>
            <w:pPr>
              <w:spacing w:after="0"/>
              <w:rPr>
                <w:sz w:val="1"/>
                <w:szCs w:val="1"/>
                <w:color w:val="auto"/>
              </w:rPr>
            </w:pPr>
          </w:p>
        </w:tc>
      </w:tr>
      <w:tr>
        <w:trPr>
          <w:trHeight w:val="21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w:t>
            </w:r>
          </w:p>
        </w:tc>
        <w:tc>
          <w:tcPr>
            <w:tcW w:w="160" w:type="dxa"/>
            <w:vAlign w:val="bottom"/>
            <w:shd w:val="clear" w:color="auto" w:fill="CCEEFF"/>
          </w:tcPr>
          <w:p>
            <w:pPr>
              <w:spacing w:after="0"/>
              <w:rPr>
                <w:sz w:val="14"/>
                <w:szCs w:val="14"/>
                <w:color w:val="auto"/>
              </w:rPr>
            </w:pPr>
          </w:p>
        </w:tc>
        <w:tc>
          <w:tcPr>
            <w:tcW w:w="94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216,517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6"/>
        </w:trPr>
        <w:tc>
          <w:tcPr>
            <w:tcW w:w="1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940" w:type="dxa"/>
            <w:vAlign w:val="bottom"/>
            <w:gridSpan w:val="5"/>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9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260,709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6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of</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(7,202,156)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B shares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00" w:type="dxa"/>
            <w:vAlign w:val="bottom"/>
            <w:gridSpan w:val="5"/>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1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declared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0" w:type="dxa"/>
            <w:vAlign w:val="bottom"/>
          </w:tcPr>
          <w:p>
            <w:pPr>
              <w:spacing w:after="0"/>
              <w:rPr>
                <w:sz w:val="1"/>
                <w:szCs w:val="1"/>
                <w:color w:val="auto"/>
              </w:rPr>
            </w:pPr>
          </w:p>
        </w:tc>
      </w:tr>
      <w:tr>
        <w:trPr>
          <w:trHeight w:val="162"/>
        </w:trPr>
        <w:tc>
          <w:tcPr>
            <w:tcW w:w="11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spacing w:after="0"/>
              <w:rPr>
                <w:sz w:val="14"/>
                <w:szCs w:val="14"/>
                <w:color w:val="auto"/>
              </w:rPr>
            </w:pP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Change in</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gridSpan w:val="3"/>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w w:val="99"/>
              </w:rPr>
              <w:t>noncontrolling</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gridSpan w:val="5"/>
          </w:tcPr>
          <w:p>
            <w:pPr>
              <w:ind w:left="20"/>
              <w:spacing w:after="0" w:line="162" w:lineRule="exact"/>
              <w:rPr>
                <w:sz w:val="20"/>
                <w:szCs w:val="20"/>
                <w:color w:val="auto"/>
              </w:rPr>
            </w:pPr>
            <w:r>
              <w:rPr>
                <w:rFonts w:ascii="Times New Roman" w:cs="Times New Roman" w:eastAsia="Times New Roman" w:hAnsi="Times New Roman"/>
                <w:sz w:val="16"/>
                <w:szCs w:val="16"/>
                <w:color w:val="auto"/>
              </w:rPr>
              <w:t>Remeasurement of</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gridSpan w:val="3"/>
          </w:tcPr>
          <w:p>
            <w:pPr>
              <w:ind w:left="180"/>
              <w:spacing w:after="0" w:line="162" w:lineRule="exact"/>
              <w:rPr>
                <w:sz w:val="20"/>
                <w:szCs w:val="20"/>
                <w:color w:val="auto"/>
              </w:rPr>
            </w:pPr>
            <w:r>
              <w:rPr>
                <w:rFonts w:ascii="Times New Roman" w:cs="Times New Roman" w:eastAsia="Times New Roman" w:hAnsi="Times New Roman"/>
                <w:sz w:val="16"/>
                <w:szCs w:val="16"/>
                <w:color w:val="auto"/>
              </w:rPr>
              <w:t>deferred taxes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gridSpan w:val="3"/>
          </w:tcPr>
          <w:p>
            <w:pPr>
              <w:ind w:left="180"/>
              <w:spacing w:after="0" w:line="162" w:lineRule="exact"/>
              <w:rPr>
                <w:sz w:val="20"/>
                <w:szCs w:val="20"/>
                <w:color w:val="auto"/>
              </w:rPr>
            </w:pPr>
            <w:r>
              <w:rPr>
                <w:rFonts w:ascii="Times New Roman" w:cs="Times New Roman" w:eastAsia="Times New Roman" w:hAnsi="Times New Roman"/>
                <w:sz w:val="16"/>
                <w:szCs w:val="16"/>
                <w:color w:val="auto"/>
              </w:rPr>
              <w:t>due to change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in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gridSpan w:val="3"/>
          </w:tcPr>
          <w:p>
            <w:pPr>
              <w:ind w:left="180"/>
              <w:spacing w:after="0" w:line="162" w:lineRule="exact"/>
              <w:rPr>
                <w:sz w:val="20"/>
                <w:szCs w:val="20"/>
                <w:color w:val="auto"/>
              </w:rPr>
            </w:pPr>
            <w:r>
              <w:rPr>
                <w:rFonts w:ascii="Times New Roman" w:cs="Times New Roman" w:eastAsia="Times New Roman" w:hAnsi="Times New Roman"/>
                <w:sz w:val="16"/>
                <w:szCs w:val="16"/>
                <w:color w:val="auto"/>
                <w:w w:val="99"/>
              </w:rPr>
              <w:t>noncontrolling</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3"/>
        </w:trPr>
        <w:tc>
          <w:tcPr>
            <w:tcW w:w="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21,240</w:t>
            </w:r>
          </w:p>
        </w:tc>
        <w:tc>
          <w:tcPr>
            <w:tcW w:w="0" w:type="dxa"/>
            <w:vAlign w:val="bottom"/>
          </w:tcPr>
          <w:p>
            <w:pPr>
              <w:spacing w:after="0"/>
              <w:rPr>
                <w:sz w:val="1"/>
                <w:szCs w:val="1"/>
                <w:color w:val="auto"/>
              </w:rPr>
            </w:pPr>
          </w:p>
        </w:tc>
      </w:tr>
      <w:tr>
        <w:trPr>
          <w:trHeight w:val="142"/>
        </w:trPr>
        <w:tc>
          <w:tcPr>
            <w:tcW w:w="11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 June</w:t>
            </w:r>
          </w:p>
        </w:tc>
        <w:tc>
          <w:tcPr>
            <w:tcW w:w="9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38,599,509</w:t>
            </w:r>
          </w:p>
        </w:tc>
        <w:tc>
          <w:tcPr>
            <w:tcW w:w="80" w:type="dxa"/>
            <w:vAlign w:val="bottom"/>
          </w:tcPr>
          <w:p>
            <w:pPr>
              <w:spacing w:after="0"/>
              <w:rPr>
                <w:sz w:val="12"/>
                <w:szCs w:val="12"/>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280,390,147</w:t>
            </w:r>
          </w:p>
        </w:tc>
        <w:tc>
          <w:tcPr>
            <w:tcW w:w="80" w:type="dxa"/>
            <w:vAlign w:val="bottom"/>
          </w:tcPr>
          <w:p>
            <w:pPr>
              <w:spacing w:after="0"/>
              <w:rPr>
                <w:sz w:val="12"/>
                <w:szCs w:val="12"/>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2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99,432</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(123,142)</w:t>
            </w:r>
          </w:p>
        </w:tc>
        <w:tc>
          <w:tcPr>
            <w:tcW w:w="80" w:type="dxa"/>
            <w:vAlign w:val="bottom"/>
          </w:tcPr>
          <w:p>
            <w:pPr>
              <w:spacing w:after="0"/>
              <w:rPr>
                <w:sz w:val="12"/>
                <w:szCs w:val="12"/>
                <w:color w:val="auto"/>
              </w:rPr>
            </w:pPr>
          </w:p>
        </w:tc>
        <w:tc>
          <w:tcPr>
            <w:tcW w:w="82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(23,668)</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(240,286)</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(263,954)</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00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7"/>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80" w:type="dxa"/>
            <w:vAlign w:val="bottom"/>
          </w:tcPr>
          <w:p>
            <w:pPr>
              <w:spacing w:after="0"/>
              <w:rPr>
                <w:sz w:val="14"/>
                <w:szCs w:val="14"/>
                <w:color w:val="auto"/>
              </w:rPr>
            </w:pPr>
          </w:p>
        </w:tc>
        <w:tc>
          <w:tcPr>
            <w:tcW w:w="1620" w:type="dxa"/>
            <w:vAlign w:val="bottom"/>
            <w:gridSpan w:val="8"/>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 - Class</w:t>
            </w:r>
          </w:p>
        </w:tc>
        <w:tc>
          <w:tcPr>
            <w:tcW w:w="80" w:type="dxa"/>
            <w:vAlign w:val="bottom"/>
          </w:tcPr>
          <w:p>
            <w:pPr>
              <w:spacing w:after="0"/>
              <w:rPr>
                <w:sz w:val="14"/>
                <w:szCs w:val="14"/>
                <w:color w:val="auto"/>
              </w:rPr>
            </w:pPr>
          </w:p>
        </w:tc>
        <w:tc>
          <w:tcPr>
            <w:tcW w:w="7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19"/>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319"/>
              <w:spacing w:after="0" w:line="162" w:lineRule="exact"/>
              <w:rPr>
                <w:sz w:val="20"/>
                <w:szCs w:val="20"/>
                <w:color w:val="auto"/>
              </w:rPr>
            </w:pPr>
            <w:r>
              <w:rPr>
                <w:rFonts w:ascii="Times New Roman" w:cs="Times New Roman" w:eastAsia="Times New Roman" w:hAnsi="Times New Roman"/>
                <w:sz w:val="16"/>
                <w:szCs w:val="16"/>
                <w:b w:val="1"/>
                <w:bCs w:val="1"/>
                <w:color w:val="auto"/>
              </w:rPr>
              <w:t>to</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5"/>
          </w:tcPr>
          <w:p>
            <w:pPr>
              <w:ind w:left="220"/>
              <w:spacing w:after="0" w:line="108" w:lineRule="exact"/>
              <w:rPr>
                <w:sz w:val="20"/>
                <w:szCs w:val="20"/>
                <w:color w:val="auto"/>
              </w:rPr>
            </w:pPr>
            <w:r>
              <w:rPr>
                <w:rFonts w:ascii="Times New Roman" w:cs="Times New Roman" w:eastAsia="Times New Roman" w:hAnsi="Times New Roman"/>
                <w:sz w:val="12"/>
                <w:szCs w:val="12"/>
                <w:b w:val="1"/>
                <w:bCs w:val="1"/>
                <w:color w:val="auto"/>
              </w:rPr>
              <w:t>Class A</w:t>
            </w: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B</w:t>
            </w: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5"/>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5"/>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9"/>
                <w:szCs w:val="9"/>
                <w:color w:val="auto"/>
              </w:rPr>
            </w:pPr>
          </w:p>
        </w:tc>
        <w:tc>
          <w:tcPr>
            <w:tcW w:w="1120" w:type="dxa"/>
            <w:vAlign w:val="bottom"/>
            <w:gridSpan w:val="3"/>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9"/>
                <w:szCs w:val="9"/>
                <w:color w:val="auto"/>
              </w:rPr>
            </w:pPr>
          </w:p>
        </w:tc>
        <w:tc>
          <w:tcPr>
            <w:tcW w:w="980" w:type="dxa"/>
            <w:vAlign w:val="bottom"/>
            <w:gridSpan w:val="4"/>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5"/>
            <w:vMerge w:val="restart"/>
          </w:tcPr>
          <w:p>
            <w:pPr>
              <w:jc w:val="center"/>
              <w:ind w:right="4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40" w:type="dxa"/>
            <w:vAlign w:val="bottom"/>
          </w:tcPr>
          <w:p>
            <w:pPr>
              <w:spacing w:after="0"/>
              <w:rPr>
                <w:sz w:val="9"/>
                <w:szCs w:val="9"/>
                <w:color w:val="auto"/>
              </w:rPr>
            </w:pPr>
          </w:p>
        </w:tc>
        <w:tc>
          <w:tcPr>
            <w:tcW w:w="1280" w:type="dxa"/>
            <w:vAlign w:val="bottom"/>
            <w:gridSpan w:val="5"/>
            <w:vMerge w:val="restart"/>
          </w:tcPr>
          <w:p>
            <w:pPr>
              <w:jc w:val="right"/>
              <w:ind w:right="21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gridSpan w:val="3"/>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3"/>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2"/>
                <w:szCs w:val="2"/>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
                <w:szCs w:val="2"/>
                <w:color w:val="auto"/>
              </w:rPr>
            </w:pPr>
          </w:p>
        </w:tc>
        <w:tc>
          <w:tcPr>
            <w:tcW w:w="78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96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January 1,</w:t>
            </w:r>
          </w:p>
        </w:tc>
        <w:tc>
          <w:tcPr>
            <w:tcW w:w="7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29,039,655</w:t>
            </w:r>
          </w:p>
        </w:tc>
        <w:tc>
          <w:tcPr>
            <w:tcW w:w="340" w:type="dxa"/>
            <w:vAlign w:val="bottom"/>
            <w:gridSpan w:val="3"/>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98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291,092,303</w:t>
            </w:r>
          </w:p>
        </w:tc>
        <w:tc>
          <w:tcPr>
            <w:tcW w:w="300" w:type="dxa"/>
            <w:vAlign w:val="bottom"/>
            <w:gridSpan w:val="2"/>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106,852</w:t>
            </w:r>
          </w:p>
        </w:tc>
        <w:tc>
          <w:tcPr>
            <w:tcW w:w="320" w:type="dxa"/>
            <w:vAlign w:val="bottom"/>
            <w:gridSpan w:val="3"/>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(128,125)</w:t>
            </w:r>
          </w:p>
        </w:tc>
        <w:tc>
          <w:tcPr>
            <w:tcW w:w="6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(21,197)</w:t>
            </w:r>
          </w:p>
        </w:tc>
        <w:tc>
          <w:tcPr>
            <w:tcW w:w="300" w:type="dxa"/>
            <w:vAlign w:val="bottom"/>
            <w:gridSpan w:val="3"/>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(277,186)</w:t>
            </w:r>
          </w:p>
        </w:tc>
        <w:tc>
          <w:tcPr>
            <w:tcW w:w="4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(298,383)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shd w:val="clear" w:color="auto" w:fill="CCEEFF"/>
          </w:tcPr>
          <w:p>
            <w:pPr>
              <w:spacing w:after="0"/>
              <w:rPr>
                <w:sz w:val="18"/>
                <w:szCs w:val="18"/>
                <w:color w:val="auto"/>
              </w:rPr>
            </w:pPr>
          </w:p>
        </w:tc>
        <w:tc>
          <w:tcPr>
            <w:tcW w:w="760" w:type="dxa"/>
            <w:vAlign w:val="bottom"/>
            <w:gridSpan w:val="3"/>
            <w:vMerge w:val="continue"/>
            <w:shd w:val="clear" w:color="auto" w:fill="CCEEFF"/>
          </w:tcPr>
          <w:p>
            <w:pPr>
              <w:spacing w:after="0"/>
              <w:rPr>
                <w:sz w:val="18"/>
                <w:szCs w:val="18"/>
                <w:color w:val="auto"/>
              </w:rPr>
            </w:pPr>
          </w:p>
        </w:tc>
        <w:tc>
          <w:tcPr>
            <w:tcW w:w="34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980" w:type="dxa"/>
            <w:vAlign w:val="bottom"/>
            <w:gridSpan w:val="5"/>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580" w:type="dxa"/>
            <w:vAlign w:val="bottom"/>
            <w:gridSpan w:val="4"/>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w:t>
            </w:r>
          </w:p>
        </w:tc>
        <w:tc>
          <w:tcPr>
            <w:tcW w:w="16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648,849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6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w:t>
            </w: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1,135,491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7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stock units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withheld to</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4"/>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(440)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declared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per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redemption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of Class B</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shares for</w:t>
            </w: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(873)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7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98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currency</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96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32,073,995</w:t>
            </w:r>
          </w:p>
        </w:tc>
        <w:tc>
          <w:tcPr>
            <w:tcW w:w="340" w:type="dxa"/>
            <w:vAlign w:val="bottom"/>
            <w:gridSpan w:val="3"/>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98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289,842,303</w:t>
            </w:r>
          </w:p>
        </w:tc>
        <w:tc>
          <w:tcPr>
            <w:tcW w:w="300" w:type="dxa"/>
            <w:vAlign w:val="bottom"/>
            <w:gridSpan w:val="2"/>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112,146</w:t>
            </w:r>
          </w:p>
        </w:tc>
        <w:tc>
          <w:tcPr>
            <w:tcW w:w="320" w:type="dxa"/>
            <w:vAlign w:val="bottom"/>
            <w:gridSpan w:val="3"/>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(126,622)</w:t>
            </w:r>
          </w:p>
        </w:tc>
        <w:tc>
          <w:tcPr>
            <w:tcW w:w="6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(14,414)</w:t>
            </w:r>
          </w:p>
        </w:tc>
        <w:tc>
          <w:tcPr>
            <w:tcW w:w="300" w:type="dxa"/>
            <w:vAlign w:val="bottom"/>
            <w:gridSpan w:val="3"/>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(242,837)</w:t>
            </w:r>
          </w:p>
        </w:tc>
        <w:tc>
          <w:tcPr>
            <w:tcW w:w="4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(257,251)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shd w:val="clear" w:color="auto" w:fill="CCEEFF"/>
          </w:tcPr>
          <w:p>
            <w:pPr>
              <w:spacing w:after="0"/>
              <w:rPr>
                <w:sz w:val="18"/>
                <w:szCs w:val="18"/>
                <w:color w:val="auto"/>
              </w:rPr>
            </w:pPr>
          </w:p>
        </w:tc>
        <w:tc>
          <w:tcPr>
            <w:tcW w:w="760" w:type="dxa"/>
            <w:vAlign w:val="bottom"/>
            <w:gridSpan w:val="3"/>
            <w:vMerge w:val="continue"/>
            <w:shd w:val="clear" w:color="auto" w:fill="CCEEFF"/>
          </w:tcPr>
          <w:p>
            <w:pPr>
              <w:spacing w:after="0"/>
              <w:rPr>
                <w:sz w:val="18"/>
                <w:szCs w:val="18"/>
                <w:color w:val="auto"/>
              </w:rPr>
            </w:pPr>
          </w:p>
        </w:tc>
        <w:tc>
          <w:tcPr>
            <w:tcW w:w="34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980" w:type="dxa"/>
            <w:vAlign w:val="bottom"/>
            <w:gridSpan w:val="5"/>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580" w:type="dxa"/>
            <w:vAlign w:val="bottom"/>
            <w:gridSpan w:val="4"/>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20"/>
          </w:cols>
          <w:pgMar w:left="320" w:top="117" w:right="659" w:bottom="568"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Deficit (Unaudited)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106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6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7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 - Class</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26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620" w:type="dxa"/>
            <w:vAlign w:val="bottom"/>
            <w:gridSpan w:val="5"/>
            <w:vMerge w:val="continue"/>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4"/>
                <w:szCs w:val="14"/>
                <w:color w:val="auto"/>
              </w:rPr>
            </w:pPr>
          </w:p>
        </w:tc>
        <w:tc>
          <w:tcPr>
            <w:tcW w:w="106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rPr>
              <w:t>to</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80" w:type="dxa"/>
            <w:vAlign w:val="bottom"/>
            <w:tcBorders>
              <w:bottom w:val="single" w:sz="8" w:color="auto"/>
            </w:tcBorders>
            <w:gridSpan w:val="3"/>
          </w:tcPr>
          <w:p>
            <w:pPr>
              <w:jc w:val="center"/>
              <w:ind w:left="280"/>
              <w:spacing w:after="0" w:line="108" w:lineRule="exact"/>
              <w:rPr>
                <w:sz w:val="20"/>
                <w:szCs w:val="20"/>
                <w:color w:val="auto"/>
              </w:rPr>
            </w:pPr>
            <w:r>
              <w:rPr>
                <w:rFonts w:ascii="Times New Roman" w:cs="Times New Roman" w:eastAsia="Times New Roman" w:hAnsi="Times New Roman"/>
                <w:sz w:val="12"/>
                <w:szCs w:val="12"/>
                <w:b w:val="1"/>
                <w:bCs w:val="1"/>
                <w:color w:val="auto"/>
              </w:rPr>
              <w:t>Class A</w:t>
            </w: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Borders>
              <w:bottom w:val="single" w:sz="8" w:color="auto"/>
            </w:tcBorders>
            <w:gridSpan w:val="2"/>
          </w:tcPr>
          <w:p>
            <w:pPr>
              <w:jc w:val="center"/>
              <w:ind w:left="560"/>
              <w:spacing w:after="0" w:line="108" w:lineRule="exact"/>
              <w:rPr>
                <w:sz w:val="20"/>
                <w:szCs w:val="20"/>
                <w:color w:val="auto"/>
              </w:rPr>
            </w:pPr>
            <w:r>
              <w:rPr>
                <w:rFonts w:ascii="Times New Roman" w:cs="Times New Roman" w:eastAsia="Times New Roman" w:hAnsi="Times New Roman"/>
                <w:sz w:val="12"/>
                <w:szCs w:val="12"/>
                <w:b w:val="1"/>
                <w:bCs w:val="1"/>
                <w:color w:val="auto"/>
              </w:rPr>
              <w:t>B</w:t>
            </w:r>
          </w:p>
        </w:tc>
        <w:tc>
          <w:tcPr>
            <w:tcW w:w="2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8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60" w:type="dxa"/>
            <w:vAlign w:val="bottom"/>
            <w:gridSpan w:val="3"/>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11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8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2"/>
                <w:szCs w:val="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2"/>
                <w:szCs w:val="2"/>
                <w:color w:val="auto"/>
              </w:rPr>
            </w:pPr>
          </w:p>
        </w:tc>
        <w:tc>
          <w:tcPr>
            <w:tcW w:w="90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2"/>
                <w:szCs w:val="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2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12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36,384,981</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288,092,303</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(126,343)</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 — $</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(277,862)</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(288,943)</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 2024</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0" w:type="dxa"/>
            <w:vAlign w:val="bottom"/>
          </w:tcPr>
          <w:p>
            <w:pPr>
              <w:spacing w:after="0"/>
              <w:rPr>
                <w:sz w:val="1"/>
                <w:szCs w:val="1"/>
                <w:color w:val="auto"/>
              </w:rPr>
            </w:pPr>
          </w:p>
        </w:tc>
      </w:tr>
      <w:tr>
        <w:trPr>
          <w:trHeight w:val="21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2,057,390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units withheld</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(559,379)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pay taxes</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(7,202,156)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0" w:type="dxa"/>
            <w:vAlign w:val="bottom"/>
          </w:tcPr>
          <w:p>
            <w:pPr>
              <w:spacing w:after="0"/>
              <w:rPr>
                <w:sz w:val="1"/>
                <w:szCs w:val="1"/>
                <w:color w:val="auto"/>
              </w:rPr>
            </w:pPr>
          </w:p>
        </w:tc>
      </w:tr>
      <w:tr>
        <w:trPr>
          <w:trHeight w:val="213"/>
        </w:trPr>
        <w:tc>
          <w:tcPr>
            <w:tcW w:w="1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shares</w:t>
            </w: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declared</w:t>
            </w: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(10,237)</w:t>
            </w: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per</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redemption of</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Class B shares</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Class A</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1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Change in</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Remeasurement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deferred taxes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due to change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1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43,952</w:t>
            </w:r>
          </w:p>
        </w:tc>
        <w:tc>
          <w:tcPr>
            <w:tcW w:w="0" w:type="dxa"/>
            <w:vAlign w:val="bottom"/>
          </w:tcPr>
          <w:p>
            <w:pPr>
              <w:spacing w:after="0"/>
              <w:rPr>
                <w:sz w:val="1"/>
                <w:szCs w:val="1"/>
                <w:color w:val="auto"/>
              </w:rPr>
            </w:pPr>
          </w:p>
        </w:tc>
      </w:tr>
      <w:tr>
        <w:trPr>
          <w:trHeight w:val="142"/>
        </w:trPr>
        <w:tc>
          <w:tcPr>
            <w:tcW w:w="12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 June</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38,599,509</w:t>
            </w:r>
          </w:p>
        </w:tc>
        <w:tc>
          <w:tcPr>
            <w:tcW w:w="80" w:type="dxa"/>
            <w:vAlign w:val="bottom"/>
          </w:tcPr>
          <w:p>
            <w:pPr>
              <w:spacing w:after="0"/>
              <w:rPr>
                <w:sz w:val="12"/>
                <w:szCs w:val="12"/>
                <w:color w:val="auto"/>
              </w:rPr>
            </w:pPr>
          </w:p>
        </w:tc>
        <w:tc>
          <w:tcPr>
            <w:tcW w:w="2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280,390,147</w:t>
            </w:r>
          </w:p>
        </w:tc>
        <w:tc>
          <w:tcPr>
            <w:tcW w:w="80" w:type="dxa"/>
            <w:vAlign w:val="bottom"/>
          </w:tcPr>
          <w:p>
            <w:pPr>
              <w:spacing w:after="0"/>
              <w:rPr>
                <w:sz w:val="12"/>
                <w:szCs w:val="12"/>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99,432</w:t>
            </w:r>
          </w:p>
        </w:tc>
        <w:tc>
          <w:tcPr>
            <w:tcW w:w="80" w:type="dxa"/>
            <w:vAlign w:val="bottom"/>
          </w:tcPr>
          <w:p>
            <w:pPr>
              <w:spacing w:after="0"/>
              <w:rPr>
                <w:sz w:val="12"/>
                <w:szCs w:val="12"/>
                <w:color w:val="auto"/>
              </w:rPr>
            </w:pPr>
          </w:p>
        </w:tc>
        <w:tc>
          <w:tcPr>
            <w:tcW w:w="1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(123,142)</w:t>
            </w:r>
          </w:p>
        </w:tc>
        <w:tc>
          <w:tcPr>
            <w:tcW w:w="80" w:type="dxa"/>
            <w:vAlign w:val="bottom"/>
          </w:tcPr>
          <w:p>
            <w:pPr>
              <w:spacing w:after="0"/>
              <w:rPr>
                <w:sz w:val="12"/>
                <w:szCs w:val="12"/>
                <w:color w:val="auto"/>
              </w:rPr>
            </w:pPr>
          </w:p>
        </w:tc>
        <w:tc>
          <w:tcPr>
            <w:tcW w:w="2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(23,668)</w:t>
            </w:r>
          </w:p>
        </w:tc>
        <w:tc>
          <w:tcPr>
            <w:tcW w:w="260" w:type="dxa"/>
            <w:vAlign w:val="bottom"/>
          </w:tcPr>
          <w:p>
            <w:pPr>
              <w:spacing w:after="0"/>
              <w:rPr>
                <w:sz w:val="12"/>
                <w:szCs w:val="12"/>
                <w:color w:val="auto"/>
              </w:rPr>
            </w:pPr>
          </w:p>
        </w:tc>
        <w:tc>
          <w:tcPr>
            <w:tcW w:w="1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(240,286)</w:t>
            </w:r>
          </w:p>
        </w:tc>
        <w:tc>
          <w:tcPr>
            <w:tcW w:w="80" w:type="dxa"/>
            <w:vAlign w:val="bottom"/>
          </w:tcPr>
          <w:p>
            <w:pPr>
              <w:spacing w:after="0"/>
              <w:rPr>
                <w:sz w:val="12"/>
                <w:szCs w:val="12"/>
                <w:color w:val="auto"/>
              </w:rPr>
            </w:pPr>
          </w:p>
        </w:tc>
        <w:tc>
          <w:tcPr>
            <w:tcW w:w="1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(263,954)</w:t>
            </w: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3" w:name="page14"/>
    <w:bookmarkEnd w:id="13"/>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40,348</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 noncurrent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foreign currency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2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receivables and payables,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3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19,942</w:t>
            </w:r>
          </w:p>
        </w:tc>
      </w:tr>
      <w:tr>
        <w:trPr>
          <w:trHeight w:val="22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r>
      <w:tr>
        <w:trPr>
          <w:trHeight w:val="22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w:t>
            </w: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(35,097)</w:t>
            </w:r>
          </w:p>
        </w:tc>
      </w:tr>
      <w:tr>
        <w:trPr>
          <w:trHeight w:val="22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and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23"/>
        </w:trPr>
        <w:tc>
          <w:tcPr>
            <w:tcW w:w="8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32,846</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23"/>
        </w:trPr>
        <w:tc>
          <w:tcPr>
            <w:tcW w:w="8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stock</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 withheld to pay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23"/>
        </w:trPr>
        <w:tc>
          <w:tcPr>
            <w:tcW w:w="8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155,174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158,575</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187,022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MarketWise, Inc. (“MarketWise,” “the Company,” “we,” “us,” or “our”) is a holding company that has no material assets other than its ownership in MarketWise, LLC, and operates and controls all of the businesses and operations of MarketWise, LLC and its subsidiaries. The Company provides independent investment research for investors around the world. We believe we are a leading content and technology multi-brand platform for self-directed investors. We offer a comprehensive portfolio of high-quality, independent investment research, as well as several software and analytical tools, on a subscription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multiple subsidiaries in the United States from our headquarters in Baltimore, Maryland.</w:t>
      </w:r>
    </w:p>
    <w:p>
      <w:pPr>
        <w:spacing w:after="0" w:line="17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On July 21, 2021, MarketWise, Inc. became a publicly traded company as a result of completing the business combination, recapitalization and other transactions with Ascendant Digital Acquisition Corp. (“ADAC” or “Sponsor”), a special purpose acquisition company, MarketWise, LLC, all of the members of MarketWise, LLC (the “MarketWise Members”), and Shareholder Representative Services LLC (collectively, the “Transactions”).</w:t>
      </w: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75" w:lineRule="exact"/>
        <w:rPr>
          <w:sz w:val="20"/>
          <w:szCs w:val="20"/>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(“financial statements”) include the accounts of MarketWise, Inc. and its subsidiary, MarketWise, LLC, a variable interest entity (“VIE”) for which MarketWise, Inc. is deemed to be the primary beneficiary.</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MarketWise, Inc. is a holding company that owns a minority economic interest in MarketWise, LLC but, through its role as the managing member of MarketWise, LLC, controls all of the business and operations of MarketWise, LLC. Therefore, MarketWise, LLC and its subsidiaries are included in the Company’s financial statements. As of June 30, 2024, MarketWise, Inc. had a 12.1% ownership interest in MarketWise, LLC.</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determined that MarketWise, LLC is the primary beneficiary of a VIE, and therefore, the assets, liabilities, and results of operations of that VIE are included in the Company’s financial statements.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(“GAAP”). All intercompany balances and transactions have been eliminated in consolidation.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and the related footnote disclosures have been prepared by us in accordance with GAAP for interim financial reporting and as required by Rule 10-01 of Regulation S-X. Accordingly, the unaudited financial statements may not include all of the information and notes required by GAAP for audited financial statements. The year-end December 31, 2023 consolidated balance sheet data included herein was derived from audited financial statements but does not include all disclosures required by GAAP for complete financial statements. In the opinion of management, the accompanying unaudited financial statements contain all adjustments, consisting of items of a normal and recurring nature, necessary to present fairly our financial position as of June 30, 2024, the results of operations, comprehensive income, stockholders’ deficit, and cash flows for the three and six months ended June 30, 2024 and 2023. The results of operations for the three and six months ended June 30, 2024 and 2023 are not necessarily indicative of the results to be expected for the full year. The information contained herein should be read in conjunction with the audited financial statements included in our Annual Report on Form 10-K for the year ended December 31, 2023 filed with the Securities and Exchange Commission (“SEC”). Management considers events or transactions that occur after the balance sheet date but before the financial statements are issued to provide additional evidence relative to certain estimates or to identify matters that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1800"/>
        <w:spacing w:after="0" w:line="438" w:lineRule="auto"/>
        <w:rPr>
          <w:sz w:val="20"/>
          <w:szCs w:val="20"/>
          <w:color w:val="auto"/>
        </w:rPr>
      </w:pPr>
      <w:r>
        <w:rPr>
          <w:rFonts w:ascii="Times New Roman" w:cs="Times New Roman" w:eastAsia="Times New Roman" w:hAnsi="Times New Roman"/>
          <w:sz w:val="18"/>
          <w:szCs w:val="18"/>
          <w:color w:val="auto"/>
        </w:rPr>
        <w:t xml:space="preserve">additional disclosure. Subsequent events have been evaluated through the date of issuance of these condensed financial statements. </w:t>
      </w:r>
      <w:r>
        <w:rPr>
          <w:rFonts w:ascii="Times New Roman" w:cs="Times New Roman" w:eastAsia="Times New Roman" w:hAnsi="Times New Roman"/>
          <w:sz w:val="18"/>
          <w:szCs w:val="18"/>
          <w:b w:val="1"/>
          <w:bCs w:val="1"/>
          <w:i w:val="1"/>
          <w:iCs w:val="1"/>
          <w:color w:val="auto"/>
        </w:rPr>
        <w:t>Use of Estimates</w:t>
      </w:r>
    </w:p>
    <w:p>
      <w:pPr>
        <w:spacing w:after="0" w:line="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Significant estimates and assumptions made in the accompanying financial statements include, but are not limited to, the fair value of common units, derivatives, warrants, valuation of assets acquired and liabilities assumed in business combinations, useful lives of intangible assets with definite lives, benefit period of deferred contract acquisition costs, determination of standalone selling prices, estimated life of lifetime customers, recoverability of goodwill and long-lived assets, valuation allowances on deferred tax assets, the incremental borrowing rates to calculate lease liabilities and right-of-use (“ROU”) assets and certain accruals. We evaluate our estimates and assumptions on an ongoing basis using historical experience and other factors and adjust those estimates and assumptions when facts and circumstances dictate. Actual results could differ from those estimates.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unaudited condensed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Noncontrolling interest represents the Company’s noncontrolling interest in consolidated subsidiaries which are not attributable, directly or indirectly, to the controlling Class A common stock ownership of the Company.</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income for the three and six months ended June 30, 2024 and 2023 was attributable to consolidated MarketWise, Inc. and its respective noncontrolling interests.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June 30, 2024, MarketWise, Inc.’s controlling interest in MarketWise, LLC was 12.1% and the noncontrolling interest was 87.9%. For the three months ended June 30, 2024, net income attributable to controlling interests included a $779 tax provision, and for the six months ended June 30, 2024, net income attributable to controlling interests included a $1,514 tax provision, both of which were solely attributable to the 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June 30, 2023, MarketWise, Inc.’s controlling interest in MarketWise, LLC was 10.0% and the noncontrolling interest was 90.0%. For the three months ended June 30, 2023, net income attributable to controlling interests included a $427 tax provision, and for the six months ended June 30, 2023, net income attributable to controlling interests included a $1,355 tax provision, both of which were 100% attributable to the controlling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(“ASU 2023-07”) which is aimed at improving reportable segment disclosure requirements, primarily through enhanced disclosures about significant segment expenses. ASU 2023-07 also requires additional interim disclosures. ASU 2023-07 is effective for the Company for the annual period beginning January 1, 2024, and interim periods beginning on January 1, 2025. Early adoption is permitted. The enhanced segment disclosure requirements apply retrospectively to all prior periods presented in the financial statements, and prior period disclosures shall be based on the significant segment expense categories identified and disclosed in the period of adoption. The Company is currently evaluating the impact of the adoption of this standard on its consolidated financial statements.</w:t>
      </w:r>
    </w:p>
    <w:p>
      <w:pPr>
        <w:spacing w:after="0" w:line="1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depicts the disaggregation of revenue according to customer type and is consistent with how we evaluate our financial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this depicts how the nature, amount, timing and uncertainty of revenue and cash flows are affected by economic factors.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103,777</w:t>
            </w:r>
          </w:p>
        </w:tc>
        <w:tc>
          <w:tcPr>
            <w:tcW w:w="1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103,777</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103,777</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6"/>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Pr>
          <w:p>
            <w:pPr>
              <w:spacing w:after="0"/>
              <w:rPr>
                <w:sz w:val="11"/>
                <w:szCs w:val="11"/>
                <w:color w:val="auto"/>
              </w:rPr>
            </w:pPr>
          </w:p>
        </w:tc>
        <w:tc>
          <w:tcPr>
            <w:tcW w:w="138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0"/>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103,148</w:t>
            </w:r>
          </w:p>
        </w:tc>
        <w:tc>
          <w:tcPr>
            <w:tcW w:w="1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103,148</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103,148</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103,644</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6"/>
          </w:tcPr>
          <w:p>
            <w:pPr>
              <w:jc w:val="center"/>
              <w:ind w:left="856"/>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Pr>
          <w:p>
            <w:pPr>
              <w:spacing w:after="0"/>
              <w:rPr>
                <w:sz w:val="11"/>
                <w:szCs w:val="11"/>
                <w:color w:val="auto"/>
              </w:rPr>
            </w:pPr>
          </w:p>
        </w:tc>
        <w:tc>
          <w:tcPr>
            <w:tcW w:w="13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212,052</w:t>
            </w:r>
          </w:p>
        </w:tc>
        <w:tc>
          <w:tcPr>
            <w:tcW w:w="1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212,052</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212,052</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214,037</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-2931160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-2639695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-1773555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-1482090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-624840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-333375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6"/>
          </w:tcPr>
          <w:p>
            <w:pPr>
              <w:jc w:val="center"/>
              <w:ind w:left="917"/>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Pr>
          <w:p>
            <w:pPr>
              <w:spacing w:after="0"/>
              <w:rPr>
                <w:sz w:val="11"/>
                <w:szCs w:val="11"/>
                <w:color w:val="auto"/>
              </w:rPr>
            </w:pPr>
          </w:p>
        </w:tc>
        <w:tc>
          <w:tcPr>
            <w:tcW w:w="13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Timing of transfer:</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Transferred over time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228,560</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228,560</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23"/>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228,560</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229,877</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 by subscription type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7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Membership subscriptions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89,811</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subscriptions</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138,749</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Non-subscription revenue</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2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105,046</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214,037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229,877</w:t>
            </w:r>
          </w:p>
        </w:tc>
      </w:tr>
      <w:tr>
        <w:trPr>
          <w:trHeight w:val="20"/>
        </w:trPr>
        <w:tc>
          <w:tcPr>
            <w:tcW w:w="4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Revenue for the membership and term subscription types are determined based on the terms of the subscription agreements. Non-subscription revenue consists of revenue from advertising and other revenue from revenue share arrangements and the sale of print products and events, such as webinars and conferences.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by principal geographic areas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7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105,046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229,786</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105,046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229,877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location is determined by the billing entity for the customer.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(which represents amounts invoiced to customers), cash collections and refunds affects the recognition of accounts receivable, contract assets and deferred revenue. Our current deferred revenue balance in the condensed consolidated balance sheets includes an obligation for refunds for contracts where the provision for refund has not lapsed. Accounts receivable, deferred revenue and obligation for refunds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r>
      <w:tr>
        <w:trPr>
          <w:trHeight w:val="23"/>
        </w:trPr>
        <w:tc>
          <w:tcPr>
            <w:tcW w:w="7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3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for refunds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284,594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304,342</w:t>
            </w:r>
          </w:p>
        </w:tc>
      </w:tr>
    </w:tbl>
    <w:p>
      <w:pPr>
        <w:spacing w:after="0" w:line="2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recognized $79,088 and $82,614 of revenue during the three months ended June 30, 2024 and 2023, respectively, and $171,649 and $186,649 during the six months ended June 30, 2024 and 2023, respectively, that was included within the beginning contract liability balance of the respective periods. The Company has collected all amounts included in deferred revenue other than $4,475 and $4,528 as of June 30, 2024 and December 31, 2023, respectively, related to the timing of cash settlement with our credit card processors.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 Recognized from Costs to Obtain a Contract with a Customer</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opening and closing balances of our capitalized costs associated with contracts with customers: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164,900</w:t>
            </w:r>
          </w:p>
        </w:tc>
      </w:tr>
      <w:tr>
        <w:trPr>
          <w:trHeight w:val="229"/>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Royalties and sales commissions – additions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r>
      <w:tr>
        <w:trPr>
          <w:trHeight w:val="229"/>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and cost per acquisition fees – additions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w:t>
            </w:r>
          </w:p>
        </w:tc>
      </w:tr>
      <w:tr>
        <w:trPr>
          <w:trHeight w:val="230"/>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of capitalized costs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did not recognize any impairment on capitalized costs associated with contracts with customers for the three and six months ended June 30,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$509,574 of remaining performance obligations presented as deferred revenue in the condensed consolidated balance sheets. We expect to recognize approximately 50% of that amount as revenues over the next twelve months, with the remainder recognized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Legacy Reorganization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8, 2024, the Company reported that its Board of Directors had committed to a strategic realignment and reorganization (the “Reorganization”) whereby the Company will wind-down the operations of its Legacy Research Group business (“Legacy Research”) in response to misconduct discovered at Legacy Research where certain managers violated the Company’s policies.</w:t>
      </w:r>
    </w:p>
    <w:p>
      <w:pPr>
        <w:spacing w:after="0" w:line="12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Following the commitment to the Reorganization, Legacy Research began to significantly curtail business activities including any marketing efforts to acquire new subscribers, but continued to serve existing subscribers and fulfill existing subscriptions during the first half of 2024. At the time of the announcement, there were 104 employees at Legacy Research, which represented approximately 18% of the Company’s total employees. As of June 30, 2024, actions with respect to the employees were completed, and 48 employees were either terminated or resigned, and separation costs incurred in the three and six months ended June 30, 2024 totaled approximately $773 and $964, respectively, within general and administrative expenses. As of June 30, 2024, the Company was still evaluating a range of potential actions related to the Reorganization, including the transfer of certain Legacy Research assets to other businesses within MarketWise, and had not approved any such plans.</w:t>
      </w:r>
    </w:p>
    <w:p>
      <w:pPr>
        <w:spacing w:after="0" w:line="1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Legacy Research has leased office space and the current lease end date for this property is December 2028. As of June 30, 2024, the operating lease right-of-use asset and related leasehold improvements totaled approximately $2.8 million. The Company has ceased using this property in its operations and is evaluating various alternatives with respect to this property as of June 30, 2024.</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second quarter 2024, we began the process of offering certain Legacy Research subscribers similar products published by other MarketWise brands, consistent with past Company practice when we cease a publication.</w:t>
      </w:r>
    </w:p>
    <w:p>
      <w:pPr>
        <w:spacing w:after="0" w:line="10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August 2024, we expect to substantially complete our Reorganization and operational transition plans with respect to substantially all of the Legacy Research brands, which resulted in the transfer of the related assets to other businesses within MarketWise for fair consideration. The administrative transfer process is expected to be complete during the third quarter 2024. For the remaining Legacy Research assets that we do not intend to transfer to other businesses within MarketWise, we continue to evaluate a range of potential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MMP Acquisition</w:t>
      </w:r>
    </w:p>
    <w:p>
      <w:pPr>
        <w:spacing w:after="0" w:line="175"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auto"/>
        </w:rPr>
        <w:t>On January 1, 2024, we acquired 100% ownership of certain assets and liabilities from Money Map Press, LLC (“MMP Acquisition”), a provider of financial newsletters, which is a related party. The Company will pay contingent consideration based on the level of subscription sales it achieves from certain customers beginning from the sale date through January 1, 2026, as defined in the sale agreement. The fair value of the contingent consideration was estimated to be $707. The contingent consideration will be remeasured at the end of each reporting period. The MMP Acquisition was accounted for using the acquisition method of accounting for business combinations. The purchase price allocation is preliminary pending completion of valuations of certain acquired assets and liabilities. The following table summarizes the fair value of assets acquired and liabilities assumed as of the acquisition date: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1"/>
        </w:trPr>
        <w:tc>
          <w:tcPr>
            <w:tcW w:w="9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excess purchase consideration over the fair values of assets acquired and liabilities assumed was recorded as goodwill. The acquired intangible assets related to the MMP Acquisition are amortized over their estimated useful lives. Accordingly, the tradenames are amortized over 8.7 years and customer relationships are amortized over 6.2 years. Amortization for the acquired intangible assets was $98 and $195 for the three and six months ended June 30, 2024, respectively.</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 Net</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amounts of goodwill are as follows: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31,038</w:t>
            </w:r>
          </w:p>
        </w:tc>
      </w:tr>
      <w:tr>
        <w:trPr>
          <w:trHeight w:val="230"/>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MMP Acquisition</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 as of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0" w:type="dxa"/>
            <w:vAlign w:val="bottom"/>
          </w:tcPr>
          <w:p>
            <w:pPr>
              <w:spacing w:after="0"/>
              <w:rPr>
                <w:sz w:val="11"/>
                <w:szCs w:val="11"/>
                <w:color w:val="auto"/>
              </w:rPr>
            </w:pPr>
          </w:p>
        </w:tc>
        <w:tc>
          <w:tcPr>
            <w:tcW w:w="1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0" w:type="dxa"/>
            <w:vAlign w:val="bottom"/>
          </w:tcPr>
          <w:p>
            <w:pPr>
              <w:spacing w:after="0"/>
              <w:rPr>
                <w:sz w:val="1"/>
                <w:szCs w:val="1"/>
                <w:color w:val="auto"/>
              </w:rPr>
            </w:pPr>
          </w:p>
        </w:tc>
      </w:tr>
      <w:tr>
        <w:trPr>
          <w:trHeight w:val="215"/>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2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4.7</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0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Internet domain names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0" w:type="dxa"/>
            <w:vAlign w:val="bottom"/>
          </w:tcPr>
          <w:p>
            <w:pPr>
              <w:spacing w:after="0"/>
              <w:rPr>
                <w:sz w:val="11"/>
                <w:szCs w:val="11"/>
                <w:color w:val="auto"/>
              </w:rPr>
            </w:pPr>
          </w:p>
        </w:tc>
        <w:tc>
          <w:tcPr>
            <w:tcW w:w="1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3.9</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0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3.7</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Internet domain names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recorded amortization expense related to finite-lived intangible assets of $612 and $925 for the three months ended June 30, 2024 and 2023, respectively, and $1,246 and $1,839 for the six months ended June 30, 2024 and 2023, respectively, within depreciation and amortization in the accompanying condensed consolidated statement of operations. These amounts include amortization of capitalized software development costs of $278 and $146 for the three months ended June 30, 2024 and 2023, respectively, and $542 and $289 for the six months ended June 30, 2024 and 2023, respectively.</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recorded additions to capitalized software development costs of $477 and 590 for the three months ended June 30, 2024 and 2023, respectively, and $774 and $972 for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96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MARKETWISE, INC.</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58"/>
        </w:trPr>
        <w:tc>
          <w:tcPr>
            <w:tcW w:w="96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6"/>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i w:val="1"/>
                <w:iCs w:val="1"/>
                <w:color w:val="auto"/>
                <w:w w:val="99"/>
              </w:rPr>
              <w:t>(Dollar amounts in thousands, except share, unit, per share, and per unit data)</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70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2024, the total expected future amortization expense for finite-lived intangible assets is as follows:</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financial assets and liabilities measured at fair value on a recurring basis by level within the fair value hierarchy as of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r>
      <w:tr>
        <w:trPr>
          <w:trHeight w:val="216"/>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87,728</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87,728</w:t>
            </w: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87,728</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87,997</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Profits interests, noncurrent</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2,756</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43"/>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r>
      <w:tr>
        <w:trPr>
          <w:trHeight w:val="216"/>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121,345</w:t>
            </w: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3"/>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121,345</w:t>
            </w:r>
          </w:p>
        </w:tc>
        <w:tc>
          <w:tcPr>
            <w:tcW w:w="14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1,253</w:t>
            </w:r>
          </w:p>
        </w:tc>
        <w:tc>
          <w:tcPr>
            <w:tcW w:w="1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122,598</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Profits interests, noncurrent</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48"/>
        </w:trPr>
        <w:tc>
          <w:tcPr>
            <w:tcW w:w="5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 xml:space="preserve">The level 3 assets relate to contingent consideration receivable from a related party associated with the Buttonwood Publishing sale, see </w:t>
      </w:r>
      <w:r>
        <w:rPr>
          <w:rFonts w:ascii="Times New Roman" w:cs="Times New Roman" w:eastAsia="Times New Roman" w:hAnsi="Times New Roman"/>
          <w:sz w:val="18"/>
          <w:szCs w:val="18"/>
          <w:i w:val="1"/>
          <w:iCs w:val="1"/>
          <w:color w:val="auto"/>
        </w:rPr>
        <w:t>Note 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Acquisitions and Disposals </w:t>
      </w:r>
      <w:r>
        <w:rPr>
          <w:rFonts w:ascii="Times New Roman" w:cs="Times New Roman" w:eastAsia="Times New Roman" w:hAnsi="Times New Roman"/>
          <w:sz w:val="18"/>
          <w:szCs w:val="18"/>
          <w:color w:val="auto"/>
        </w:rPr>
        <w:t>in our Annual Report on Form 10-K for the year ended December 31, 2023, and the level 3 liabilities relate to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liability to a related party associated with the MMP Acquisition and profits interests, see </w:t>
      </w:r>
      <w:r>
        <w:rPr>
          <w:rFonts w:ascii="Times New Roman" w:cs="Times New Roman" w:eastAsia="Times New Roman" w:hAnsi="Times New Roman"/>
          <w:sz w:val="18"/>
          <w:szCs w:val="18"/>
          <w:i w:val="1"/>
          <w:iCs w:val="1"/>
          <w:color w:val="auto"/>
        </w:rPr>
        <w:t>Note 5 - Acquisitions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9 –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respectively</w:t>
      </w:r>
      <w:r>
        <w:rPr>
          <w:rFonts w:ascii="Times New Roman" w:cs="Times New Roman" w:eastAsia="Times New Roman" w:hAnsi="Times New Roman"/>
          <w:sz w:val="18"/>
          <w:szCs w:val="18"/>
          <w:i w:val="1"/>
          <w:iCs w:val="1"/>
          <w:color w:val="auto"/>
        </w:rPr>
        <w: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the recurring Level 3 fair value measurements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Level 3 Fair Value Measurements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Statement Line Item</w:t>
            </w: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5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Profits interests,</w:t>
            </w: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140" w:type="dxa"/>
            <w:vAlign w:val="bottom"/>
          </w:tcPr>
          <w:p>
            <w:pPr>
              <w:spacing w:after="0"/>
              <w:rPr>
                <w:sz w:val="12"/>
                <w:szCs w:val="12"/>
                <w:color w:val="auto"/>
              </w:rPr>
            </w:pPr>
          </w:p>
        </w:tc>
        <w:tc>
          <w:tcPr>
            <w:tcW w:w="2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That Includes The Gains And</w:t>
            </w: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56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consideration liability</w:t>
            </w: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40" w:type="dxa"/>
            <w:vAlign w:val="bottom"/>
            <w:tcBorders>
              <w:top w:val="single" w:sz="8" w:color="CCEEFF"/>
            </w:tcBorders>
            <w:shd w:val="clear" w:color="auto" w:fill="CCEEFF"/>
          </w:tcPr>
          <w:p>
            <w:pPr>
              <w:spacing w:after="0"/>
              <w:rPr>
                <w:sz w:val="22"/>
                <w:szCs w:val="22"/>
                <w:color w:val="auto"/>
              </w:rPr>
            </w:pPr>
          </w:p>
        </w:tc>
        <w:tc>
          <w:tcPr>
            <w:tcW w:w="1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7" w:right="339" w:bottom="1440" w:gutter="0" w:footer="0" w:header="0"/>
        </w:sectPr>
      </w:pPr>
    </w:p>
    <w:p>
      <w:pPr>
        <w:ind w:left="20" w:right="680"/>
        <w:spacing w:after="0" w:line="292" w:lineRule="auto"/>
        <w:rPr>
          <w:sz w:val="20"/>
          <w:szCs w:val="20"/>
          <w:color w:val="auto"/>
        </w:rPr>
      </w:pPr>
      <w:r>
        <w:rPr>
          <w:rFonts w:ascii="Times New Roman" w:cs="Times New Roman" w:eastAsia="Times New Roman" w:hAnsi="Times New Roman"/>
          <w:sz w:val="18"/>
          <w:szCs w:val="18"/>
          <w:color w:val="auto"/>
        </w:rPr>
        <w:t>Balance at December 31, 2023 Issues</w:t>
      </w:r>
    </w:p>
    <w:p>
      <w:pPr>
        <w:spacing w:after="0" w:line="139" w:lineRule="exact"/>
        <w:rPr>
          <w:sz w:val="20"/>
          <w:szCs w:val="20"/>
          <w:color w:val="auto"/>
        </w:rPr>
      </w:pPr>
    </w:p>
    <w:p>
      <w:pPr>
        <w:ind w:left="20"/>
        <w:spacing w:after="0" w:line="329" w:lineRule="auto"/>
        <w:rPr>
          <w:sz w:val="20"/>
          <w:szCs w:val="20"/>
          <w:color w:val="auto"/>
        </w:rPr>
      </w:pPr>
      <w:r>
        <w:rPr>
          <w:rFonts w:ascii="Times New Roman" w:cs="Times New Roman" w:eastAsia="Times New Roman" w:hAnsi="Times New Roman"/>
          <w:sz w:val="17"/>
          <w:szCs w:val="17"/>
          <w:color w:val="auto"/>
        </w:rPr>
        <w:t>Total gains (losses) recorded in earnings Total (gains) losses recorded in earnings</w:t>
      </w:r>
    </w:p>
    <w:p>
      <w:pPr>
        <w:spacing w:after="0" w:line="301" w:lineRule="exact"/>
        <w:rPr>
          <w:sz w:val="20"/>
          <w:szCs w:val="20"/>
          <w:color w:val="auto"/>
        </w:rPr>
      </w:pPr>
    </w:p>
    <w:p>
      <w:pPr>
        <w:ind w:left="20"/>
        <w:spacing w:after="0" w:line="344" w:lineRule="auto"/>
        <w:rPr>
          <w:sz w:val="20"/>
          <w:szCs w:val="20"/>
          <w:color w:val="auto"/>
        </w:rPr>
      </w:pPr>
      <w:r>
        <w:rPr>
          <w:rFonts w:ascii="Times New Roman" w:cs="Times New Roman" w:eastAsia="Times New Roman" w:hAnsi="Times New Roman"/>
          <w:sz w:val="18"/>
          <w:szCs w:val="18"/>
          <w:color w:val="auto"/>
        </w:rPr>
        <w:t>Total (gains) losses recorded in earnings Balance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0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180"/>
        </w:trPr>
        <w:tc>
          <w:tcPr>
            <w:tcW w:w="2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Other (expense) income,</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5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80"/>
        </w:trPr>
        <w:tc>
          <w:tcPr>
            <w:tcW w:w="2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General and</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-1130935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-719455</wp:posOffset>
            </wp:positionV>
            <wp:extent cx="7132320" cy="266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-187960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2920" w:space="240"/>
            <w:col w:w="8080"/>
          </w:cols>
          <w:pgMar w:left="320" w:top="117" w:right="339" w:bottom="1440" w:gutter="0" w:footer="0" w:header="0"/>
          <w:type w:val="continuous"/>
        </w:sectPr>
      </w:pPr>
    </w:p>
    <w:p>
      <w:pPr>
        <w:ind w:right="440"/>
        <w:spacing w:after="0" w:line="270"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the recurring Level 3 fair value measurements inputs for the contingent consideration receivable, profits interests, and contingent consideration liability at their measurement dates:</w:t>
      </w:r>
    </w:p>
    <w:tbl>
      <w:tblPr>
        <w:tblLayout w:type="fixed"/>
        <w:tblInd w:w="0" w:type="dxa"/>
        <w:tblCellMar>
          <w:top w:w="0" w:type="dxa"/>
          <w:left w:w="0" w:type="dxa"/>
          <w:bottom w:w="0" w:type="dxa"/>
          <w:right w:w="0" w:type="dxa"/>
        </w:tblCellMar>
      </w:tblPr>
      <w:tr>
        <w:trPr>
          <w:trHeight w:val="190"/>
        </w:trPr>
        <w:tc>
          <w:tcPr>
            <w:tcW w:w="9300" w:type="dxa"/>
            <w:vAlign w:val="bottom"/>
          </w:tcPr>
          <w:p>
            <w:pPr>
              <w:spacing w:after="0"/>
              <w:rPr>
                <w:sz w:val="16"/>
                <w:szCs w:val="16"/>
                <w:color w:val="auto"/>
              </w:rPr>
            </w:pPr>
          </w:p>
        </w:tc>
        <w:tc>
          <w:tcPr>
            <w:tcW w:w="194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03"/>
        </w:trPr>
        <w:tc>
          <w:tcPr>
            <w:tcW w:w="9300" w:type="dxa"/>
            <w:vAlign w:val="bottom"/>
          </w:tcPr>
          <w:p>
            <w:pPr>
              <w:spacing w:after="0"/>
              <w:rPr>
                <w:sz w:val="17"/>
                <w:szCs w:val="17"/>
                <w:color w:val="auto"/>
              </w:rPr>
            </w:pPr>
          </w:p>
        </w:tc>
        <w:tc>
          <w:tcPr>
            <w:tcW w:w="19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receivable</w:t>
            </w:r>
          </w:p>
        </w:tc>
        <w:tc>
          <w:tcPr>
            <w:tcW w:w="1940" w:type="dxa"/>
            <w:vAlign w:val="bottom"/>
            <w:shd w:val="clear" w:color="auto" w:fill="CCEEFF"/>
          </w:tcPr>
          <w:p>
            <w:pPr>
              <w:spacing w:after="0"/>
              <w:rPr>
                <w:sz w:val="18"/>
                <w:szCs w:val="18"/>
                <w:color w:val="auto"/>
              </w:rPr>
            </w:pP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discount rate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57"/>
        </w:trPr>
        <w:tc>
          <w:tcPr>
            <w:tcW w:w="93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Profits interests</w:t>
            </w:r>
          </w:p>
        </w:tc>
        <w:tc>
          <w:tcPr>
            <w:tcW w:w="1940" w:type="dxa"/>
            <w:vAlign w:val="bottom"/>
            <w:shd w:val="clear" w:color="auto" w:fill="CCEEFF"/>
          </w:tcPr>
          <w:p>
            <w:pPr>
              <w:spacing w:after="0"/>
              <w:rPr>
                <w:sz w:val="19"/>
                <w:szCs w:val="19"/>
                <w:color w:val="auto"/>
              </w:rPr>
            </w:pP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57"/>
        </w:trPr>
        <w:tc>
          <w:tcPr>
            <w:tcW w:w="93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tc>
        <w:tc>
          <w:tcPr>
            <w:tcW w:w="1940" w:type="dxa"/>
            <w:vAlign w:val="bottom"/>
            <w:shd w:val="clear" w:color="auto" w:fill="CCEEFF"/>
          </w:tcPr>
          <w:p>
            <w:pPr>
              <w:spacing w:after="0"/>
              <w:rPr>
                <w:sz w:val="19"/>
                <w:szCs w:val="19"/>
                <w:color w:val="auto"/>
              </w:rPr>
            </w:pPr>
          </w:p>
        </w:tc>
      </w:tr>
      <w:tr>
        <w:trPr>
          <w:trHeight w:val="23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r>
    </w:tbl>
    <w:p>
      <w:pPr>
        <w:spacing w:after="0" w:line="22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held no derivative liabilities as during the six months ended June 30, 2024. The following table summarizes the change in fair value of the derivative liabilities during the six months ended June 30,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Implementation Costs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capitalized cloud computing implementation costs for customer-relationship management, revenue management, and enterprise resource planning systems of $56 and $66 for the three months ended June 30, 2024 and 2023, respectively, and $56 and $71 for the six months ended June 30, 2024 and 2023, respectively. The capitalized implementation costs are capitalized within other current assets and other assets on the condensed consolidated balance sheets. Amortization expense related to capitalized cloud computing implementation costs was $240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$229, for the three months ended June 30, 2024 and 2023, respectively, and $478 and $451 for the six months ended June 30, 2024 and 2023,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software and equipment</w:t>
            </w:r>
          </w:p>
        </w:tc>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years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spacing w:after="0"/>
              <w:rPr>
                <w:sz w:val="15"/>
                <w:szCs w:val="15"/>
                <w:color w:val="auto"/>
              </w:rPr>
            </w:pPr>
          </w:p>
        </w:tc>
        <w:tc>
          <w:tcPr>
            <w:tcW w:w="3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Shorter of estimated useful life or</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remaining term of lease</w:t>
            </w:r>
          </w:p>
        </w:tc>
        <w:tc>
          <w:tcPr>
            <w:tcW w:w="2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2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was $56 and $69 for the three months ended June 30, 2024 and 2023, respectively, and $116 and $139 for the six months ended June 30,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variable compensation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29,817</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w:t>
            </w:r>
          </w:p>
        </w:tc>
      </w:tr>
      <w:tr>
        <w:trPr>
          <w:trHeight w:val="22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55,041</w:t>
            </w:r>
          </w:p>
        </w:tc>
      </w:tr>
      <w:tr>
        <w:trPr>
          <w:trHeight w:val="21"/>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within cost of revenue, sales and marketing, and general and administrative expenses are total stock-based compensation expenses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84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23"/>
        </w:trPr>
        <w:tc>
          <w:tcPr>
            <w:tcW w:w="4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 based-compensation expense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w:t>
            </w:r>
          </w:p>
        </w:tc>
      </w:tr>
      <w:tr>
        <w:trPr>
          <w:trHeight w:val="20"/>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for the three and six months ended June 30, 2024 and 2023 includes expenses related to our MarketWise,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Incentive Award Plan (the “2021 Incentive Award Plan”) our 2021 Employee Stock Purchase Plan (“ESPP”), and profits interests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84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Incentive Award Plan</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Profits interests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w:t>
            </w:r>
          </w:p>
        </w:tc>
      </w:tr>
      <w:tr>
        <w:trPr>
          <w:trHeight w:val="21"/>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granted 1,341,395 restricted stock units (“RSUs”) to certain employees and service providers in aggregate under our 2021 Incentive Award Plan.</w:t>
      </w:r>
    </w:p>
    <w:p>
      <w:pPr>
        <w:spacing w:after="0" w:line="108" w:lineRule="exact"/>
        <w:rPr>
          <w:sz w:val="20"/>
          <w:szCs w:val="20"/>
          <w:color w:val="auto"/>
        </w:rPr>
      </w:pPr>
    </w:p>
    <w:p>
      <w:pPr>
        <w:ind w:firstLine="243"/>
        <w:spacing w:after="0" w:line="256" w:lineRule="auto"/>
        <w:rPr>
          <w:sz w:val="20"/>
          <w:szCs w:val="20"/>
          <w:color w:val="auto"/>
        </w:rPr>
      </w:pPr>
      <w:r>
        <w:rPr>
          <w:rFonts w:ascii="Times New Roman" w:cs="Times New Roman" w:eastAsia="Times New Roman" w:hAnsi="Times New Roman"/>
          <w:sz w:val="18"/>
          <w:szCs w:val="18"/>
          <w:color w:val="auto"/>
        </w:rPr>
        <w:t>For employees and service providers, both RSUs and stock appreciation rights (“SARs”) are primarily time-based and typically vest ratably over four years, as specified in the individual grant notices. The RSUs may entitle the recipients to dividend equivalents if approved by the Plan Administrator, which are subject to the same vesting terms and accumulate during the vesting period. Upon vesting, the RSU holder will be issued a corresponding number of the Company’s Class A common stock. The SARs will be settled in the Company’s Class A common stock upon exercise. The shares to be issued upon exercise of a SAR will have a total market value equal to the SAR value calculated as (x) number of shares underlying such SAR, multiplied by (y) any excess of the Company’s share value on the date of exercise over the exercise price set in each individual grant notice.</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fair value of the RSU is the same as the Company’s share price on the date of grant. The fair value of the SARs was determined using a Black-Scholes model.</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activities of the RSUs and SARs and the related weighted average grant-date fair value of the respective share classes, including granted, exercised and forfeited, from January 1, 2024 to June 30, 2024,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SARs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1880" w:type="dxa"/>
            <w:vAlign w:val="bottom"/>
            <w:tcBorders>
              <w:top w:val="single" w:sz="8" w:color="auto"/>
            </w:tcBorders>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w:t>
            </w:r>
          </w:p>
        </w:tc>
        <w:tc>
          <w:tcPr>
            <w:tcW w:w="100" w:type="dxa"/>
            <w:vAlign w:val="bottom"/>
          </w:tcPr>
          <w:p>
            <w:pPr>
              <w:spacing w:after="0"/>
              <w:rPr>
                <w:sz w:val="11"/>
                <w:szCs w:val="11"/>
                <w:color w:val="auto"/>
              </w:rPr>
            </w:pPr>
          </w:p>
        </w:tc>
        <w:tc>
          <w:tcPr>
            <w:tcW w:w="1880" w:type="dxa"/>
            <w:vAlign w:val="bottom"/>
            <w:tcBorders>
              <w:top w:val="single" w:sz="8" w:color="auto"/>
            </w:tcBorders>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right"/>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2024</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7,740,261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or 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(2,057,390)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(693,251)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June 30,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6,331,015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June 30, 2024</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vMerge w:val="continue"/>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738,787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stock compensation expense related to the RSU and SAR grants was $1,687 and $2,443 for the three months ended June 30, 2024 and 2023, respectively, and $3,773 and $6,046 for the six months ended June 30, 2024 and 2023, respectively. As of June 30, 2024, 738,787 of the SARs were exercisable and they have a remaining contractual term of 6.6 years.</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new compensation structure effective on July 1, 2024, we granted approximately 18.1 million RSUs to employees on that date, which vest ratably over 4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recognized $79 and $91 of stock-based compensation expense related to the ESPP during the three months ended June 30, 2024 and 2023, respectively, and $168 and $191 for the six months ended June 30, 2024 and 2023, respectively. The Company issued 216,517 shares of Class A common stock for $213 related to employee purchases under the ESPP during the six months ended June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stock-based compensation (income) expense related to the profits interests, which are liability classified, was $(109) and $0 for the three months ended June 30, 2024 and 2023, respectively, and $1,523 and $0 for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computation of basic and diluted earnings per share for the three and six months ended June 30,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8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40,348</w:t>
            </w:r>
          </w:p>
        </w:tc>
      </w:tr>
      <w:tr>
        <w:trPr>
          <w:trHeight w:val="229"/>
        </w:trPr>
        <w:tc>
          <w:tcPr>
            <w:tcW w:w="5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38,845</w:t>
            </w:r>
          </w:p>
        </w:tc>
      </w:tr>
      <w:tr>
        <w:trPr>
          <w:trHeight w:val="248"/>
        </w:trPr>
        <w:tc>
          <w:tcPr>
            <w:tcW w:w="5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Class A common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29,853</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40,348</w:t>
            </w: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38,845</w:t>
            </w:r>
          </w:p>
        </w:tc>
      </w:tr>
      <w:tr>
        <w:trPr>
          <w:trHeight w:val="223"/>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Class A common stockholders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4"/>
        </w:trPr>
        <w:tc>
          <w:tcPr>
            <w:tcW w:w="5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5"/>
        </w:trPr>
        <w:tc>
          <w:tcPr>
            <w:tcW w:w="5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potentially dilutive securities and their impact on the computation of diluted earnings per share is as follows:</w:t>
      </w:r>
    </w:p>
    <w:p>
      <w:pPr>
        <w:spacing w:after="0" w:line="171" w:lineRule="exact"/>
        <w:rPr>
          <w:sz w:val="20"/>
          <w:szCs w:val="20"/>
          <w:color w:val="auto"/>
        </w:rPr>
      </w:pPr>
    </w:p>
    <w:p>
      <w:pPr>
        <w:ind w:left="660" w:right="160" w:hanging="328"/>
        <w:spacing w:after="0" w:line="266" w:lineRule="auto"/>
        <w:tabs>
          <w:tab w:leader="none" w:pos="6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MarketWise Management Member Earnout Shares: the 3,051,000 Sponsor Earnout Shares and the 2,000,000 MarketWise Management Member Earnout Shares (as defined and discussed in our Current Report on Form 8-K filed with the SEC on July 28, 2021) held in escrow are excluded from the earnings per share computation in both periods since the earnout contingency has not been met.</w:t>
      </w:r>
    </w:p>
    <w:p>
      <w:pPr>
        <w:spacing w:after="0" w:line="12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The basic earnings per share calculation includes the impact of vested RSUs. The diluted earnings per share calculation includes the impact of unvested RSUs, where the impact is dilutive, unless the Company has a net loss.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The diluted earnings per share calculation excludes the impact of SARs since the effect was antidilutive.</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ESPP: The diluted earnings per share calculation includes the impact of dilutive shares and excludes the impact of antidilutive shares under the ESPP as of June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subject to U.S. federal and state taxes with respect to our allocable share of any taxable income or loss of MarketWise, LLC, as well as any stand-alone income or loss we generate. MarketWise, LLC is treated as a partnership for U.S. income tax purposes and for most applicable state and local income tax purposes and generally does not pay income taxes in most jurisdictions. Instead, MarketWise, LLC’s taxable income or loss is passed through to its members, including us.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effective income tax rate was 3.6% and 3.3% for the three and six months ended June 30, 2024, respectively, and 4.2% and 3.3% for the three and six months ended June 30, 2023, respectively. The main driver of the effective income tax rate for the three and six months ended June 30, 2023 was the income allocation to the non-controlling interest. The main driver of the increase in the effective tax rate from the three months ended June 30, 2023 is the change in the income allocation to the non-controlling interest. Our effective tax rate for the three and six months ended June 30, 2024 differs from the U.S. federal statutory rate primarily because we generally do not record income taxes for the noncontrolling portion of pre-tax income.</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result of the reverse capitalization in 2021, we recorded a deferred tax asset resulting from the outside basis difference in our interest in MarketWise, LLC. The Company considers both positive and negative evidence when measuring the need for a valuation allowance. A valuation allowance is not required to the extent that, in management’s judgment, positive evidence exists with a magnitude and duration sufficient to result in a conclusion that it is more likely than not (a likelihood of more than 50%) that the Company’s deferred tax assets will be realized.</w:t>
      </w:r>
    </w:p>
    <w:p>
      <w:pPr>
        <w:spacing w:after="0" w:line="12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evaluating the need for a valuation allowance on the deferred tax asset, the company considered positive evidence related to its historic earnings, forecasted income and reversal of temporary differences. Therefore, the Company recorded a valuation allowance in the amount of $29,869 for certain deferred tax assets that are not more likely than not to be realized.</w:t>
      </w:r>
    </w:p>
    <w:p>
      <w:pPr>
        <w:spacing w:after="0" w:line="12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part of the reverse capitalization in 2021, we entered into a Tax Receivable Agreement (“TRA”) with certain stockholders. Pursuant to our election under Section 754 of the Internal Revenue Code of 1986, as amended, and the regulations issued thereunder, we expect to receive a step up in the tax basis of our ownership in MarketWise, LLC as exchanges of the LLC Units (as defined herein) occur. These increases in tax basis may reduce the amount we may otherwise pay to various tax authorities in the future. The TRA liability represents approximately 85% of the calculated tax savings based on basis adjustments and other carryforward attributes assumed that we anticipate being able to utilize in future years. We will retain the remaining 15% of calculated tax savings. The payments contemplated by the TRA are not conditioned upon any continued ownership interest in MarketWise, LLC. The timing and amount of aggregate payments due pursuant to the TRA may vary based on several factors including the timing and amount of future taxable income, as well as future applicable tax rates. As such, significant inputs and assumptions are used to estimate the future expected payments under the TRA. During the three and six months ended June 30, 2024, Members of MarketWise, LLC exchanged an aggregate of 500,000 and common units of MarketWise, LLC (“LLC Units”) together with an equal number of shares of Class B common stock for 500,000 and newly-issued shares of Class A common stock, respectively. In addition, MarketWise LLC purchased 7,202,156 LLC Units and canceled an equal number of shares of Class B common stock. As a result, we have recorded a liability of $2,946 under the TRA as of June 30, 2024. No payments have been made under the TRA and no payments are expected in the next 12 months.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had no unrecognized tax positions and we do not expect changes to uncertain tax positions within the next 12 months.</w:t>
      </w:r>
    </w:p>
    <w:p>
      <w:pPr>
        <w:spacing w:after="0" w:line="200" w:lineRule="exact"/>
        <w:rPr>
          <w:sz w:val="20"/>
          <w:szCs w:val="20"/>
          <w:color w:val="auto"/>
        </w:rPr>
      </w:pPr>
    </w:p>
    <w:p>
      <w:pPr>
        <w:spacing w:after="0" w:line="3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certain revenue share agreements with related parties. Accordingly, we recognized revenue from related parties of $872 and $281 for the three months ended June 30, 2024 and 2023, respectively, and $1,251 and $899 for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incurred costs related to revenue share agreements with related parties which are capitalized within deferred contract acquisition costs. We capitalized $745 and $935 for the three months ended June 30, 2024 and 2023, respectively, and $2,051 and $2,087 for the six months ended June 30, 2024 and 2023, respectively.</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Additionally, a related party provided call center support and other services to the Company for which we recorded an expense within cost of revenue of $86 and $217 for the three months ended June 30, 2024 and 2023, respectively, and $220 and $353 for the six months ended June 30, 2024 and 2023, respectively.</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related party provided marketing and copywriting services to the Company for which we recorded an expense within cost of revenue of $0 and $332 for the three months ended June 30, 2024 and 2023, respectively, $0 and $585 for the six months ended June 30, 2024 and 2023, respectively.</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related party also provided certain corporate functions to the Company and the costs of these services are charged to us. We recorded $16 and $27 for the three months ended June 30, 2024 and 2023, respectively, and $39 and $54 for the six months ended June 30, 2024 and 2023, respectively, within related party expense in the accompanying condensed consolidated statement of operations. We held balances of $487 and $1,220 as of June 30, 2024 and December 31, 2023, respectively, of related party payables related to revenue share expenses, call center support, and the services noted above. The balances with this related party are presented net and are included in related party payables in the condensed consolidated balance sheet.</w:t>
      </w:r>
    </w:p>
    <w:p>
      <w:pPr>
        <w:spacing w:after="0" w:line="1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earned fees and provided certain accounting and marketing services to companies owned by certain of MarketWise’s Class B stockholders. As a result, we recognized $107 and $205 in other income, net for the three months ended June 30, 2024 and 2023, respectively, and $262 and $507 for the six months ended June 30, 2024 and 2023, respectively. Related party receivables related to these services were $262 and $239 as of June 30, 2024 and December 31, 2023, respectively.</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lease offices from related parties. Lease payments made to related parties were $435 and $435 for the three months ended June 30, 2024 and 2023, respectively, and $870 and $868 for the six months ended June 30, 2024 and 2023, respectively. Related party rent expense was $603 and $595 for the three months ended June 30, 2024 and 2023, respectively, and $1,206 and $1,200 for the six months ended June 30, 2024 and 2023, respectively, and was recognized in general and administrative expenses. At June 30, 2024 and December 31, 2023, ROU assets of $6,277 and $7,261 and lease liabilities of $5,061 and $5,740, respectively, are associated with leases with related parties.</w:t>
      </w:r>
    </w:p>
    <w:p>
      <w:pPr>
        <w:spacing w:after="0" w:line="200" w:lineRule="exact"/>
        <w:rPr>
          <w:sz w:val="20"/>
          <w:szCs w:val="20"/>
          <w:color w:val="auto"/>
        </w:rPr>
      </w:pPr>
    </w:p>
    <w:p>
      <w:pPr>
        <w:spacing w:after="0" w:line="3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disclosures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94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7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76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140" w:type="dxa"/>
            <w:vAlign w:val="bottom"/>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114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w:t>
            </w: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r>
      <w:tr>
        <w:trPr>
          <w:trHeight w:val="203"/>
        </w:trPr>
        <w:tc>
          <w:tcPr>
            <w:tcW w:w="7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included in accounts payable</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 liability related to MMP Acquisition</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capital stock consists of (i) issued and outstanding Class A common stock with a par value of $0.0001 per share, and (ii) issued and outstanding Class B common stock with a par value of $0.0001 per share.</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table set forth below reflects information about the Company’s equity, as of June 30, 2024. The 3,051,000 Sponsor Earnout Shares held in escrow and the 2,000,000 Management Member Earnout Shares are considered contingently issuable shares and therefore excluded from the number of Class A common stock issued and outstanding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9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9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3"/>
        </w:trPr>
        <w:tc>
          <w:tcPr>
            <w:tcW w:w="56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Class A</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950,000,000</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38,599,509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38,599,509</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 Class B</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280,390,147</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280,390,147</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1,350,000,000</w:t>
            </w:r>
          </w:p>
        </w:tc>
        <w:tc>
          <w:tcPr>
            <w:tcW w:w="8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318,989,656</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318,989,656</w:t>
            </w:r>
          </w:p>
        </w:tc>
      </w:tr>
      <w:tr>
        <w:trPr>
          <w:trHeight w:val="21"/>
        </w:trPr>
        <w:tc>
          <w:tcPr>
            <w:tcW w:w="56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share of Class A and Class B common stock entitles the holder one vote per share. Only holders of Class A common stock have the right to receive dividends. In the event of liquidation, dissolution or winding up of the affairs of the Company, only holders of Class A common stock have the right to receive liquidation proceeds, while the holders of Class B common stock are entitled to only the par value of their shares. Class B common stock can be issued only to members of MarketWise, LLC, their respective successors and permitted transferees. Under the terms of the Third Amended and Restated Limited Liability Company Operating Agreement of MarketWise, LLC (the “MarketWise Operating Agreement”), and subject to certain restrictions set forth therein, the MarketWise Members are entitled to have their LLC Units redeemed or exchanged for shares of our Class A common stock, at our option. If redeemed for cash at the Company’s option, such cash would have to be generated through an offering of shares to the market such that there would not be any situation where there would be a net cash obligation to the Company for such redemption. Shares of our Class B common stock held by any such redeeming or exchanging MarketWise Member will be canceled for no additional consideration on a one-for-one basis with the redeemed or exchanged LLC Units whenever the MarketWise Members’ LLC Units are so redeemed or exchanged. The MarketWise Members may exercise such redemption rights for as long as their LLC Units remain outstanding. Our Board has discretion to determine the rights, preferences, privileges and restrictions, including voting rights, dividend rights, conversion rights, redemption privileges and liquidation preferences, of each series of preferred stock.</w:t>
      </w:r>
    </w:p>
    <w:p>
      <w:pPr>
        <w:spacing w:after="0" w:line="136" w:lineRule="exact"/>
        <w:rPr>
          <w:sz w:val="20"/>
          <w:szCs w:val="20"/>
          <w:color w:val="auto"/>
        </w:rPr>
      </w:pPr>
    </w:p>
    <w:p>
      <w:pPr>
        <w:ind w:right="300" w:firstLine="243"/>
        <w:spacing w:after="0" w:line="282" w:lineRule="auto"/>
        <w:rPr>
          <w:sz w:val="20"/>
          <w:szCs w:val="20"/>
          <w:color w:val="auto"/>
        </w:rPr>
      </w:pPr>
      <w:r>
        <w:rPr>
          <w:rFonts w:ascii="Times New Roman" w:cs="Times New Roman" w:eastAsia="Times New Roman" w:hAnsi="Times New Roman"/>
          <w:sz w:val="18"/>
          <w:szCs w:val="18"/>
          <w:color w:val="auto"/>
        </w:rPr>
        <w:t>In April 2024, we purchased 7.2 million LLC Units for $10.8 million and canceled the same amount of Class B shares. In July 2024, we canceled an additional 8.4 million LLC Units and Class B shares.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2023, we commenced paying quarterly dividends on shares of our Class A common stock and distributions on our LLC Units. There can be no assurance that we will continue to pay dividends in the future. The payment of any future dividends and distributions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dividends and distributions declared during the six months ended June 30, 2024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6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Date paid</w:t>
            </w: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80" w:type="dxa"/>
            <w:vAlign w:val="bottom"/>
            <w:tcBorders>
              <w:bottom w:val="single" w:sz="8" w:color="auto"/>
            </w:tcBorders>
            <w:vMerge w:val="continue"/>
          </w:tcPr>
          <w:p>
            <w:pPr>
              <w:spacing w:after="0"/>
              <w:rPr>
                <w:sz w:val="16"/>
                <w:szCs w:val="16"/>
                <w:color w:val="auto"/>
              </w:rPr>
            </w:pPr>
          </w:p>
        </w:tc>
        <w:tc>
          <w:tcPr>
            <w:tcW w:w="36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5, 2024</w:t>
            </w:r>
          </w:p>
        </w:tc>
        <w:tc>
          <w:tcPr>
            <w:tcW w:w="3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April 25, 2024</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34"/>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3, 2024</w:t>
            </w:r>
          </w:p>
        </w:tc>
        <w:tc>
          <w:tcPr>
            <w:tcW w:w="3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 25, 2024</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0.01</w:t>
            </w:r>
          </w:p>
        </w:tc>
        <w:tc>
          <w:tcPr>
            <w:tcW w:w="100" w:type="dxa"/>
            <w:vAlign w:val="bottom"/>
          </w:tcPr>
          <w:p>
            <w:pPr>
              <w:spacing w:after="0"/>
              <w:rPr>
                <w:sz w:val="20"/>
                <w:szCs w:val="20"/>
                <w:color w:val="auto"/>
              </w:rPr>
            </w:pP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20"/>
                <w:szCs w:val="20"/>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events have been evaluated through August 14, 2024, which is the date that the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MarketWise, Inc., a Delaware corporation (“MarketWise,” “we,” “us,” and “our”), should be read together with our unaudited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2023 (the “Annual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 entitled “Cautionary Statement Regarding Forward-Looking Statements” in this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 leading multi-brand platform of subscription businesses that provides premium financial research, software, education, and tools for self-directed investors. We offer a comprehensive portfolio of high-quality, independent investment research, as well as several software and analytical tools, on a subscription basis.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MarketWise started in 1999 with the simple idea that, if we could publish intelligent, independent, insightful, and in-depth investment research and treat the subscriber the way we would want to be treated, then subscribers would renew their subscriptions and stay with us. Over the years, we have expanded our business into a comprehensive suite of investment research products and solutions. We now produce a diversified product portfolio from a variety of financial research brands such as Stansberry Research and Chaikin Analytics. Our entire investment research product portfolio is 100% digital and channel agnostic, and we offer all of our research across a variety of platforms, including desktop, laptop, and mobile devices, including tablets and mobile phones.</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Today, we benefit from the confluence of a leading editorial team, diverse portfolio of content and brands, and comprehensive suite of investor-centric tools that appeal to a broad subscriber base.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2024 Highlights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first quarter 2024 the Company reported that its Board of Directors had committed to a strategic realignment and reorganization (the “Reorganization”) whereby we will wind-down the operations of our Legacy Research Group business (“Legacy Research”) in response to misconduct discovered at Legacy Research where certain managers violated the Company’s policies. During second quarter 2024 we substantially finalized actions with respect to the former Legacy employees and began transitioning customers to other brands within MarketWise. In August 2024, we expect to substantially complete certain of our Reorganization plans. For more information on the Legacy Reorganization, see “— Legacy Reorganization.”</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cash provided by operating activities, and the related margin as a percentage of net revenue, and Adjusted CFFO, a non-GAAP measure, and the related margin as a percentage of Billings, for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periods presented. For more information on Adjusted CFFO and Adjusted CFFO Margin, see “— Non-GAAP Financial Measures.”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20" w:type="dxa"/>
            <w:vAlign w:val="bottom"/>
            <w:tcBorders>
              <w:bottom w:val="single" w:sz="8" w:color="auto"/>
            </w:tcBorders>
          </w:tcPr>
          <w:p>
            <w:pPr>
              <w:spacing w:after="0"/>
              <w:rPr>
                <w:sz w:val="20"/>
                <w:szCs w:val="20"/>
                <w:color w:val="auto"/>
              </w:rPr>
            </w:pPr>
          </w:p>
        </w:tc>
      </w:tr>
      <w:tr>
        <w:trPr>
          <w:trHeight w:val="191"/>
        </w:trPr>
        <w:tc>
          <w:tcPr>
            <w:tcW w:w="65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r>
      <w:tr>
        <w:trPr>
          <w:trHeight w:val="22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28,978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(113.1)%</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103,644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1.4 %</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 margin</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6"/>
        </w:trPr>
        <w:tc>
          <w:tcPr>
            <w:tcW w:w="6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6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28,978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(113.1)%</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57,577</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96,170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(40.1)%</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believe that our growth and future success are dependent upon several factors, including those below and those noted in the “Risk Factors” section in the Annual Report. The key factors below represent significant business opportunities as well as challenges that we must successfully address in order to continue our growth and improve our financial results.</w:t>
      </w:r>
    </w:p>
    <w:p>
      <w:pPr>
        <w:spacing w:after="0" w:line="118" w:lineRule="exact"/>
        <w:rPr>
          <w:sz w:val="20"/>
          <w:szCs w:val="20"/>
          <w:color w:val="auto"/>
        </w:rPr>
      </w:pPr>
    </w:p>
    <w:p>
      <w:pPr>
        <w:jc w:val="both"/>
        <w:ind w:left="340"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Growing our subscriber base with compelling unit economics. </w:t>
      </w:r>
      <w:r>
        <w:rPr>
          <w:rFonts w:ascii="Times New Roman" w:cs="Times New Roman" w:eastAsia="Times New Roman" w:hAnsi="Times New Roman"/>
          <w:sz w:val="17"/>
          <w:szCs w:val="17"/>
          <w:color w:val="auto"/>
        </w:rPr>
        <w:t>We are highly focused on continuing to acquire new subscribers to support our long-term growth. Our marketing spend is a large driver of new subscriber growth. At the heart of our marketing strategy is our compelling unit economics that combine long-term subscriber relationships, highly scalable content delivery, cost-effective customer acquisition, and high-margin conversions.</w:t>
      </w:r>
    </w:p>
    <w:p>
      <w:pPr>
        <w:spacing w:after="0" w:line="10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Our Paid Subscribers (as defined below) as of December 31, 2023 generated average customer lifetime Billings of approximately $1,494, resulting in a LTV/CAC (as defined below) ratio of approximately 2.3x. On average, it takes us approximately 1.1 to 1.6 years for a Paid Subscriber’s cumulative net revenue to exceed the total cost of acquiring that subscriber (which includes fixed costs, such as marketing salaries). For more information on Billings and our LTV/CAC ratio and the components of this ratio, see “</w:t>
      </w:r>
      <w:r>
        <w:rPr>
          <w:rFonts w:ascii="Times New Roman" w:cs="Times New Roman" w:eastAsia="Times New Roman" w:hAnsi="Times New Roman"/>
          <w:sz w:val="18"/>
          <w:szCs w:val="18"/>
          <w:i w:val="1"/>
          <w:iCs w:val="1"/>
          <w:color w:val="auto"/>
        </w:rPr>
        <w:t>—Key Business Metrics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—Definitions of Metrics,”</w:t>
      </w:r>
      <w:r>
        <w:rPr>
          <w:rFonts w:ascii="Times New Roman" w:cs="Times New Roman" w:eastAsia="Times New Roman" w:hAnsi="Times New Roman"/>
          <w:sz w:val="18"/>
          <w:szCs w:val="18"/>
          <w:color w:val="auto"/>
        </w:rPr>
        <w:t xml:space="preserve"> respectively.</w:t>
      </w:r>
    </w:p>
    <w:p>
      <w:pPr>
        <w:spacing w:after="0" w:line="126" w:lineRule="exact"/>
        <w:rPr>
          <w:sz w:val="20"/>
          <w:szCs w:val="20"/>
          <w:color w:val="auto"/>
        </w:rPr>
      </w:pPr>
    </w:p>
    <w:p>
      <w:pPr>
        <w:ind w:left="340" w:right="380"/>
        <w:spacing w:after="0" w:line="282" w:lineRule="auto"/>
        <w:rPr>
          <w:sz w:val="20"/>
          <w:szCs w:val="20"/>
          <w:color w:val="auto"/>
        </w:rPr>
      </w:pPr>
      <w:r>
        <w:rPr>
          <w:rFonts w:ascii="Times New Roman" w:cs="Times New Roman" w:eastAsia="Times New Roman" w:hAnsi="Times New Roman"/>
          <w:sz w:val="18"/>
          <w:szCs w:val="18"/>
          <w:color w:val="auto"/>
        </w:rPr>
        <w:t>We adjust our marketing spend to drive efficient and profitable customer acquisition. We can adjust our marketing spend in near real-time, and we monitor costs per acquisition relative to the cart value of the initial subscription.</w:t>
      </w:r>
    </w:p>
    <w:p>
      <w:pPr>
        <w:spacing w:after="0" w:line="108"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As of June 30, 2024, our Paid Subscriber base was 645 thousand, down 105 thousand, or 14.0% as compared to 750 thousand at June 30, 2023. Our Paid Subscriber base is comprised of subscribers obtained through both direct-to-paid acquisition and free-to-paid conversions. Since 2019, direct-to-paid acquisition has accounted for approximately two-thirds of our annual Paid Subscriber acquisition and is largely driven by display ads and targeted email campaigns.</w:t>
      </w:r>
    </w:p>
    <w:p>
      <w:pPr>
        <w:spacing w:after="0" w:line="126" w:lineRule="exact"/>
        <w:rPr>
          <w:sz w:val="20"/>
          <w:szCs w:val="20"/>
          <w:color w:val="auto"/>
        </w:rPr>
      </w:pPr>
    </w:p>
    <w:p>
      <w:pPr>
        <w:ind w:left="340" w:right="240"/>
        <w:spacing w:after="0" w:line="282" w:lineRule="auto"/>
        <w:rPr>
          <w:sz w:val="20"/>
          <w:szCs w:val="20"/>
          <w:color w:val="auto"/>
        </w:rPr>
      </w:pPr>
      <w:r>
        <w:rPr>
          <w:rFonts w:ascii="Times New Roman" w:cs="Times New Roman" w:eastAsia="Times New Roman" w:hAnsi="Times New Roman"/>
          <w:sz w:val="18"/>
          <w:szCs w:val="18"/>
          <w:color w:val="auto"/>
        </w:rPr>
        <w:t>Our free subscription products also serve as a significant source of new Paid Subscribers, accounting for approximately one-third of our annual Paid Subscriber acquisition.</w:t>
      </w:r>
    </w:p>
    <w:p>
      <w:pPr>
        <w:spacing w:after="0" w:line="104" w:lineRule="exact"/>
        <w:rPr>
          <w:sz w:val="20"/>
          <w:szCs w:val="20"/>
          <w:color w:val="auto"/>
        </w:rPr>
      </w:pPr>
    </w:p>
    <w:p>
      <w:pPr>
        <w:ind w:left="34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Retaining and expanding relationships with existing subscribers. </w:t>
      </w:r>
      <w:r>
        <w:rPr>
          <w:rFonts w:ascii="Times New Roman" w:cs="Times New Roman" w:eastAsia="Times New Roman" w:hAnsi="Times New Roman"/>
          <w:sz w:val="18"/>
          <w:szCs w:val="18"/>
          <w:color w:val="auto"/>
        </w:rPr>
        <w:t>We believe that we have a significant opportunity to expand our relationships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large base of Free and Paid Subscribers. Thanks to the quality of our products, we believe our customers will continue their relationship with us and extend and increase their subscriptions over time. As we deepen our engagement with our subscribers, our customers tend to purchase more and higher-value products. Our ARPU (as defined below) as of June 30, 2024 was $456, which decreased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6.8% from $490 as of June 30, 2023. For more information on ARPU, see “</w:t>
      </w:r>
      <w:r>
        <w:rPr>
          <w:rFonts w:ascii="Times New Roman" w:cs="Times New Roman" w:eastAsia="Times New Roman" w:hAnsi="Times New Roman"/>
          <w:sz w:val="18"/>
          <w:szCs w:val="18"/>
          <w:i w:val="1"/>
          <w:iCs w:val="1"/>
          <w:color w:val="auto"/>
        </w:rPr>
        <w:t>Key Business Metrics—Average Revenue Per User.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340" w:right="300"/>
        <w:spacing w:after="0" w:line="266" w:lineRule="auto"/>
        <w:rPr>
          <w:sz w:val="20"/>
          <w:szCs w:val="20"/>
          <w:color w:val="auto"/>
        </w:rPr>
      </w:pPr>
      <w:r>
        <w:rPr>
          <w:rFonts w:ascii="Times New Roman" w:cs="Times New Roman" w:eastAsia="Times New Roman" w:hAnsi="Times New Roman"/>
          <w:sz w:val="18"/>
          <w:szCs w:val="18"/>
          <w:color w:val="auto"/>
        </w:rPr>
        <w:t>Conversion rates are important to our business because they are an indicator of how engaged and how well we are connecting with our subscribers. The time it takes our customers to move from our free products to our lower-priced paid subscriptions and eventually to high-end products and membership “bundled” offerings impacts our growth in net revenue, Billings, and ARPU.</w:t>
      </w:r>
    </w:p>
    <w:p>
      <w:pPr>
        <w:spacing w:after="0" w:line="122"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Our high-value composition rate reflects the rate at which Paid Subscribers that have purchased less than $600 of our products over their lifetime convert into subscribers that have purchased more than $600. We believe our high-value composition rate reflects our ability to retain existing subscribers through renewals and our ability to expand our relationship with them when those subscribers purchase higher-value subscriptions. Our cumulative ultra high-value composition rate reflects the rate at which high value Paid Subscribers that have purchased more than $600 of our products over their lifetime convert into subscribers that have purchased more than $5,000. We believe our ultra high-value composition rate reflects our ability to successfully build lifetime relationships with our subscribers, often across multiple products and brands. As of June 30, 2024, our high-value composition rate and ultra high-value composition rate were 50% and 43%,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 of Metrics</w:t>
      </w:r>
    </w:p>
    <w:p>
      <w:pPr>
        <w:spacing w:after="0" w:line="175"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Throughout this discussion and analysis, a number of our financial and operating metrics are referenced which we do not consider to be key business metrics, but which we review to monitor performance, and which we believe may be useful to investors. These are:</w:t>
      </w:r>
    </w:p>
    <w:p>
      <w:pPr>
        <w:spacing w:after="0" w:line="104" w:lineRule="exact"/>
        <w:rPr>
          <w:sz w:val="20"/>
          <w:szCs w:val="20"/>
          <w:color w:val="auto"/>
        </w:rPr>
      </w:pPr>
    </w:p>
    <w:p>
      <w:pPr>
        <w:ind w:left="340" w:right="2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Annual free-to-paid and annual active free-to-paid conversion rates: </w:t>
      </w:r>
      <w:r>
        <w:rPr>
          <w:rFonts w:ascii="Times New Roman" w:cs="Times New Roman" w:eastAsia="Times New Roman" w:hAnsi="Times New Roman"/>
          <w:sz w:val="18"/>
          <w:szCs w:val="18"/>
          <w:color w:val="auto"/>
        </w:rPr>
        <w:t>The Company has historically defined free-to-paid conversion rate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Free Subscribers (as defined below) who purchased a subscription during the period divided by the average number of Free Subscribers during the period. In addition, the Company has historically defined active free-to-paid conversion rate as the number of Active Free Subscribers (as defined below) who purchased a subscription during the period divided by the average number of Active Free Subscribers during the period. There have been no changes to the calculation of free-to-paid or active free-to-paid conversion rates. However, the Company has revised the definition of free-to-paid and active free-to-paid conversion rates to provide clarity in how they are calculated.</w:t>
      </w:r>
    </w:p>
    <w:p>
      <w:pPr>
        <w:spacing w:after="0" w:line="132"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 xml:space="preserve">We calculate our free-to-paid conversion rate as the sum of (i) the number of Free Subscribers who purchased their first subscription during the period and (ii) the number of Free Subscribers who purchased their first subscription during the period after six months of not having an active paid subscription across all of MarketWise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number of Free Subscribers during the period. We calculate our active free-to-paid conversion rate as the sum of (i) the number of Active Free Subscribers who purchased their first subscription during the period and (ii) the number of Active Free Subscribers who purchased their first subscription during the period after six months of not having an active paid subscription across all of MarketWise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number of Active Free Subscribers during the period. We believe our free-to-paid and active free-to-paid conversion rates are indicators of the type of Free Subscribers that we are signing up and the quality of our content and marketing efforts. Investors should consider free-to-paid and active free-to-paid conversion rates as two of the factors in evaluating our ability to maintain a robust pipeline for new customer acquisition.</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Cumulative free-to-paid and cumulative active free-to-paid conversion rates: </w:t>
      </w:r>
      <w:r>
        <w:rPr>
          <w:rFonts w:ascii="Times New Roman" w:cs="Times New Roman" w:eastAsia="Times New Roman" w:hAnsi="Times New Roman"/>
          <w:sz w:val="18"/>
          <w:szCs w:val="18"/>
          <w:color w:val="auto"/>
        </w:rPr>
        <w:t>We calculate our cumulative free-to-paid conversion rate as the sum of</w:t>
      </w:r>
    </w:p>
    <w:p>
      <w:pPr>
        <w:spacing w:after="0" w:line="31" w:lineRule="exact"/>
        <w:rPr>
          <w:sz w:val="20"/>
          <w:szCs w:val="20"/>
          <w:color w:val="auto"/>
        </w:rPr>
      </w:pPr>
    </w:p>
    <w:p>
      <w:pPr>
        <w:ind w:left="340" w:right="60" w:hanging="8"/>
        <w:spacing w:after="0" w:line="265" w:lineRule="auto"/>
        <w:tabs>
          <w:tab w:leader="none" w:pos="5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number of Free Subscribers who purchased their first subscription during the trailing three-year period and (ii) the number of Free Subscribers who purchased their first subscription during the trailing three-year period after six months of not having an active paid subscription across all of MarketWise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the average number of Free Subscribers during the trailing three-year period. We calculate our cumulative active free-to-paid conversion rate as the sum of (i) the number of Active Free Subscribers who purchased their first subscription during the trailing three-year period and</w:t>
      </w:r>
    </w:p>
    <w:p>
      <w:pPr>
        <w:ind w:left="600" w:hanging="268"/>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Active Free Subscribers who purchased their first subscription during the trailing three-year period after six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38" w:lineRule="exact"/>
        <w:rPr>
          <w:sz w:val="20"/>
          <w:szCs w:val="20"/>
          <w:color w:val="auto"/>
        </w:rPr>
      </w:pPr>
    </w:p>
    <w:p>
      <w:pPr>
        <w:ind w:left="340" w:right="560"/>
        <w:spacing w:after="0" w:line="284" w:lineRule="auto"/>
        <w:rPr>
          <w:sz w:val="20"/>
          <w:szCs w:val="20"/>
          <w:color w:val="auto"/>
        </w:rPr>
      </w:pPr>
      <w:r>
        <w:rPr>
          <w:rFonts w:ascii="Times New Roman" w:cs="Times New Roman" w:eastAsia="Times New Roman" w:hAnsi="Times New Roman"/>
          <w:sz w:val="18"/>
          <w:szCs w:val="18"/>
          <w:color w:val="auto"/>
        </w:rPr>
        <w:t xml:space="preserve">months of not having an active paid subscription across all of MarketWise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number of Active Free Subscribers during the trailing three-year period.</w:t>
      </w:r>
    </w:p>
    <w:p>
      <w:pPr>
        <w:spacing w:after="0" w:line="102" w:lineRule="exact"/>
        <w:rPr>
          <w:sz w:val="20"/>
          <w:szCs w:val="20"/>
          <w:color w:val="auto"/>
        </w:rPr>
      </w:pPr>
    </w:p>
    <w:p>
      <w:pPr>
        <w:ind w:left="3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High-value composition rate: </w:t>
      </w:r>
      <w:r>
        <w:rPr>
          <w:rFonts w:ascii="Times New Roman" w:cs="Times New Roman" w:eastAsia="Times New Roman" w:hAnsi="Times New Roman"/>
          <w:sz w:val="18"/>
          <w:szCs w:val="18"/>
          <w:color w:val="auto"/>
        </w:rPr>
        <w:t>Our high-value composition rate reflects the number of Paid Subscribers who have purchased &gt;$600 in aggregate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their lifetime as of a particular point in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total number of Paid Subscribers as of that same point in time.</w:t>
      </w:r>
    </w:p>
    <w:p>
      <w:pPr>
        <w:spacing w:after="0" w:line="101" w:lineRule="exact"/>
        <w:rPr>
          <w:sz w:val="20"/>
          <w:szCs w:val="20"/>
          <w:color w:val="auto"/>
        </w:rPr>
      </w:pPr>
    </w:p>
    <w:p>
      <w:pPr>
        <w:ind w:left="34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Landing Page Visits: </w:t>
      </w:r>
      <w:r>
        <w:rPr>
          <w:rFonts w:ascii="Times New Roman" w:cs="Times New Roman" w:eastAsia="Times New Roman" w:hAnsi="Times New Roman"/>
          <w:sz w:val="18"/>
          <w:szCs w:val="18"/>
          <w:color w:val="auto"/>
        </w:rPr>
        <w:t>The cumulative number of visits to our standalone web pages created specifically for each marketing campaign. We believe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landing page visits are a measure of customer engagement.</w:t>
      </w:r>
    </w:p>
    <w:p>
      <w:pPr>
        <w:spacing w:after="0" w:line="101" w:lineRule="exact"/>
        <w:rPr>
          <w:sz w:val="20"/>
          <w:szCs w:val="20"/>
          <w:color w:val="auto"/>
        </w:rPr>
      </w:pPr>
    </w:p>
    <w:p>
      <w:pPr>
        <w:ind w:left="340"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LTV/CAC ratio: </w:t>
      </w:r>
      <w:r>
        <w:rPr>
          <w:rFonts w:ascii="Times New Roman" w:cs="Times New Roman" w:eastAsia="Times New Roman" w:hAnsi="Times New Roman"/>
          <w:sz w:val="18"/>
          <w:szCs w:val="18"/>
          <w:color w:val="auto"/>
        </w:rPr>
        <w:t>We calculate LTV/CAC ratio as LTV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CAC. We use LTV/CAC ratio because it is a standard metric for subscription-based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businesses, and we believe that an LTV/CAC ratio above 3x is considered to be indicative of strong profitability and marketing efficiency. We believe that an increasing LTV per subscriber reflects our existing subscribers recognizing our value proposition, which will expand their relationship with us across our platform over time, either through a combination of additional product purchases or by joining our membership offerings. Investors should consider this metric when evaluating our ability to achieve a return on our marketing investment. Lifetime value (“LTV”) represents the average margin on average customer lifetime Billings (that is, the estimated cumulative spend across a customer’s lifetime). Customer acquisition cost (“CAC”) is defined as direct marketing spend,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external revenue share expense,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retention and renewal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copywriting and marketing salaries,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telesales salaries and commissions,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customer service commissions.</w:t>
      </w:r>
    </w:p>
    <w:p>
      <w:pPr>
        <w:spacing w:after="0" w:line="131" w:lineRule="exact"/>
        <w:rPr>
          <w:sz w:val="20"/>
          <w:szCs w:val="20"/>
          <w:color w:val="auto"/>
        </w:rPr>
      </w:pPr>
    </w:p>
    <w:p>
      <w:pPr>
        <w:ind w:left="34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revenue retention: </w:t>
      </w:r>
      <w:r>
        <w:rPr>
          <w:rFonts w:ascii="Times New Roman" w:cs="Times New Roman" w:eastAsia="Times New Roman" w:hAnsi="Times New Roman"/>
          <w:sz w:val="18"/>
          <w:szCs w:val="18"/>
          <w:color w:val="auto"/>
        </w:rPr>
        <w:t>Net revenue retention is defined as Billings from all prior period cohorts in the current period, divided by all Billings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period. We believe that a high net revenue retention rate is a measure of customer retention and an indicator of the engagement of our subscribers with our products. Investors should consider net revenue retention as an ongoing measure when evaluating our subscribers’ interest in continuing to subscribe to our products and spending more with us over time.</w:t>
      </w:r>
    </w:p>
    <w:p>
      <w:pPr>
        <w:spacing w:after="0" w:line="122" w:lineRule="exact"/>
        <w:rPr>
          <w:sz w:val="20"/>
          <w:szCs w:val="20"/>
          <w:color w:val="auto"/>
        </w:rPr>
      </w:pPr>
    </w:p>
    <w:p>
      <w:pPr>
        <w:ind w:lef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Ultra high-value composition rate: </w:t>
      </w:r>
      <w:r>
        <w:rPr>
          <w:rFonts w:ascii="Times New Roman" w:cs="Times New Roman" w:eastAsia="Times New Roman" w:hAnsi="Times New Roman"/>
          <w:sz w:val="18"/>
          <w:szCs w:val="18"/>
          <w:color w:val="auto"/>
        </w:rPr>
        <w:t>Our ultra high-value composition rate reflects the number of Paid Subscribers who have purchased &gt;$5,000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aggregate over their lifetime as of a particular point in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high-value subscribers as of that same point in time. We believe our ultra high-value composition rate reflects our ability to successfully build lifetime relationships with our subscribers, often across multiple products and brands. Investors should consider ultra high-value composition rate as a factor in evaluating our ability to retain and expand our relationship with our subscribers.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review the following key business metrics to measure our performance, identify trends, formulate financial projections, and make strategic decisions. We are not aware of any uniform standards for calculating these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metrics, which may hinder comparability with other companies who may calculate similarly titled metrics in a different way.</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gridSpan w:val="7"/>
            <w:vMerge w:val="restart"/>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340" w:type="dxa"/>
            <w:vAlign w:val="bottom"/>
            <w:gridSpan w:val="5"/>
            <w:vMerge w:val="restart"/>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7"/>
            <w:vMerge w:val="continue"/>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5"/>
            <w:vMerge w:val="continue"/>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200" w:type="dxa"/>
            <w:vAlign w:val="bottom"/>
          </w:tcPr>
          <w:p>
            <w:pPr>
              <w:spacing w:after="0"/>
              <w:rPr>
                <w:sz w:val="11"/>
                <w:szCs w:val="11"/>
                <w:color w:val="auto"/>
              </w:rPr>
            </w:pPr>
          </w:p>
        </w:tc>
        <w:tc>
          <w:tcPr>
            <w:tcW w:w="9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100" w:type="dxa"/>
            <w:vAlign w:val="bottom"/>
          </w:tcPr>
          <w:p>
            <w:pPr>
              <w:spacing w:after="0"/>
              <w:rPr>
                <w:sz w:val="11"/>
                <w:szCs w:val="11"/>
                <w:color w:val="auto"/>
              </w:rPr>
            </w:pPr>
          </w:p>
        </w:tc>
        <w:tc>
          <w:tcPr>
            <w:tcW w:w="13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8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Subscribers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15,240,613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15,948,652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15,240,613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15,948,652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16,655,670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(8.5)%</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Free Subscribers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4,782,307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3,917,739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4,782,307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3,917,739</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3,784,280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26.4 %</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 Subscribers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645,259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750,287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683,436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(5.6)%</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ARPU</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(7.3)%</w:t>
            </w: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New Marketing Billings (in</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(31.7)%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(29.4)%</w:t>
            </w: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38,676</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136,808</w:t>
            </w:r>
          </w:p>
        </w:tc>
        <w:tc>
          <w:tcPr>
            <w:tcW w:w="10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54,788</w:t>
            </w: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Renewal Billings (in</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(32.4)%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rPr>
              <w:t>(29.1)%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(20.1)%</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17,120</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38,558</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54,412</w:t>
            </w:r>
          </w:p>
        </w:tc>
        <w:tc>
          <w:tcPr>
            <w:tcW w:w="10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1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Billings (in</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123.5 %</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30.9%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79.0 %</w:t>
            </w: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Billings (in</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(40.1)%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rPr>
              <w:t>(30.3)%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(25.4)%</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57,577</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134,799</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193,341</w:t>
            </w:r>
          </w:p>
        </w:tc>
        <w:tc>
          <w:tcPr>
            <w:tcW w:w="10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77,222</w:t>
            </w:r>
          </w:p>
        </w:tc>
        <w:tc>
          <w:tcPr>
            <w:tcW w:w="1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Free Subscribers. </w:t>
      </w:r>
      <w:r>
        <w:rPr>
          <w:rFonts w:ascii="Times New Roman" w:cs="Times New Roman" w:eastAsia="Times New Roman" w:hAnsi="Times New Roman"/>
          <w:sz w:val="18"/>
          <w:szCs w:val="18"/>
          <w:color w:val="auto"/>
        </w:rPr>
        <w:t>Free Subscribers are defined as unique subscribers who have subscribed to one of our free investment publications via a valid email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 and continue to remain directly opted in, excluding any Paid Subscribers who also have free subscriptions. Free subscriptions are often daily publications that include some commentary about the stock market, investing ideas, or other specialized topics. Included within our free publications are advertisements and editorial support for our current marketing campaigns. While subscribed to our publications, Free Subscribers learn about our editors and analysts, get to know our products and services, and learn more about ways we can help them be a better investor.</w:t>
      </w:r>
    </w:p>
    <w:p>
      <w:pPr>
        <w:spacing w:after="0" w:line="129" w:lineRule="exact"/>
        <w:rPr>
          <w:sz w:val="20"/>
          <w:szCs w:val="20"/>
          <w:color w:val="auto"/>
        </w:rPr>
      </w:pPr>
    </w:p>
    <w:p>
      <w:pPr>
        <w:ind w:left="340" w:right="160"/>
        <w:spacing w:after="0" w:line="255" w:lineRule="auto"/>
        <w:rPr>
          <w:sz w:val="20"/>
          <w:szCs w:val="20"/>
          <w:color w:val="auto"/>
        </w:rPr>
      </w:pPr>
      <w:r>
        <w:rPr>
          <w:rFonts w:ascii="Times New Roman" w:cs="Times New Roman" w:eastAsia="Times New Roman" w:hAnsi="Times New Roman"/>
          <w:sz w:val="18"/>
          <w:szCs w:val="18"/>
          <w:color w:val="auto"/>
        </w:rPr>
        <w:t>In order to better describe our universe of Free Subscribers, we recognize sub-categories of Free Subscribers – Active and Passive Free Subscribers. Active Free Subscribers are those Free Subscribers with whom we have engaged during the most recent quarter and represent those individuals who have received and/or consumed our content on a regular basis during that same quarter. Our experience indicates that this population of Active Free Subscribers is more likely to continue to consume content and convert to a Paid Subscriber. Passive Free Subscribers represent those individuals who have not directly received our content during the most recent quarter, however, they remain included in our Free Subscriber population as defined above and may continue to consume content from our platforms. We expect the composition of our Active and Passive Free Subscribers will change over time as we refine our marketing and data analysis techniques aimed at converting Free Subscribers to Paid Subscribers.</w:t>
      </w:r>
    </w:p>
    <w:p>
      <w:pPr>
        <w:spacing w:after="0" w:line="135" w:lineRule="exact"/>
        <w:rPr>
          <w:sz w:val="20"/>
          <w:szCs w:val="20"/>
          <w:color w:val="auto"/>
        </w:rPr>
      </w:pPr>
    </w:p>
    <w:p>
      <w:pPr>
        <w:ind w:left="340" w:right="100"/>
        <w:spacing w:after="0" w:line="281" w:lineRule="auto"/>
        <w:rPr>
          <w:sz w:val="20"/>
          <w:szCs w:val="20"/>
          <w:color w:val="auto"/>
        </w:rPr>
      </w:pPr>
      <w:r>
        <w:rPr>
          <w:rFonts w:ascii="Times New Roman" w:cs="Times New Roman" w:eastAsia="Times New Roman" w:hAnsi="Times New Roman"/>
          <w:sz w:val="17"/>
          <w:szCs w:val="17"/>
          <w:color w:val="auto"/>
        </w:rPr>
        <w:t>We have determined that Free Subscribers provide less meaningful insight into the current or future state of our business as many of these Subscribers have limited engagement with our content. As discussed above, our Active Free Subscribers, with whom we’ve engaged during the most recent quarter, are most likely to continue to consume content and convert to a Paid Subscriber. We will continue to report Free and Active Free Subscribers throughout 2024. Beginning with first quarter 2025, we will discontinue reporting Free Subscribers and only report Active Free Subscribers.</w:t>
      </w:r>
    </w:p>
    <w:p>
      <w:pPr>
        <w:spacing w:after="0" w:line="110" w:lineRule="exact"/>
        <w:rPr>
          <w:sz w:val="20"/>
          <w:szCs w:val="20"/>
          <w:color w:val="auto"/>
        </w:rPr>
      </w:pPr>
    </w:p>
    <w:p>
      <w:pPr>
        <w:ind w:left="340" w:right="220"/>
        <w:spacing w:after="0" w:line="261" w:lineRule="auto"/>
        <w:rPr>
          <w:sz w:val="20"/>
          <w:szCs w:val="20"/>
          <w:color w:val="auto"/>
        </w:rPr>
      </w:pPr>
      <w:r>
        <w:rPr>
          <w:rFonts w:ascii="Times New Roman" w:cs="Times New Roman" w:eastAsia="Times New Roman" w:hAnsi="Times New Roman"/>
          <w:sz w:val="18"/>
          <w:szCs w:val="18"/>
          <w:color w:val="auto"/>
        </w:rPr>
        <w:t>Free Subscribers decreased by 0.7 million, or 4.4%, to 15.2 million as of June 30, 2024 as compared to 15.9 million at June 30, 2023. As of June 30, 2024, Active Free Subscribers increased by 0.9 million, or 22.1%, to 4.8 million, compared to 3.9 million as of June 30, 2023. The year over year decline in Free Subscribers is a result of more aggressive culling of the most passive Free Subscribers in the quarter as we move towards implementation of the change described above. The year over year increase in Active Free Subscribers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result of reaching out to previously passive Legacy Research Free Subscribers to notify them that their subscriptions would transfer over to like subscriptions in other brands within MarketWise.</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Free Subscribers decreased by 1.4 million, or 8.5% to 15.2 million as of June 30, 2024 as compared to 16.7 million as of March 31, 2024. As of June 30, 2024, Active Free Subscribers increased by 998 thousand, or 26.4% to 4.8 million, compared to 3.8 million as of March 31, 2024, again as a result of reaching out to previously passive Legacy Research Free Subscribers in the quarter to notify them that their subscriptions were transferred over to like subscriptions in other brands within MarketWise.</w:t>
      </w:r>
    </w:p>
    <w:p>
      <w:pPr>
        <w:spacing w:after="0" w:line="1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Paid Subscribers. </w:t>
      </w:r>
      <w:r>
        <w:rPr>
          <w:rFonts w:ascii="Times New Roman" w:cs="Times New Roman" w:eastAsia="Times New Roman" w:hAnsi="Times New Roman"/>
          <w:sz w:val="18"/>
          <w:szCs w:val="18"/>
          <w:color w:val="auto"/>
        </w:rPr>
        <w:t>We define Paid Subscribers as the total number of unique subscribers with at least one paid subscription at the end of the period.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view the number of Paid Subscribers at the end of a given period as a key indicator of the attractiveness of our products and services, as well as the efficacy of our marketing in converting Free Subscribers to Paid Subscribers and generating direct-to-paid acquisitions. We grow our Paid Subscriber base through marketing directly to prospective and existing subscribers across a variety of media, channels, and platforms.</w:t>
      </w:r>
    </w:p>
    <w:p>
      <w:pPr>
        <w:spacing w:after="0" w:line="12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Total Paid Subscribers decreased by 105 thousand, or 14.0%, to 645 thousand as of June 30, 2024 as compared to 750 thousand at June 30, 2023, driven by continued soft consumer engagement as well as elevated churn due to expiring subscriptions in our Legacy Research Group which likely came as a result of the wind down of this business which began in February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Paid Subscribers decreased by 38 thousand, or 5.6%, to 645 thousand as of June 30, 2024 as compared to 683 thousand as of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new subscribers were down 20 thousand or 44% compared to first quarter 2024 as a result of decreased marketing spend as marketing to former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Research Group subscribers was curtailed in the quarter. Churn levels within the quarter were in line with the historical average.</w:t>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Subscriber count churn has ranged from approximately 2.3% to 2.7% per month between 2021 and 2023. As of June 30, 2024, the average monthly churn over the trailing twelve months was in the middle of this range. Almost all of the subscribers who churned in second quarter 2024 did so having owned only one entry level publication. This is evidenced by the fact that their ARPU approximately matched the subscription price of our entry level publications. We believe our net revenue retention rate, which has averaged over 70% from 2021 to 2023, is a more meaningful gauge of subscriber satisfaction.</w:t>
      </w:r>
    </w:p>
    <w:p>
      <w:pPr>
        <w:spacing w:after="0" w:line="125" w:lineRule="exact"/>
        <w:rPr>
          <w:sz w:val="20"/>
          <w:szCs w:val="20"/>
          <w:color w:val="auto"/>
        </w:rPr>
      </w:pPr>
    </w:p>
    <w:p>
      <w:pPr>
        <w:jc w:val="both"/>
        <w:ind w:right="4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Average Revenue Per User. </w:t>
      </w:r>
      <w:r>
        <w:rPr>
          <w:rFonts w:ascii="Times New Roman" w:cs="Times New Roman" w:eastAsia="Times New Roman" w:hAnsi="Times New Roman"/>
          <w:sz w:val="17"/>
          <w:szCs w:val="17"/>
          <w:color w:val="auto"/>
        </w:rPr>
        <w:t>We calculate ARPU as the trailing four quarters of net Billings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average number of quarterly total Paid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Subscribers over that period. We believe ARPU is a key indicator of how successful we are in attracting subscribers to higher-value content. We believe that our high ARPU is indicative of the trust we build with our subscribers and of the value they see in our products and services.</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ARPU decreased by $33, or 6.8%, to $456 as of June 30, 2024 as compared to $490 as of June 30, 2023. The year-over-year decrease was driven by a 19% decrease in trailing four quarter Billings, while trailing four quarter Paid Subscribers only decreased by 13%. The decrease in trailing four quarter Billings was largely driven by cessation of selling to our Legacy Research subscribers as further discussed in </w:t>
      </w:r>
      <w:r>
        <w:rPr>
          <w:rFonts w:ascii="Times New Roman" w:cs="Times New Roman" w:eastAsia="Times New Roman" w:hAnsi="Times New Roman"/>
          <w:sz w:val="18"/>
          <w:szCs w:val="18"/>
          <w:i w:val="1"/>
          <w:iCs w:val="1"/>
          <w:color w:val="auto"/>
        </w:rPr>
        <w:t>Billings</w:t>
      </w:r>
      <w:r>
        <w:rPr>
          <w:rFonts w:ascii="Times New Roman" w:cs="Times New Roman" w:eastAsia="Times New Roman" w:hAnsi="Times New Roman"/>
          <w:sz w:val="18"/>
          <w:szCs w:val="18"/>
          <w:color w:val="auto"/>
        </w:rPr>
        <w:t xml:space="preserve"> below.</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ARPU decreased by $36, or 7.3%, to $456 as of June 30, 2024 as compared to $492 as of March 31, 2024. The sequential decrease was driven by a 11% decrease in trailing four-quarter Billings, while trailing four-quarter average Paid Subscribers only decreased 4%.</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While they have declined somewhat recently, our ARPUs remain high relative to other subscription businesses, and we attribute this to the quality of our content and effective sales and marketing efforts regarding higher value content, bundled subscriptions and membership subscriptions. These subscriptions have compelling economics that allow us to recoup our initial marketing spend made to acquire these subscribers. Specifically, our payback period was estimated at 1.5 years, 1.5 years, and 0.9 years for the years ended December 31, 2023, 2022 and 2021, respectively. Our payback period remains elevated primarily due to a combination of increased customer acquisition costs and the hesitancy of these subscribers to make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60" w:top="1440" w:right="379" w:bottom="1440" w:gutter="0" w:footer="0" w:header="0"/>
        </w:sectPr>
      </w:pPr>
    </w:p>
    <w:bookmarkStart w:id="36" w:name="page37"/>
    <w:bookmarkEnd w:id="36"/>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purchases. The payback period was lower in 2021 with conversion rates still relatively high and, to a far lesser degree, lower costs for media spend as demand was somewhat constrained as the pandemic lingered.</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Billings. </w:t>
      </w:r>
      <w:r>
        <w:rPr>
          <w:rFonts w:ascii="Times New Roman" w:cs="Times New Roman" w:eastAsia="Times New Roman" w:hAnsi="Times New Roman"/>
          <w:sz w:val="18"/>
          <w:szCs w:val="18"/>
          <w:color w:val="auto"/>
        </w:rPr>
        <w:t>Billings represents amounts invoiced to customers. We measure and monitor our Billings because it provides insight into trends in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from our marketing campaigns. We generally bill our subscribers at the time of sale and receive full cash payment up front and defer and recognize a portion of the related revenue ratably over time for term and membership subscriptions. For certain subscriptions, we may invoice our Paid Subscribers at the beginning of the term, in annual or monthly installments, and, from time to time, in multi-year installments. Only amounts invoiced to a Paid Subscriber in a given period are included in Billings. While we believe that Billings provides valuable insight into the cash that will be generated from sales of our subscriptions, this metric may vary from period to period for a number of reasons and, therefore, Billings has a number of limitations as a quarter-over-quarter or year-over-year comparative measure. These reasons include, but are not limited to, the following: (i) a variety of contractual terms could result in some periods having a higher proportion of annual or membership subscriptions than other periods; (ii) fluctuations in payment terms may affect the Billings recognized in a particular period; and (iii) the timing of large campaigns may vary significantly from period to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break down our Billings into three sub-categories: New Marketing Billings, Net Renewal Billings, and Other Billings.</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New Marketing Billings are Billings from all new subscription sales. New Marketing Billings decreased by $31.4 million, or 44.8%, to $38.7 million for second quarter 2024 as compared to $70.1 million for second quarter 2023. The decrease was primarily driven by ceasing new sales campaigns within our Legacy Research Group brands, which began winding down operations in mid-February 2024.</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New Marketing Billings decreased by $16.1 million, or 29.4% to $38.7 million for second quarter 2024 as compared to $54.8 million in first quarter 2024. The decrease was primarily driven by ceasing new sales campaigns within our Legacy Research Group brands, which began winding down operations in mid-February 2024.</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Renewal Billings are Billings from renewals and maintenance fee payments. Net Renewal Billings decreased by $8.2 million, or 32.4%, to $17.1 million for second quarter 2024 as compared to $25.3 million for second quarter 2023. This is primarily a function of a significant decrease (approximately 106 thousand) in average Paid Subscribers for the trailing twelve months ended June 30, 2024 versus the trailing twelve months ended June 30, 2023.</w:t>
      </w:r>
    </w:p>
    <w:p>
      <w:pPr>
        <w:spacing w:after="0" w:line="12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Net Renewal Billings decreased by $4.3 million, or 20.1%, to $17.1 million for second quarter 2024 as compared to $21.4 million for first quarter 2024. This decrease was a function of declining subscribers overall, with the heaviest decrease coming from our Legacy Research business which began winding down operations in mid-February 2024.</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Other Billings are Billings from revenue share, advertising and conferences. Other Billings increased by $1.0 million, or 123.5% to $1.8 million for second quarter 2024 as compared to $0.8 million for second quarter 2023 as a result of increasing revenue share activity with a related party and increased advertising sales.</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Billings increased by $0.8 million or 79.0% to $1.8 million for second quarter 2024 as compared to $1.0 million for first quarter 2024 as a result of increasing revenue share activity with external parties.</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Total Billings decreased by $38.6 million, or 40.1%, to $57.6 million for the second quarter 2024 as compared to $96.2 million for second quarter 2023. While consumer engagement remains soft, we believe the decrease was primarily driven by our Legacy Research Group brands, which began winding down operations in mid-February 2024.</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Total Billings decreased by $19.6 million, or 25.4%, to $57.6 million for second quarter 2024 as compared to $77.2 million for first quarter 2024. The decrease was primarily driven by our Legacy Research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40" w:right="359" w:bottom="1440" w:gutter="0" w:footer="0" w:header="0"/>
        </w:sectPr>
      </w:pPr>
    </w:p>
    <w:bookmarkStart w:id="37" w:name="page38"/>
    <w:bookmarkEnd w:id="37"/>
    <w:p>
      <w:pPr>
        <w:spacing w:after="0" w:line="140"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brands, which began winding down operations in mid-February 2024 with some additional decline seen in other brands as the overall subscriber base continues to decline.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generate net revenue primarily from services provided in delivering term and membership subscription-based financial research, publications, and SaaS offerings to individual subscribers through our online platforms, advertising arrangements, print products, events, and revenue share agreements.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earn net revenue from the sale of advertising placements on our websites and from the sale of print products and events. We also recognize net revenue through revenue share agreements where we earn a commission for successful sales by other parties generated through the use of our customer list. We expect advertising and other net revenue to increase in absolute dollars as our business grows.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Compensation Costs</w:t>
      </w:r>
    </w:p>
    <w:p>
      <w:pPr>
        <w:spacing w:after="0" w:line="17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Employee compensation costs, or payroll and payroll-related costs, include salaries, bonuses, benefits, and stock-based compensation for employees classified within cost of revenue, sales and marketing, and general and administrative, and also includes sales commissions for sales and marketing employees. Stock-based compensation includes amounts related to our 2021 Incentive Award Plan, our ESPP, and profits interests.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employee compensation costs associated with producing and publishing our content, hosting fees, customer service, credit card processing fees, product costs, and allocated overhead. Cost of revenue is exclusive of depreciation and amortization, which is shown as a separate line item.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Sales and marketing expenses consist primarily of employee compensation costs, amortization of deferred contract acquisition costs, agency costs, advertising campaigns, and branding initiatives. Sales and marketing expenses are exclusive of depreciation and amortization shown as a separate line item.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 compensation costs, technical services, software expenses, and hosting expenses associated with maintaining and enhancing the functionality of our platforms, including our software and analytical tools. Research and development expenses are exclusive of depreciation and amortization shown as a separate line item.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primarily of employee compensation costs associated with our finance, legal, information technology, human resources, executive, and administrative personnel, legal fees, corporate insurance, office expenses, professional fees, and travel and entertainment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consist of amortization of trade names, customer relationship intangibles, and software development costs, as well as depreciation on other property and equipment such as leasehold improvements, furniture and fixtures, and computer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Related party expenses primarily consist of Board of Director compensation, revenue share expenses and expenses for certain corporate functions performed by a related party for certain historic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primarily consists of the net gains or losses on our embedded derivative instruments.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Income, Net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income, net primarily consists of interest income from our money market accounts, as well as interest expense related to the 2021 Credit Facility.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June 30, 2024, MarketWise, Inc.’s controlling interest in MarketWise, LLC was 12.1% and the noncontrolling interest was 87.9%. For the three and six months ended June 30, 2024, net income attributable to controlling interests included a $0.8 million tax provision and a $1.5 million tax provision, respectively, both of which were solely attributable to the controlling interest.</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June 30, 2023, MarketWise, Inc.’s controlling interest in MarketWise, LLC was 10.0% and the noncontrolling interest was 90.0%. For the three and six months ended June 30, 2023, net income attributable to controlling interests included a $0.4 million tax provision and a $1.4 million tax provision, respectively, both of which are 100% attributable to the 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228,978</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revenue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3"/>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229,877</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5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29,925</w:t>
            </w:r>
          </w:p>
        </w:tc>
      </w:tr>
      <w:tr>
        <w:trPr>
          <w:trHeight w:val="229"/>
        </w:trPr>
        <w:tc>
          <w:tcPr>
            <w:tcW w:w="55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97,760</w:t>
            </w:r>
          </w:p>
        </w:tc>
      </w:tr>
      <w:tr>
        <w:trPr>
          <w:trHeight w:val="230"/>
        </w:trPr>
        <w:tc>
          <w:tcPr>
            <w:tcW w:w="55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55,662</w:t>
            </w:r>
          </w:p>
        </w:tc>
      </w:tr>
      <w:tr>
        <w:trPr>
          <w:trHeight w:val="229"/>
        </w:trPr>
        <w:tc>
          <w:tcPr>
            <w:tcW w:w="55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r>
      <w:tr>
        <w:trPr>
          <w:trHeight w:val="229"/>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30"/>
        </w:trPr>
        <w:tc>
          <w:tcPr>
            <w:tcW w:w="5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Related party expense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5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171,148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190,350</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39,527</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41,703</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40,348</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38,845</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net revenue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96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30"/>
        </w:trPr>
        <w:tc>
          <w:tcPr>
            <w:tcW w:w="52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29"/>
        </w:trPr>
        <w:tc>
          <w:tcPr>
            <w:tcW w:w="5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29"/>
        </w:trPr>
        <w:tc>
          <w:tcPr>
            <w:tcW w:w="52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9"/>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Related party expense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3"/>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82.8 %</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revenue, sales and marketing, general and administrative, and research and development expenses are exclusive of depreciation and amortization shown as a separate line item.</w:t>
      </w:r>
    </w:p>
    <w:p>
      <w:pPr>
        <w:spacing w:after="0" w:line="163" w:lineRule="exact"/>
        <w:rPr>
          <w:sz w:val="20"/>
          <w:szCs w:val="20"/>
          <w:color w:val="auto"/>
        </w:rPr>
      </w:pPr>
    </w:p>
    <w:p>
      <w:pPr>
        <w:ind w:right="422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Comparison of Three Months Ended June 30, 2024 and Three Months Ended June 30, 2023 </w:t>
      </w:r>
      <w:r>
        <w:rPr>
          <w:rFonts w:ascii="Times New Roman" w:cs="Times New Roman" w:eastAsia="Times New Roman" w:hAnsi="Times New Roman"/>
          <w:sz w:val="18"/>
          <w:szCs w:val="18"/>
          <w:b w:val="1"/>
          <w:bCs w:val="1"/>
          <w:i w:val="1"/>
          <w:iCs w:val="1"/>
          <w:color w:val="auto"/>
        </w:rPr>
        <w:t>Net Revenue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6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105,046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increase in net revenue was primarily driven by a $7.2 million increase in membership subscription revenue, partially offset by a $6.6 million decrease in term subscription revenue.</w:t>
      </w:r>
    </w:p>
    <w:p>
      <w:pPr>
        <w:spacing w:after="0" w:line="10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Membership subscription revenue increased during the three months ended June 30, 2024 primarily driven by the runoff of deferred revenue from previous periods. Term subscription revenue decreased during the three months ended June 30, 2024 primarily due to lower Billings as compared to the 2023 period which was driven by reduced engagement of prospective and existing subscribers in the 2024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94,725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12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Cost of revenue decreased primarily driven by a $1.1 million decrease in salaries, taxes and benefits, and a $1.0 million decrease in credit card fees. This was partially offset by a $0.9 million increase in incentive compensation.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primarily driven by a $4.5 million decrease in marketing expense, as we have reduced our marketing spend as part of our cost reduction initiatives, a $0.9 decrease in salaries, taxes and benefits due to a reduction in workforce, and a $0.7 million decrease in amortization of deferred contract acquisition costs.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decreased primarily driven by a $1.7 million decrease in incentive compensation, and a $1.4 million decrease in stock-based compensation expense.</w:t>
      </w:r>
    </w:p>
    <w:p>
      <w:pPr>
        <w:spacing w:after="0" w:line="200" w:lineRule="exact"/>
        <w:rPr>
          <w:sz w:val="20"/>
          <w:szCs w:val="20"/>
          <w:color w:val="auto"/>
        </w:rPr>
      </w:pPr>
    </w:p>
    <w:p>
      <w:pPr>
        <w:spacing w:after="0" w:line="309" w:lineRule="exact"/>
        <w:rPr>
          <w:sz w:val="20"/>
          <w:szCs w:val="20"/>
          <w:color w:val="auto"/>
        </w:rPr>
      </w:pPr>
    </w:p>
    <w:p>
      <w:pPr>
        <w:ind w:right="464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Comparison of Six Months Ended June 30, 2024 and Six Months Ended June 30, 2023 </w:t>
      </w:r>
      <w:r>
        <w:rPr>
          <w:rFonts w:ascii="Times New Roman" w:cs="Times New Roman" w:eastAsia="Times New Roman" w:hAnsi="Times New Roman"/>
          <w:sz w:val="18"/>
          <w:szCs w:val="18"/>
          <w:b w:val="1"/>
          <w:bCs w:val="1"/>
          <w:i w:val="1"/>
          <w:iCs w:val="1"/>
          <w:color w:val="auto"/>
        </w:rPr>
        <w:t>Net Revenue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64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214,037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229,877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decrease in net revenue was primarily driven by a $24.9 million decrease in term subscription revenue, partially offset by a $8.4 million increase in membership subscription revenue and a $0.7 million increase in non-subscription revenue.</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Term subscription revenue decreased during the six months ended June 30, 2024 primarily due to lower Billings as compared to the 2023 period which was driven by reduced engagement of prospective and existing subscribers in the 2024 period. Membership subscription revenue increased during the six months ended June 30, 2024 primarily driven by the runoff of deferred revenue from previous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7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26,747</w:t>
            </w:r>
          </w:p>
        </w:tc>
        <w:tc>
          <w:tcPr>
            <w:tcW w:w="1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29,925</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57"/>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57"/>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171,148</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190,350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12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Cost of revenue decreased primarily driven by a $2.1 million decrease in salaries, taxes and benefits, a $1.4 million decrease in credit card fees, a $0.5 million decrease in stock-based compensation expense, and a $0.2 million decrease in outside labor, primarily related to customer service. This was partially offset by a $0.9 million increase in incentive compensation.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primarily driven by a $4.1 million decrease in marketing expense as we have reduced our marketing spend as part of our cost reduction initiatives and due to higher per unit subscriber acquisition costs, a $2.6 million decrease in salaries, taxes and benefits, and a $0.6 million decrease in stock-based compensation expense.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primarily driven by a $4.2 million decrease in incentive compensation and profits interest expense, a $2.0 million decrease in stock-based compensation expense, a $1.1 million decrease in salaries, taxes and benefits, and a $0.5 million decrease in insurance expense. This was partially offset by a $1.3 million increase in professional fees.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the below non-GAAP financial measures are useful in evaluating our operating performance.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stated in accordance with GAAP. Investors are encouraged to review the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and the reconciliations of these non-GAAP financial measures to their most directly comparable GAAP financial measures.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40" w:type="dxa"/>
            <w:vAlign w:val="bottom"/>
          </w:tcPr>
          <w:p>
            <w:pPr>
              <w:spacing w:after="0"/>
              <w:rPr>
                <w:sz w:val="16"/>
                <w:szCs w:val="16"/>
                <w:color w:val="auto"/>
              </w:rPr>
            </w:pPr>
          </w:p>
        </w:tc>
      </w:tr>
      <w:tr>
        <w:trPr>
          <w:trHeight w:val="23"/>
        </w:trPr>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0"/>
        </w:trPr>
        <w:tc>
          <w:tcPr>
            <w:tcW w:w="32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(3,795)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28,978</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 xml:space="preserve">(113.1)%   </w:t>
            </w: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32,846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i w:val="1"/>
                <w:iCs w:val="1"/>
                <w:color w:val="auto"/>
              </w:rPr>
              <w:t>(167.9)%</w:t>
            </w: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CFFO / Adjusted CFFO Margin</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that Adjusted CFFO and Adjusted CFFO Margin are useful indicators that provide information to management and investors about our ability to generate cash, and for internal planning and forecasting purposes.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Adjusted CFFO and Adjusted CFFO Margin have limitations as analytical tools, and should not be considered in isolation or as substitutes for analysis of other GAAP financial measures, such as cash flow from operations or operating cash flow margin. Some of the limitations of using Adjusted CFFO and Adjusted CFFO Margin are that these metrics may be calculated differently by other companies in our industry.</w:t>
      </w:r>
    </w:p>
    <w:p>
      <w:pPr>
        <w:spacing w:after="0" w:line="12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the most directly comparable financial measure calculated in accordance with GAAP, to Adjusted CFFO for each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6"/>
                <w:szCs w:val="16"/>
                <w:color w:val="auto"/>
              </w:rPr>
            </w:pPr>
          </w:p>
        </w:tc>
        <w:tc>
          <w:tcPr>
            <w:tcW w:w="24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8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0"/>
        </w:trPr>
        <w:tc>
          <w:tcPr>
            <w:tcW w:w="40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i w:val="1"/>
                <w:iCs w:val="1"/>
                <w:color w:val="auto"/>
                <w:w w:val="97"/>
              </w:rPr>
              <w:t>(113.1)%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(167.9)%</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expenses</w:t>
            </w:r>
          </w:p>
        </w:tc>
        <w:tc>
          <w:tcPr>
            <w:tcW w:w="28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N/M</w:t>
            </w:r>
          </w:p>
        </w:tc>
        <w:tc>
          <w:tcPr>
            <w:tcW w:w="3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N/M</w:t>
            </w: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i w:val="1"/>
                <w:iCs w:val="1"/>
                <w:color w:val="auto"/>
                <w:w w:val="97"/>
              </w:rPr>
              <w:t>(113.1)%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(167.9)%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Not meaningful</w:t>
      </w:r>
    </w:p>
    <w:p>
      <w:pPr>
        <w:spacing w:after="0" w:line="200" w:lineRule="exact"/>
        <w:rPr>
          <w:sz w:val="20"/>
          <w:szCs w:val="20"/>
          <w:color w:val="auto"/>
        </w:rPr>
      </w:pPr>
    </w:p>
    <w:p>
      <w:pPr>
        <w:spacing w:after="0" w:line="224"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calculation of net cash provided by operating activities as a percentage of total net revenue, the most directly comparable financial measure in accordance with GAAP, and Adjusted CFFO Margin for each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252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Net cash (used in) provided by operating</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(113.1)%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(167.9)%</w:t>
            </w: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28,978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(22,306)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32,846</w:t>
            </w:r>
          </w:p>
        </w:tc>
        <w:tc>
          <w:tcPr>
            <w:tcW w:w="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105,046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103,644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214,037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229,877</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(6.9)%</w:t>
            </w:r>
          </w:p>
        </w:tc>
        <w:tc>
          <w:tcPr>
            <w:tcW w:w="0" w:type="dxa"/>
            <w:vAlign w:val="bottom"/>
          </w:tcPr>
          <w:p>
            <w:pPr>
              <w:spacing w:after="0"/>
              <w:rPr>
                <w:sz w:val="1"/>
                <w:szCs w:val="1"/>
                <w:color w:val="auto"/>
              </w:rPr>
            </w:pPr>
          </w:p>
        </w:tc>
      </w:tr>
      <w:tr>
        <w:trPr>
          <w:trHeight w:val="155"/>
        </w:trPr>
        <w:tc>
          <w:tcPr>
            <w:tcW w:w="37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cash (used in) provided by operating</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 margin</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28,978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(113.1)%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(22,306)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32,846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(167.9)%</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57,577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96,170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(40.1)%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134,799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193,341</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(30.3)%</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CFFO and Adjusted CFFO was negative for the six months ended June 30, 2024 primarily driven by lower Billings during the period, partially due to the Legacy wind down, incentive compensation payouts during the first quarter, and payments related to renegotiated employment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A substantial portion of our cash on hand is the result of the nature of our subscription business. We receive cash up front from our sales of annual, multi-year, and membership subscriptions. For tax and GAAP purposes, however, this revenue is deferred and recognized over the term of the subscription, or in the case of membership subscriptions, over four years for tax and five years for GAAP. Tax distributions are made to MarketWise Members to satisfy their tax obligations when revenue is recognized for tax purposes, not when cash is received. The timing difference between when cash is received and when tax distributions are made results in an accumulation of cash on our balance sheet.</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refer to this accumulation of cash as our “float” which we view as a valuable resource that we may invest or use to expand our operations. We expect that as we grow our business, the amount of our float will increase. The Company estimates that the amount of float was approximately $124.4 million and $120.5 million as of June 30, 2024 and December 31, 2023, respectively. As part of the Company's broader capital allocation strategy, our consolidated cash balance may from time to time decline below our estimate of the long term float requirement.</w:t>
      </w:r>
    </w:p>
    <w:p>
      <w:pPr>
        <w:spacing w:after="0" w:line="12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this cash in financial instruments to achieve reasonable returns on a risk-adjusted basis. The investment allocation decisions are based in part on the anticipated liquidity requirements of the Company including working capital, estimated tax related distributions, and broader capital allocation objectives.</w:t>
      </w:r>
    </w:p>
    <w:p>
      <w:pPr>
        <w:spacing w:after="0" w:line="12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earned interest income of $1.5 million and $3.4 million, respectively, on our cash portfolio.</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may allocate a portion of our “float” to investments meeting pre-determined guidelines, including U.S.-listed equity securities, with the objective to provide an acceptable rate of return while complying with established risk tolerances and liquidity parameters. The Board of Directors is responsible for approving investment decisions. Gains and losses on marketable securities may fluctuate significantly from period to period in the future and could have a significant impact on the Company’s results of operations.</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June 30, 2024, our principal sources of liquidity were cash and cash equivalents, and restricted cash of $109.3 million. Cash and cash equivalents are comprised of bank deposits, money market funds, and certificates of deposit. We have financed our operations primarily through cash received from operations, and our sources of liquidity have enabled us to make continued investments in supporting the growth of our business. Our 2021 Credit Facility (as defined and further discussed below) can be used to finance permitted acquisitions, for working capital and general corporate purposes. We expect that our operating cash flows, in addition to cash on hand, will enable us to continue to make investments in the future, and to pay dividends. We expect our operating cash flows to further improve as we increase our operational efficiency and experience economies of scale.</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2023, we commenced paying quarterly dividends on shares of our Class A common stock and distributions on our LLC Units. There can be no assurance that we will continue to pay dividends in the future. The payment of any future dividends and distributions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2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subscribers, the pace of expansion of sales and marketing activities, the timing and extent of spending to support development efforts, the introduction of new and enhanced products, and the level of costs to operate as a public company. We may, in the future, enter into arrangements to acquire or invest in complementary businesses, products, and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expect to incur payment obligations under the Tax Receivable Agreement in the future, which we expect to be significant. MarketWise, Inc. intends to cause MarketWise, LLC to make distributions to MarketWise, Inc. in an amount sufficient to allow MarketWise, Inc. to pay its tax obligations and operating expenses, including distributions to fund any payments due under the Tax Receivable Agreement. If MarketWise, LLC does not have sufficient cash to fund distributions to MarketWise, Inc. in amounts sufficient to cover MarketWise, Inc.’s obligations under the Tax Receivable Agreement, it may have to borrow funds, which could materially adversely affect its liquidity and financial condition and subject it to various restrictions imposed by any such lenders. To the extent that MarketWise, Inc. is unable to make timely payments under the Tax Receivable Agreement for any reason, the unpaid amounts will be deferred and will accrue interest until paid. For additional information regarding the Tax Receivable Agreement, see the section entitled “ Management’s Discussion and Analysis of Financial Condition and Results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Liquidity and Capital Resources—Tax Receivable Agreement” in the Annual Report.</w:t>
      </w:r>
    </w:p>
    <w:p>
      <w:pPr>
        <w:spacing w:after="0" w:line="13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Furthermore, to the extent we have taxable income, we will make distributions to the MarketWise Members in amounts sufficient for the MarketWise Members to pay taxes due on their share of MarketWise income at prevailing individual income tax rates, which for the 2023 tax year the highest federal, state and local tax rate the Company used was 49.75%. While historically we have not been required to make tax distributions, we expect to begin making required tax distributions to MarketWise Members, along with a proportionate payment to MarketWise Inc., as early as the second half of 2024. Such amounts will be reflected in our statement of cash flows as cash used in financing activities, and will not decrease the amount of cash from operations or net income reflected in our financial statements. However, such distributions will decrease the amount of cash available for use in our business.</w:t>
      </w:r>
    </w:p>
    <w:p>
      <w:pPr>
        <w:spacing w:after="0" w:line="13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Reorganization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8, 2024, the Company reported that its Board of Directors had committed to a strategic realignment and Reorganization whereby the Company will wind-down the operations of its Legacy Research business in response to misconduct discovered at Legacy Research where certain managers violated the Company’s policies.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the time of the announcement, there were 104 employees at Legacy Research, which represented approximately 18% of the Company’s total employees. During the second quarter 2024, we completed actions with respect to the employees, and approximately 48 of these employees had their positions eliminated and the remainder were offered a new role within the Company. Separation costs incurred in the three and six months ended June 30, 2024 totaled approximately $773 and $964, respectively. The annualized compensation cost savings associated with the terminated employees is approximately $13.1 million.</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Following the commitment to the Reorganization, Legacy Research began to significantly curtail business activities including any marketing efforts to acquire new subscribers. As a result of the Reorganization, the Billings of Legacy Research declined from $30.1 million during the fourth quarter 2023, to $15.8 million and $4.9 million during the first and second quarters of 2024, respectively. Legacy Research continued to serve existing subscribers and fulfill existing subscriptions during the first quarter 2024. During second quarter 2024, we began the process of offering certain Legacy Research subscribers similar products published by other MarketWise brands, consistent with past Company practice when we cease a publication.</w:t>
      </w:r>
    </w:p>
    <w:p>
      <w:pPr>
        <w:spacing w:after="0" w:line="1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August 2024, we expect to substantially complete our Reorganization and operational transition plans with respect to substantially all of the Legacy Research brands, which resulted in the transfer of the related assets to other businesses within MarketWise for fair consideration. The administrative transfer process is expected to be complete during the third quarter 2024. For the remaining Legacy Research assets that we do not intend to transfer to other businesses within MarketWise, we continue to evaluate a range of potential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Legacy Research has leased office space and the current lease end date for this property is December 2028. As of June 30, 2024, the operating lease right-of-use asset and related leasehold improvements totaled approximately $2.8 million. The Company has ceased using this property in its operations and is evaluating various alternatives with respect to this property as of June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2021, MarketWise, LLC, entered into a loan and security agreement (the “Loan and Security Agreement”) providing for up to $150 million of commitments under a revolving credit facility (the “2021 Credit Facility”), including a $5 million letter of credit sublimit, and allows for revolving commitments under the 2021 Credit Facility to be increased or new term commitments to be established by up to $65 million. The existing lenders under the 2021 Credit Facility are entitled, but not obligated, to provide such incremental commitments. The 2021 Credit Facility has a term of three years, maturing on October 29, 2024. On May 2, 2023, MarketWise, LLC entered into the First Amendment to the Loan and Security Agreement, which provides, among other things, a transition away from LIBOR to SOFR as the basis for the interest rate.</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2021 Credit Facility is guaranteed by MarketWise, LLC’s direct and indirect material U.S. subsidiaries, subject to customary exceptions (the “Guarantors”), pursuant to a guaranty by the Guarantors in favor of HSBC Bank USA, National Association, as agent (the “Guaranty”). Borrowings under the 2021 Credit Facility are secured by a first-priority lien on substantially all of the assets of MarketWise, LLC and the Guarantors, subject to customary exceptions.</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Borrowings will bear interest at a floating rate depending on MarketWise, LLC’s Net Leverage Ratio (as defined in the Loan and Security Agreement). As of June 30, 2024, there were no outstanding advances under the 2021 Credit Facility.</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Loan and Security Agreement contains customary affirmative and negative covenants for transactions of this type, and contains financial maintenance covenants that require MarketWise, LLC to maintain an Interest Coverage Ratio and Net Leverage Ratio (both as defined in the Loan and Security Agreement), and provides for a number of customary events of default, which could result in the acceleration of obligations and the termination of lending commitments under the Loan and Security Agreement. As of June 30, 2024, we were in compliance with these covenants. The Company is currently in discussions with lenders to amend or replace the Credit Facility. While we have no amounts borrowed on the existing Credit Facility, we intend to amend or replace it prior to the maturity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consolidated cash flows provided by (used in) operating, investing, and financing activities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6"/>
                <w:szCs w:val="16"/>
                <w:color w:val="auto"/>
              </w:rPr>
            </w:pPr>
          </w:p>
        </w:tc>
        <w:tc>
          <w:tcPr>
            <w:tcW w:w="328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32,846</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net cash used in operating activities was $22.3 million, primarily due to net income of $44.0 million, adjusted for net non-cash addbacks of items of $9.8 million, and net changes in our operating assets and liabilities which reduced cash by $76.1 million, largely due to timing differences in the net receipt of cash. The non-cash items include stock-based compensation expense and depreciation and amortization of $5.5 million and $1.4 million, respectively. The changes in operating assets and liabilities were primarily driven by a decrease in deferred revenue, which reduced cash by $86.9 million due to lower Billings, and a decrease in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expenses, which decreased cash by $29.3 million, partially offset by a decrease in deferred contract acquisition costs, which increased cash by $32.9 million.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2023, net cash provided by operating activities was $32.8 million, primarily due to net income of $40.3 million, adjusted for net non-cash items addbacks of $12.4 million, and net changes in our operating assets and liabilities which reduced cash by $19.9 million, largely due to timing differences in the net receipt of cash. The non-cash items include stock-based compensation expense and depreciation and amortization of $7.4 million and $2.0 million, respectively. The changes in operating assets and liabilities were primarily driven by a decrease in deferred revenue, which reduced cash by $35.1 million due to lower Billings, and a decrease in accrued expenses, which decreased cash by $7.6 million, partially offset by a decrease in deferred contract acquisition costs, which increased cash by $19.9 million.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used in investing activities was $0.7 million, primarily driven by $0.7 million of capitalized software development costs.</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2023, net cash used in investing activities was $1.0 million, primarily driven by $0.9 million of capitalized software development costs.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used in financing activities was $22.7 million, primarily due to $10.8 million in repurchases of stock, $10.2 million in distributions to noncontrolling interests, and $1.2 million in restricted stock units withheld to pay taxes.</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2023, net cash used in financing activities was $3.4 million, primarily due to $1.1 million in restricted stock units withheld to pay taxes and $2.7 million in distributions to noncontrolling interests.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GAAP. The preparation of these financial statements requires management to make estimates and assumptions that affect the reported amounts of assets, liabilities, revenue, costs, and expenses, and related disclosures. On an ongoing basis, management evaluates its estimates and assumptions. Our actual results may differ from these estimates under different assumptions or conditions.</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Management believes that, of our significant accounting policies, which are described in Note 2 to our consolidated financial statements for the year ended December 31, 2023 in our Annual Report, the following accounting policies involve a greater degree of judgment and complexity. Accordingly, management believes that “Revenue Recognition” and “Transactions and Valuation of Goodwill and Other Acquired Intangible Assets” are the two policies that are the most critical to aid in fully understanding and evaluating our condensed consolidated financial condition and results of operations. Refer to the 2023 Annual Report on Form 10-K for further discussion of these two policies. During the three months ended June 30, 2024, there were no material changes to these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as of the end of the period covered by this Quarterly Report on Form 10-Q, the effectiveness of the design and operation of our disclosure controls and procedures (as defined in Rules 13a-15(e) and 15d-15(e) under the Exchange Act of 1934, as amended (the “Exchange Act”)). Based on that evaluation, our Chief Executive Officer and Chief Financial Officer concluded that, as of June 30, 2024, the financial statements for the periods covered by and included in this Quarterly Report on Form 10-Q fairly state, in all material respects, our financial position, results of operations and cash flows for the periods presented in conformity with U.S. GAAP.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2024, that have materially affected, or are reasonably likely to materially affect, our internal control over financial reporting identified in connection with the evaluation required by Rule 13a-15(d) and 15d-15(d) of the Exchange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Furthermore,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18"/>
                <w:szCs w:val="18"/>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2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19"/>
                <w:szCs w:val="19"/>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55"/>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9"/>
                <w:szCs w:val="19"/>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0" w:type="dxa"/>
            <w:vAlign w:val="bottom"/>
          </w:tcPr>
          <w:p>
            <w:pPr>
              <w:spacing w:after="0"/>
              <w:rPr>
                <w:sz w:val="19"/>
                <w:szCs w:val="19"/>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55"/>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6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80" w:type="dxa"/>
            <w:vAlign w:val="bottom"/>
            <w:gridSpan w:val="4"/>
          </w:tcPr>
          <w:p>
            <w:pPr>
              <w:spacing w:after="0"/>
              <w:rPr>
                <w:sz w:val="13"/>
                <w:szCs w:val="13"/>
                <w:color w:val="auto"/>
              </w:rPr>
            </w:pPr>
          </w:p>
        </w:tc>
      </w:tr>
      <w:tr>
        <w:trPr>
          <w:trHeight w:val="20"/>
        </w:trPr>
        <w:tc>
          <w:tcPr>
            <w:tcW w:w="1360" w:type="dxa"/>
            <w:vAlign w:val="bottom"/>
            <w:gridSpan w:val="2"/>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260" w:type="dxa"/>
            <w:vAlign w:val="bottom"/>
            <w:gridSpan w:val="7"/>
          </w:tcPr>
          <w:p>
            <w:pPr>
              <w:spacing w:after="0" w:line="20" w:lineRule="exact"/>
              <w:rPr>
                <w:sz w:val="1"/>
                <w:szCs w:val="1"/>
                <w:color w:val="auto"/>
              </w:rPr>
            </w:pPr>
          </w:p>
        </w:tc>
      </w:tr>
      <w:tr>
        <w:trPr>
          <w:trHeight w:val="25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420" w:hanging="1367"/>
        <w:spacing w:after="0"/>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MARKETWISE, INC.</w:t>
      </w:r>
    </w:p>
    <w:p>
      <w:pPr>
        <w:spacing w:after="0" w:line="305" w:lineRule="exact"/>
        <w:rPr>
          <w:sz w:val="20"/>
          <w:szCs w:val="20"/>
          <w:color w:val="auto"/>
        </w:rPr>
      </w:pPr>
    </w:p>
    <w:p>
      <w:pPr>
        <w:ind w:left="40"/>
        <w:spacing w:after="0"/>
        <w:tabs>
          <w:tab w:leader="none" w:pos="594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7"/>
          <w:szCs w:val="17"/>
          <w:color w:val="auto"/>
        </w:rPr>
        <w:t>By:</w: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Erik Mickels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4445</wp:posOffset>
            </wp:positionV>
            <wp:extent cx="2837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Erik Mickels</w:t>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40" w:right="3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David Eifrig,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MarketWise, Inc. (the “registrant”) for the fiscal quarter ended June 30, 2024;</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780" w:type="dxa"/>
            <w:vAlign w:val="bottom"/>
          </w:tcPr>
          <w:p>
            <w:pPr>
              <w:spacing w:after="0"/>
              <w:rPr>
                <w:sz w:val="22"/>
                <w:szCs w:val="22"/>
                <w:color w:val="auto"/>
              </w:rPr>
            </w:pPr>
          </w:p>
        </w:tc>
        <w:tc>
          <w:tcPr>
            <w:tcW w:w="7420" w:type="dxa"/>
            <w:vAlign w:val="bottom"/>
            <w:gridSpan w:val="2"/>
          </w:tcPr>
          <w:p>
            <w:pPr>
              <w:ind w:left="214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29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David Eifrig</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960" w:type="dxa"/>
            <w:vAlign w:val="bottom"/>
            <w:vMerge w:val="restart"/>
          </w:tcPr>
          <w:p>
            <w:pPr>
              <w:ind w:left="214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8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David Eifrig</w:t>
            </w:r>
          </w:p>
        </w:tc>
        <w:tc>
          <w:tcPr>
            <w:tcW w:w="0" w:type="dxa"/>
            <w:vAlign w:val="bottom"/>
          </w:tcPr>
          <w:p>
            <w:pPr>
              <w:spacing w:after="0"/>
              <w:rPr>
                <w:sz w:val="1"/>
                <w:szCs w:val="1"/>
                <w:color w:val="auto"/>
              </w:rPr>
            </w:pPr>
          </w:p>
        </w:tc>
      </w:tr>
      <w:tr>
        <w:trPr>
          <w:trHeight w:val="427"/>
        </w:trPr>
        <w:tc>
          <w:tcPr>
            <w:tcW w:w="3780" w:type="dxa"/>
            <w:vAlign w:val="bottom"/>
          </w:tcPr>
          <w:p>
            <w:pPr>
              <w:spacing w:after="0"/>
              <w:rPr>
                <w:sz w:val="24"/>
                <w:szCs w:val="24"/>
                <w:color w:val="auto"/>
              </w:rPr>
            </w:pPr>
          </w:p>
        </w:tc>
        <w:tc>
          <w:tcPr>
            <w:tcW w:w="29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Erik Mickels,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MarketWise, Inc. (the “registrant”) for the fiscal quarter ended June 30, 2024;</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780" w:type="dxa"/>
            <w:vAlign w:val="bottom"/>
          </w:tcPr>
          <w:p>
            <w:pPr>
              <w:spacing w:after="0"/>
              <w:rPr>
                <w:sz w:val="22"/>
                <w:szCs w:val="22"/>
                <w:color w:val="auto"/>
              </w:rPr>
            </w:pPr>
          </w:p>
        </w:tc>
        <w:tc>
          <w:tcPr>
            <w:tcW w:w="7420" w:type="dxa"/>
            <w:vAlign w:val="bottom"/>
            <w:gridSpan w:val="2"/>
          </w:tcPr>
          <w:p>
            <w:pPr>
              <w:ind w:left="214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29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 Erik Mickels</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960" w:type="dxa"/>
            <w:vAlign w:val="bottom"/>
            <w:vMerge w:val="restart"/>
          </w:tcPr>
          <w:p>
            <w:pPr>
              <w:ind w:left="214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8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Erik Mickels</w:t>
            </w:r>
          </w:p>
        </w:tc>
        <w:tc>
          <w:tcPr>
            <w:tcW w:w="0" w:type="dxa"/>
            <w:vAlign w:val="bottom"/>
          </w:tcPr>
          <w:p>
            <w:pPr>
              <w:spacing w:after="0"/>
              <w:rPr>
                <w:sz w:val="1"/>
                <w:szCs w:val="1"/>
                <w:color w:val="auto"/>
              </w:rPr>
            </w:pPr>
          </w:p>
        </w:tc>
      </w:tr>
      <w:tr>
        <w:trPr>
          <w:trHeight w:val="427"/>
        </w:trPr>
        <w:tc>
          <w:tcPr>
            <w:tcW w:w="3780" w:type="dxa"/>
            <w:vAlign w:val="bottom"/>
          </w:tcPr>
          <w:p>
            <w:pPr>
              <w:spacing w:after="0"/>
              <w:rPr>
                <w:sz w:val="24"/>
                <w:szCs w:val="24"/>
                <w:color w:val="auto"/>
              </w:rPr>
            </w:pPr>
          </w:p>
        </w:tc>
        <w:tc>
          <w:tcPr>
            <w:tcW w:w="29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 Dr. David Eifrig, certify, pursuant to 18 U.S.C. Section 1350, as adopted pursuant to Section 906 of the Sarbanes-Oxley Act of 2002, that the Quarterly Report on Form 10-Q of MarketWise, Inc. for the fiscal quarter ended June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780" w:type="dxa"/>
            <w:vAlign w:val="bottom"/>
          </w:tcPr>
          <w:p>
            <w:pPr>
              <w:spacing w:after="0"/>
              <w:rPr>
                <w:sz w:val="22"/>
                <w:szCs w:val="22"/>
                <w:color w:val="auto"/>
              </w:rPr>
            </w:pPr>
          </w:p>
        </w:tc>
        <w:tc>
          <w:tcPr>
            <w:tcW w:w="7420" w:type="dxa"/>
            <w:vAlign w:val="bottom"/>
            <w:gridSpan w:val="2"/>
          </w:tcPr>
          <w:p>
            <w:pPr>
              <w:ind w:left="214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29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David Eifrig</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960" w:type="dxa"/>
            <w:vAlign w:val="bottom"/>
            <w:vMerge w:val="restart"/>
          </w:tcPr>
          <w:p>
            <w:pPr>
              <w:ind w:left="214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8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David Eifrig</w:t>
            </w:r>
          </w:p>
        </w:tc>
        <w:tc>
          <w:tcPr>
            <w:tcW w:w="0" w:type="dxa"/>
            <w:vAlign w:val="bottom"/>
          </w:tcPr>
          <w:p>
            <w:pPr>
              <w:spacing w:after="0"/>
              <w:rPr>
                <w:sz w:val="1"/>
                <w:szCs w:val="1"/>
                <w:color w:val="auto"/>
              </w:rPr>
            </w:pPr>
          </w:p>
        </w:tc>
      </w:tr>
      <w:tr>
        <w:trPr>
          <w:trHeight w:val="427"/>
        </w:trPr>
        <w:tc>
          <w:tcPr>
            <w:tcW w:w="3780" w:type="dxa"/>
            <w:vAlign w:val="bottom"/>
          </w:tcPr>
          <w:p>
            <w:pPr>
              <w:spacing w:after="0"/>
              <w:rPr>
                <w:sz w:val="24"/>
                <w:szCs w:val="24"/>
                <w:color w:val="auto"/>
              </w:rPr>
            </w:pPr>
          </w:p>
        </w:tc>
        <w:tc>
          <w:tcPr>
            <w:tcW w:w="29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 Erik Mickels, certify, pursuant to 18 U.S.C. Section 1350, as adopted pursuant to Section 906 of the Sarbanes-Oxley Act of 2002, that the Quarterly Report on Form 10-Q of MarketWise, Inc. for the fiscal quarter ended June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780" w:type="dxa"/>
            <w:vAlign w:val="bottom"/>
          </w:tcPr>
          <w:p>
            <w:pPr>
              <w:spacing w:after="0"/>
              <w:rPr>
                <w:sz w:val="22"/>
                <w:szCs w:val="22"/>
                <w:color w:val="auto"/>
              </w:rPr>
            </w:pPr>
          </w:p>
        </w:tc>
        <w:tc>
          <w:tcPr>
            <w:tcW w:w="7420" w:type="dxa"/>
            <w:vAlign w:val="bottom"/>
            <w:gridSpan w:val="2"/>
          </w:tcPr>
          <w:p>
            <w:pPr>
              <w:ind w:left="214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29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Erik Mickels</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960" w:type="dxa"/>
            <w:vAlign w:val="bottom"/>
            <w:vMerge w:val="restart"/>
          </w:tcPr>
          <w:p>
            <w:pPr>
              <w:ind w:left="214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8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Erik Mickels</w:t>
            </w:r>
          </w:p>
        </w:tc>
        <w:tc>
          <w:tcPr>
            <w:tcW w:w="0" w:type="dxa"/>
            <w:vAlign w:val="bottom"/>
          </w:tcPr>
          <w:p>
            <w:pPr>
              <w:spacing w:after="0"/>
              <w:rPr>
                <w:sz w:val="1"/>
                <w:szCs w:val="1"/>
                <w:color w:val="auto"/>
              </w:rPr>
            </w:pPr>
          </w:p>
        </w:tc>
      </w:tr>
      <w:tr>
        <w:trPr>
          <w:trHeight w:val="427"/>
        </w:trPr>
        <w:tc>
          <w:tcPr>
            <w:tcW w:w="3780" w:type="dxa"/>
            <w:vAlign w:val="bottom"/>
          </w:tcPr>
          <w:p>
            <w:pPr>
              <w:spacing w:after="0"/>
              <w:rPr>
                <w:sz w:val="24"/>
                <w:szCs w:val="24"/>
                <w:color w:val="auto"/>
              </w:rPr>
            </w:pPr>
          </w:p>
        </w:tc>
        <w:tc>
          <w:tcPr>
            <w:tcW w:w="29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2024-08-14T06:35:20Z</dcterms:created>
  <dcterms:modified xsi:type="dcterms:W3CDTF">2024-08-14T06:35:20Z</dcterms:modified>
</cp:coreProperties>
</file>