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center"/>
        <w:rPr/>
      </w:pPr>
      <w:r>
        <w:rPr/>
      </w:r>
    </w:p>
    <w:p>
      <w:pPr>
        <w:pStyle w:val="TextBody"/>
        <w:bidi w:val="0"/>
        <w:spacing w:lineRule="auto" w:line="288" w:before="0" w:after="0"/>
        <w:jc w:val="center"/>
        <w:rPr>
          <w:rFonts w:ascii="Arial;sans-serif" w:hAnsi="Arial;sans-serif"/>
          <w:b w:val="false"/>
          <w:color w:val="000000"/>
          <w:sz w:val="2"/>
        </w:rPr>
      </w:pPr>
      <w:r>
        <w:rPr>
          <w:rFonts w:ascii="Arial;sans-serif" w:hAnsi="Arial;sans-serif"/>
          <w:b w:val="false"/>
          <w:color w:val="000000"/>
          <w:sz w:val="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34"/>
        </w:rPr>
      </w:pPr>
      <w:r>
        <w:rPr>
          <w:rFonts w:ascii="Times New Roman;sans-serif" w:hAnsi="Times New Roman;sans-serif"/>
          <w:b/>
          <w:color w:val="000000"/>
          <w:sz w:val="34"/>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2024</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001-39405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color w:val="000000"/>
          <w:sz w:val="40"/>
        </w:rPr>
      </w:pPr>
      <w:r>
        <w:rPr>
          <w:rFonts w:ascii="Times New Roman;sans-serif" w:hAnsi="Times New Roman;sans-serif"/>
          <w:b/>
          <w:color w:val="000000"/>
          <w:sz w:val="40"/>
        </w:rPr>
        <w:t>MarketWise, Inc.</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89" w:type="dxa"/>
        <w:jc w:val="left"/>
        <w:tblInd w:w="0" w:type="dxa"/>
        <w:tblLayout w:type="fixed"/>
        <w:tblCellMar>
          <w:top w:w="28" w:type="dxa"/>
          <w:left w:w="28" w:type="dxa"/>
          <w:bottom w:w="28" w:type="dxa"/>
          <w:right w:w="28" w:type="dxa"/>
        </w:tblCellMar>
      </w:tblPr>
      <w:tblGrid>
        <w:gridCol w:w="807"/>
        <w:gridCol w:w="711"/>
        <w:gridCol w:w="717"/>
        <w:gridCol w:w="511"/>
        <w:gridCol w:w="511"/>
        <w:gridCol w:w="732"/>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87-1767914</w:t>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(I.R.S. Employer </w:t>
              <w:br/>
              <w:t>Identification Number)</w:t>
            </w:r>
          </w:p>
        </w:tc>
      </w:tr>
    </w:tbl>
    <w:tbl>
      <w:tblPr>
        <w:tblW w:w="4424" w:type="dxa"/>
        <w:jc w:val="left"/>
        <w:tblInd w:w="0" w:type="dxa"/>
        <w:tblLayout w:type="fixed"/>
        <w:tblCellMar>
          <w:top w:w="28" w:type="dxa"/>
          <w:left w:w="28" w:type="dxa"/>
          <w:bottom w:w="28" w:type="dxa"/>
          <w:right w:w="28" w:type="dxa"/>
        </w:tblCellMar>
      </w:tblPr>
      <w:tblGrid>
        <w:gridCol w:w="1267"/>
        <w:gridCol w:w="1110"/>
        <w:gridCol w:w="1118"/>
        <w:gridCol w:w="272"/>
        <w:gridCol w:w="272"/>
        <w:gridCol w:w="385"/>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1125 N. Charles Street Baltimore, Maryland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21201</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(Address of principal executive offices, including zip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(888) 261-2693</w:t>
      </w:r>
    </w:p>
    <w:p>
      <w:pPr>
        <w:pStyle w:val="TextBody"/>
        <w:bidi w:val="0"/>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(Former name or former address, if changed since last report)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988" w:type="dxa"/>
        <w:jc w:val="left"/>
        <w:tblInd w:w="0" w:type="dxa"/>
        <w:tblLayout w:type="fixed"/>
        <w:tblCellMar>
          <w:top w:w="28" w:type="dxa"/>
          <w:left w:w="28" w:type="dxa"/>
          <w:bottom w:w="28" w:type="dxa"/>
          <w:right w:w="28" w:type="dxa"/>
        </w:tblCellMar>
      </w:tblPr>
      <w:tblGrid>
        <w:gridCol w:w="1621"/>
        <w:gridCol w:w="1424"/>
        <w:gridCol w:w="1424"/>
        <w:gridCol w:w="565"/>
        <w:gridCol w:w="565"/>
        <w:gridCol w:w="565"/>
        <w:gridCol w:w="1120"/>
        <w:gridCol w:w="1120"/>
        <w:gridCol w:w="1584"/>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988"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$0.0001 par value per share</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MKTW</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jc w:val="center"/>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12 (a) of the Exchange Act.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 Yes ☑ No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May 10, 2024, there were 43,173,283 shares of the registrant’s Class A common stock and 280,390,147 shares of the registrant’s Class B common stock, each with a par value of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353"/>
        <w:gridCol w:w="309"/>
        <w:gridCol w:w="314"/>
        <w:gridCol w:w="2904"/>
        <w:gridCol w:w="2904"/>
        <w:gridCol w:w="2909"/>
        <w:gridCol w:w="149"/>
        <w:gridCol w:w="149"/>
        <w:gridCol w:w="21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FINANCIAL INFORMATION</w:t>
            </w:r>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493">
              <w:r>
                <w:rPr>
                  <w:rStyle w:val="InternetLink"/>
                  <w:rFonts w:ascii="Times New Roman;sans-serif" w:hAnsi="Times New Roman;sans-serif"/>
                  <w:b w:val="false"/>
                  <w:color w:val="0000FF"/>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496">
              <w:r>
                <w:rPr>
                  <w:rStyle w:val="InternetLink"/>
                  <w:rFonts w:ascii="Times New Roman;sans-serif" w:hAnsi="Times New Roman;sans-serif"/>
                  <w:b w:val="false"/>
                  <w:color w:val="0000FF"/>
                  <w:sz w:val="20"/>
                  <w:u w:val="single"/>
                </w:rPr>
                <w:t>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16b5d433b3aa45cab8ad9fabe8d0ef13_496">
              <w:r>
                <w:rPr>
                  <w:rStyle w:val="InternetLink"/>
                  <w:rFonts w:ascii="Times New Roman;sans-serif" w:hAnsi="Times New Roman;sans-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499">
              <w:r>
                <w:rPr>
                  <w:rStyle w:val="InternetLink"/>
                  <w:rFonts w:ascii="Times New Roman;sans-serif" w:hAnsi="Times New Roman;sans-serif"/>
                  <w:b w:val="false"/>
                  <w:color w:val="0000FF"/>
                  <w:sz w:val="20"/>
                  <w:u w:val="single"/>
                </w:rPr>
                <w:t>Condensed Consolidated Balance Sheets as of March 31, 2024 and December 31, 2023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16b5d433b3aa45cab8ad9fabe8d0ef13_499">
              <w:r>
                <w:rPr>
                  <w:rStyle w:val="InternetLink"/>
                  <w:rFonts w:ascii="Times New Roman;sans-serif" w:hAnsi="Times New Roman;sans-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502">
              <w:r>
                <w:rPr>
                  <w:rStyle w:val="InternetLink"/>
                  <w:rFonts w:ascii="Times New Roman;sans-serif" w:hAnsi="Times New Roman;sans-serif"/>
                  <w:b w:val="false"/>
                  <w:color w:val="0000FF"/>
                  <w:sz w:val="20"/>
                  <w:u w:val="single"/>
                </w:rPr>
                <w:t>Condensed Consolidated Statement of Operations for Three Months Ended March 31, 2024 and 2023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16b5d433b3aa45cab8ad9fabe8d0ef13_502">
              <w:r>
                <w:rPr>
                  <w:rStyle w:val="InternetLink"/>
                  <w:rFonts w:ascii="Times New Roman;sans-serif" w:hAnsi="Times New Roman;sans-serif"/>
                  <w:b w:val="false"/>
                  <w:color w:val="0000FF"/>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502">
              <w:r>
                <w:rPr>
                  <w:rStyle w:val="InternetLink"/>
                  <w:rFonts w:ascii="Times New Roman;sans-serif" w:hAnsi="Times New Roman;sans-serif"/>
                  <w:b w:val="false"/>
                  <w:color w:val="0000FF"/>
                  <w:sz w:val="20"/>
                  <w:u w:val="single"/>
                </w:rPr>
                <w:t>Condensed Consolidated Statements of Comprehensive Income for the Three Months Ended March 31, 2024 and 2023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16b5d433b3aa45cab8ad9fabe8d0ef13_508">
              <w:r>
                <w:rPr>
                  <w:rStyle w:val="InternetLink"/>
                  <w:rFonts w:ascii="Times New Roman;sans-serif" w:hAnsi="Times New Roman;sans-serif"/>
                  <w:b w:val="false"/>
                  <w:color w:val="0000FF"/>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511">
              <w:r>
                <w:rPr>
                  <w:rStyle w:val="InternetLink"/>
                  <w:rFonts w:ascii="Times New Roman;sans-serif" w:hAnsi="Times New Roman;sans-serif"/>
                  <w:b w:val="false"/>
                  <w:color w:val="0000FF"/>
                  <w:sz w:val="20"/>
                  <w:u w:val="single"/>
                </w:rPr>
                <w:t>Condensed Consolidated Statements of Changes in Stockholders' Deficit for the Three Months Ended March 31, 2024 and 2023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16b5d433b3aa45cab8ad9fabe8d0ef13_511">
              <w:r>
                <w:rPr>
                  <w:rStyle w:val="InternetLink"/>
                  <w:rFonts w:ascii="Times New Roman;sans-serif" w:hAnsi="Times New Roman;sans-serif"/>
                  <w:b w:val="false"/>
                  <w:color w:val="0000FF"/>
                  <w:sz w:val="20"/>
                  <w:u w:val="single"/>
                </w:rPr>
                <w:t>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514">
              <w:r>
                <w:rPr>
                  <w:rStyle w:val="InternetLink"/>
                  <w:rFonts w:ascii="Times New Roman;sans-serif" w:hAnsi="Times New Roman;sans-serif"/>
                  <w:b w:val="false"/>
                  <w:color w:val="0000FF"/>
                  <w:sz w:val="20"/>
                  <w:u w:val="single"/>
                </w:rPr>
                <w:t>Condensed Consolidated Statements of Cash Flows for the Three Months Ended March 31, 2024 and 2023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16b5d433b3aa45cab8ad9fabe8d0ef13_514">
              <w:r>
                <w:rPr>
                  <w:rStyle w:val="InternetLink"/>
                  <w:rFonts w:ascii="Times New Roman;sans-serif" w:hAnsi="Times New Roman;sans-serif"/>
                  <w:b w:val="false"/>
                  <w:color w:val="0000FF"/>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517">
              <w:r>
                <w:rPr>
                  <w:rStyle w:val="InternetLink"/>
                  <w:rFonts w:ascii="Times New Roman;sans-serif" w:hAnsi="Times New Roman;sans-serif"/>
                  <w:b w:val="false"/>
                  <w:color w:val="0000FF"/>
                  <w:sz w:val="20"/>
                  <w:u w:val="single"/>
                </w:rPr>
                <w:t>Notes to the Condensed Consolidated Financial Statements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517">
              <w:r>
                <w:rPr>
                  <w:rStyle w:val="InternetLink"/>
                  <w:rFonts w:ascii="Times New Roman;sans-serif" w:hAnsi="Times New Roman;sans-serif"/>
                  <w:b w:val="false"/>
                  <w:color w:val="0000FF"/>
                  <w:sz w:val="20"/>
                  <w:u w:val="single"/>
                </w:rPr>
                <w:t>12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57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574">
              <w:r>
                <w:rPr>
                  <w:rStyle w:val="InternetLink"/>
                  <w:rFonts w:ascii="Times New Roman;sans-serif" w:hAnsi="Times New Roman;sans-serif"/>
                  <w:b w:val="false"/>
                  <w:color w:val="0000FF"/>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622">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622">
              <w:r>
                <w:rPr>
                  <w:rStyle w:val="InternetLink"/>
                  <w:rFonts w:ascii="Times New Roman;sans-serif" w:hAnsi="Times New Roman;sans-serif"/>
                  <w:b w:val="false"/>
                  <w:color w:val="0000FF"/>
                  <w:sz w:val="20"/>
                  <w:u w:val="single"/>
                </w:rPr>
                <w:t>41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628">
              <w:r>
                <w:rPr>
                  <w:rStyle w:val="InternetLink"/>
                  <w:rFonts w:ascii="Times New Roman;sans-serif" w:hAnsi="Times New Roman;sans-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16b5d433b3aa45cab8ad9fabe8d0ef13_628">
              <w:r>
                <w:rPr>
                  <w:rStyle w:val="InternetLink"/>
                  <w:rFonts w:ascii="Times New Roman;sans-serif" w:hAnsi="Times New Roman;sans-serif"/>
                  <w:b w:val="false"/>
                  <w:color w:val="0000FF"/>
                  <w:sz w:val="20"/>
                  <w:u w:val="single"/>
                </w:rPr>
                <w:t>41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6b5d433b3aa45cab8ad9fabe8d0ef13_631">
              <w:r>
                <w:rPr>
                  <w:rStyle w:val="InternetLink"/>
                  <w:rFonts w:ascii="Times New Roman;sans-serif" w:hAnsi="Times New Roman;sans-serif"/>
                  <w:b/>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631">
              <w:r>
                <w:rPr>
                  <w:rStyle w:val="InternetLink"/>
                  <w:rFonts w:ascii="Times New Roman;sans-serif" w:hAnsi="Times New Roman;sans-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634">
              <w:r>
                <w:rPr>
                  <w:rStyle w:val="InternetLink"/>
                  <w:rFonts w:ascii="Times New Roman;sans-serif" w:hAnsi="Times New Roman;sans-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634">
              <w:r>
                <w:rPr>
                  <w:rStyle w:val="InternetLink"/>
                  <w:rFonts w:ascii="Times New Roman;sans-serif" w:hAnsi="Times New Roman;sans-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637">
              <w:r>
                <w:rPr>
                  <w:rStyle w:val="InternetLink"/>
                  <w:rFonts w:ascii="Times New Roman;sans-serif" w:hAnsi="Times New Roman;sans-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637">
              <w:r>
                <w:rPr>
                  <w:rStyle w:val="InternetLink"/>
                  <w:rFonts w:ascii="Times New Roman;sans-serif" w:hAnsi="Times New Roman;sans-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640">
              <w:r>
                <w:rPr>
                  <w:rStyle w:val="InternetLink"/>
                  <w:rFonts w:ascii="Times New Roman;sans-serif" w:hAnsi="Times New Roman;sans-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640">
              <w:r>
                <w:rPr>
                  <w:rStyle w:val="InternetLink"/>
                  <w:rFonts w:ascii="Times New Roman;sans-serif" w:hAnsi="Times New Roman;sans-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643">
              <w:r>
                <w:rPr>
                  <w:rStyle w:val="InternetLink"/>
                  <w:rFonts w:ascii="Times New Roman;sans-serif" w:hAnsi="Times New Roman;sans-serif"/>
                  <w:b w:val="false"/>
                  <w:color w:val="0000FF"/>
                  <w:sz w:val="20"/>
                  <w:u w:val="single"/>
                </w:rPr>
                <w:t>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643">
              <w:r>
                <w:rPr>
                  <w:rStyle w:val="InternetLink"/>
                  <w:rFonts w:ascii="Times New Roman;sans-serif" w:hAnsi="Times New Roman;sans-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646">
              <w:r>
                <w:rPr>
                  <w:rStyle w:val="InternetLink"/>
                  <w:rFonts w:ascii="Times New Roman;sans-serif" w:hAnsi="Times New Roman;sans-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646">
              <w:r>
                <w:rPr>
                  <w:rStyle w:val="InternetLink"/>
                  <w:rFonts w:ascii="Times New Roman;sans-serif" w:hAnsi="Times New Roman;sans-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649">
              <w:r>
                <w:rPr>
                  <w:rStyle w:val="InternetLink"/>
                  <w:rFonts w:ascii="Times New Roman;sans-serif" w:hAnsi="Times New Roman;sans-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16b5d433b3aa45cab8ad9fabe8d0ef13_649">
              <w:r>
                <w:rPr>
                  <w:rStyle w:val="InternetLink"/>
                  <w:rFonts w:ascii="Times New Roman;sans-serif" w:hAnsi="Times New Roman;sans-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652">
              <w:r>
                <w:rPr>
                  <w:rStyle w:val="InternetLink"/>
                  <w:rFonts w:ascii="Times New Roman;sans-serif" w:hAnsi="Times New Roman;sans-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16b5d433b3aa45cab8ad9fabe8d0ef13_652">
              <w:r>
                <w:rPr>
                  <w:rStyle w:val="InternetLink"/>
                  <w:rFonts w:ascii="Times New Roman;sans-serif" w:hAnsi="Times New Roman;sans-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5d433b3aa45cab8ad9fabe8d0ef13_655">
              <w:r>
                <w:rPr>
                  <w:rStyle w:val="InternetLink"/>
                  <w:rFonts w:ascii="Times New Roman;sans-serif" w:hAnsi="Times New Roman;sans-serif"/>
                  <w:b w:val="false"/>
                  <w:color w:val="0000FF"/>
                  <w:sz w:val="20"/>
                  <w:u w:val="single"/>
                </w:rPr>
                <w:t>Signatures</w:t>
              </w:r>
            </w:hyperlink>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16b5d433b3aa45cab8ad9fabe8d0ef13_655">
              <w:r>
                <w:rPr>
                  <w:rStyle w:val="InternetLink"/>
                  <w:rFonts w:ascii="Times New Roman;sans-serif" w:hAnsi="Times New Roman;sans-serif"/>
                  <w:b w:val="false"/>
                  <w:color w:val="0000FF"/>
                  <w:sz w:val="20"/>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68" w:before="0" w:after="18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federal securities law,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new subscribers and to persuade existing subscribers to renew their subscription agreements with us and to purchase additional products and services from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adequately market our products and services, and to develop additional products and product offerings;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manage our growth effectively, including through acquisitions;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failure to maintain and protect our reputation for trustworthiness and independence;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develop, and retain capable management, editors, and other key personnel;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grow market share in our existing markets or any new markets we may enter;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or weakened conditions in the financial sector, global financial markets, and global economy;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respond to and adapt to changes in technology and consumer behavior;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failure to successfully identify and integrate acquisitions, or dispose of assets and businesses;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public securities’ potential liquidity and trading;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the regulatory environment and complexities with compliance related to such environment;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future capital needs;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an effective system of internal control over financial reporting, and to address and remediate existing material weaknesses in our internal control over financial reporting;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and protect our intellectual property;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other factors detailed under the section of this report entitled “Risk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information available as of the date of this report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forward-looking statements should not be relied upon as representing our views as of any subsequent date, and we do not undertake any obligation to update forward-looking statements for any reason, except as may be required under applicable securities laws.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1—FINANCIAL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98"/>
        <w:gridCol w:w="2306"/>
        <w:gridCol w:w="2254"/>
        <w:gridCol w:w="219"/>
        <w:gridCol w:w="857"/>
        <w:gridCol w:w="112"/>
        <w:gridCol w:w="109"/>
        <w:gridCol w:w="109"/>
        <w:gridCol w:w="109"/>
        <w:gridCol w:w="235"/>
        <w:gridCol w:w="921"/>
        <w:gridCol w:w="176"/>
      </w:tblGrid>
      <w:tr>
        <w:trPr/>
        <w:tc>
          <w:tcPr>
            <w:tcW w:w="2798"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receivables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232,557 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267,841 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noncurrent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396,555 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payables,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other contract liabilities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333,903 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373,893 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 - related party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other contract liabilities, noncurrent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tax receivable agreement liability, noncurrent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628,676 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685,498 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Class A, par value of $0.0001 per share, 950,000,000 shares authorized; 38,122,283 and 36,384,981 shares issued and outstanding at March 31, 2024 and December 31, 2023, respectively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Class B, par value of $0.0001 per share, 300,000,000 shares authorized; 287,592,303 and 288,092,303 shares issued and outstanding at March 31, 2024 and December 31, 2023, respectively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par value of $0.0001 per share, 100,000,000 shares authorized; 0 shares issued and outstanding at March 31, 2024 and December 31, 2023, respectively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bl>
      <w:tblPr>
        <w:tblW w:w="7553" w:type="dxa"/>
        <w:jc w:val="left"/>
        <w:tblInd w:w="0" w:type="dxa"/>
        <w:tblLayout w:type="fixed"/>
        <w:tblCellMar>
          <w:top w:w="28" w:type="dxa"/>
          <w:left w:w="28" w:type="dxa"/>
          <w:bottom w:w="28" w:type="dxa"/>
          <w:right w:w="28" w:type="dxa"/>
        </w:tblCellMar>
      </w:tblPr>
      <w:tblGrid>
        <w:gridCol w:w="1770"/>
        <w:gridCol w:w="1555"/>
        <w:gridCol w:w="1564"/>
        <w:gridCol w:w="211"/>
        <w:gridCol w:w="826"/>
        <w:gridCol w:w="109"/>
        <w:gridCol w:w="109"/>
        <w:gridCol w:w="109"/>
        <w:gridCol w:w="109"/>
        <w:gridCol w:w="211"/>
        <w:gridCol w:w="826"/>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 attributable to MarketWise,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227"/>
        <w:gridCol w:w="1842"/>
        <w:gridCol w:w="1815"/>
        <w:gridCol w:w="341"/>
        <w:gridCol w:w="1340"/>
        <w:gridCol w:w="176"/>
        <w:gridCol w:w="176"/>
        <w:gridCol w:w="176"/>
        <w:gridCol w:w="176"/>
        <w:gridCol w:w="341"/>
        <w:gridCol w:w="1340"/>
        <w:gridCol w:w="255"/>
      </w:tblGrid>
      <w:tr>
        <w:trPr/>
        <w:tc>
          <w:tcPr>
            <w:tcW w:w="222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revenue</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 </w:t>
            </w:r>
            <w:r>
              <w:rPr>
                <w:rFonts w:ascii="Times New Roman;sans-serif" w:hAnsi="Times New Roman;sans-serif"/>
                <w:b w:val="false"/>
                <w:color w:val="000000"/>
                <w:sz w:val="13"/>
              </w:rPr>
              <w:t>(1)</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Sales and marketing </w:t>
            </w:r>
            <w:r>
              <w:rPr>
                <w:rFonts w:ascii="Times New Roman;sans-serif" w:hAnsi="Times New Roman;sans-serif"/>
                <w:b w:val="false"/>
                <w:color w:val="000000"/>
                <w:sz w:val="13"/>
              </w:rPr>
              <w:t>(1)</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General and administrative </w:t>
            </w:r>
            <w:r>
              <w:rPr>
                <w:rFonts w:ascii="Times New Roman;sans-serif" w:hAnsi="Times New Roman;sans-serif"/>
                <w:b w:val="false"/>
                <w:color w:val="000000"/>
                <w:sz w:val="13"/>
              </w:rPr>
              <w:t>(1)</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color w:val="000000"/>
              </w:rPr>
              <w:t xml:space="preserve"> </w:t>
            </w:r>
            <w:r>
              <w:rPr>
                <w:rFonts w:ascii="Times New Roman;sans-serif" w:hAnsi="Times New Roman;sans-serif"/>
                <w:b w:val="false"/>
                <w:color w:val="000000"/>
                <w:sz w:val="13"/>
              </w:rPr>
              <w:t>(1)</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30,608 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29,138 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MarketWise, Inc.</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Class A common share – basic</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Class A common share – diluted</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vAlign w:val="center"/>
          </w:tcPr>
          <w:p>
            <w:pPr>
              <w:pStyle w:val="TableContents"/>
              <w:bidi w:val="0"/>
              <w:spacing w:before="0" w:after="283"/>
              <w:jc w:val="left"/>
              <w:rPr>
                <w:sz w:val="4"/>
                <w:szCs w:val="4"/>
              </w:rPr>
            </w:pPr>
            <w:r>
              <w:rPr>
                <w:sz w:val="4"/>
                <w:szCs w:val="4"/>
              </w:rPr>
            </w:r>
          </w:p>
        </w:tc>
        <w:tc>
          <w:tcPr>
            <w:tcW w:w="4321" w:type="dxa"/>
            <w:gridSpan w:val="9"/>
            <w:tcBorders/>
          </w:tcPr>
          <w:p>
            <w:pPr>
              <w:pStyle w:val="TableContents"/>
              <w:bidi w:val="0"/>
              <w:spacing w:before="0" w:after="283"/>
              <w:jc w:val="left"/>
              <w:rPr>
                <w:sz w:val="4"/>
                <w:szCs w:val="4"/>
              </w:rPr>
            </w:pPr>
            <w:r>
              <w:rPr>
                <w:sz w:val="4"/>
                <w:szCs w:val="4"/>
              </w:rPr>
            </w:r>
          </w:p>
        </w:tc>
      </w:tr>
      <w:tr>
        <w:trPr/>
        <w:tc>
          <w:tcPr>
            <w:tcW w:w="5884"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2464" w:type="dxa"/>
            <w:gridSpan w:val="6"/>
            <w:tcBorders/>
          </w:tcPr>
          <w:p>
            <w:pPr>
              <w:pStyle w:val="TableContents"/>
              <w:bidi w:val="0"/>
              <w:spacing w:before="0" w:after="283"/>
              <w:jc w:val="left"/>
              <w:rPr>
                <w:sz w:val="4"/>
                <w:szCs w:val="4"/>
              </w:rPr>
            </w:pPr>
            <w:r>
              <w:rPr>
                <w:sz w:val="4"/>
                <w:szCs w:val="4"/>
              </w:rPr>
            </w:r>
          </w:p>
        </w:tc>
      </w:tr>
      <w:tr>
        <w:trPr/>
        <w:tc>
          <w:tcPr>
            <w:tcW w:w="5884"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r>
      <w:tr>
        <w:trPr/>
        <w:tc>
          <w:tcPr>
            <w:tcW w:w="5884"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r>
      <w:tr>
        <w:trPr/>
        <w:tc>
          <w:tcPr>
            <w:tcW w:w="5884"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r>
      <w:tr>
        <w:trPr/>
        <w:tc>
          <w:tcPr>
            <w:tcW w:w="5884"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r>
      <w:tr>
        <w:trPr/>
        <w:tc>
          <w:tcPr>
            <w:tcW w:w="5884"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r>
      <w:tr>
        <w:trPr/>
        <w:tc>
          <w:tcPr>
            <w:tcW w:w="5884"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2"/>
              </w:rPr>
              <w:t>(1)</w:t>
            </w:r>
            <w:r>
              <w:rPr>
                <w:color w:val="000000"/>
              </w:rPr>
              <w:t xml:space="preserve"> </w:t>
            </w:r>
            <w:r>
              <w:rPr>
                <w:rFonts w:ascii="Times New Roman;sans-serif" w:hAnsi="Times New Roman;sans-serif"/>
                <w:b w:val="false"/>
                <w:i/>
                <w:color w:val="000000"/>
                <w:sz w:val="18"/>
              </w:rPr>
              <w:t>Cost of revenue, sales and marketing, general and administrative, and research and development expenses are exclusive of depreciation and amortization shown as a separate line item</w:t>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5484" w:type="dxa"/>
        <w:jc w:val="left"/>
        <w:tblInd w:w="0" w:type="dxa"/>
        <w:tblLayout w:type="fixed"/>
        <w:tblCellMar>
          <w:top w:w="28" w:type="dxa"/>
          <w:left w:w="28" w:type="dxa"/>
          <w:bottom w:w="28" w:type="dxa"/>
          <w:right w:w="28" w:type="dxa"/>
        </w:tblCellMar>
      </w:tblPr>
      <w:tblGrid>
        <w:gridCol w:w="1097"/>
        <w:gridCol w:w="962"/>
        <w:gridCol w:w="971"/>
        <w:gridCol w:w="211"/>
        <w:gridCol w:w="721"/>
        <w:gridCol w:w="109"/>
        <w:gridCol w:w="109"/>
        <w:gridCol w:w="109"/>
        <w:gridCol w:w="109"/>
        <w:gridCol w:w="211"/>
        <w:gridCol w:w="721"/>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Stockholders’ Deficit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bl>
      <w:tblPr>
        <w:tblW w:w="18419" w:type="dxa"/>
        <w:jc w:val="left"/>
        <w:tblInd w:w="0" w:type="dxa"/>
        <w:tblLayout w:type="fixed"/>
        <w:tblCellMar>
          <w:top w:w="28" w:type="dxa"/>
          <w:left w:w="28" w:type="dxa"/>
          <w:bottom w:w="28" w:type="dxa"/>
          <w:right w:w="28" w:type="dxa"/>
        </w:tblCellMar>
      </w:tblPr>
      <w:tblGrid>
        <w:gridCol w:w="772"/>
        <w:gridCol w:w="244"/>
        <w:gridCol w:w="245"/>
        <w:gridCol w:w="109"/>
        <w:gridCol w:w="109"/>
        <w:gridCol w:w="165"/>
        <w:gridCol w:w="165"/>
        <w:gridCol w:w="620"/>
        <w:gridCol w:w="341"/>
        <w:gridCol w:w="166"/>
        <w:gridCol w:w="109"/>
        <w:gridCol w:w="109"/>
        <w:gridCol w:w="109"/>
        <w:gridCol w:w="333"/>
        <w:gridCol w:w="309"/>
        <w:gridCol w:w="109"/>
        <w:gridCol w:w="109"/>
        <w:gridCol w:w="109"/>
        <w:gridCol w:w="109"/>
        <w:gridCol w:w="525"/>
        <w:gridCol w:w="526"/>
        <w:gridCol w:w="211"/>
        <w:gridCol w:w="109"/>
        <w:gridCol w:w="109"/>
        <w:gridCol w:w="109"/>
        <w:gridCol w:w="231"/>
        <w:gridCol w:w="390"/>
        <w:gridCol w:w="130"/>
        <w:gridCol w:w="109"/>
        <w:gridCol w:w="109"/>
        <w:gridCol w:w="109"/>
        <w:gridCol w:w="210"/>
        <w:gridCol w:w="210"/>
        <w:gridCol w:w="211"/>
        <w:gridCol w:w="109"/>
        <w:gridCol w:w="109"/>
        <w:gridCol w:w="109"/>
        <w:gridCol w:w="256"/>
        <w:gridCol w:w="531"/>
        <w:gridCol w:w="144"/>
        <w:gridCol w:w="109"/>
        <w:gridCol w:w="109"/>
        <w:gridCol w:w="109"/>
        <w:gridCol w:w="212"/>
        <w:gridCol w:w="796"/>
        <w:gridCol w:w="118"/>
        <w:gridCol w:w="250"/>
        <w:gridCol w:w="250"/>
        <w:gridCol w:w="251"/>
        <w:gridCol w:w="242"/>
        <w:gridCol w:w="928"/>
        <w:gridCol w:w="136"/>
        <w:gridCol w:w="109"/>
        <w:gridCol w:w="109"/>
        <w:gridCol w:w="109"/>
        <w:gridCol w:w="360"/>
        <w:gridCol w:w="609"/>
        <w:gridCol w:w="202"/>
        <w:gridCol w:w="109"/>
        <w:gridCol w:w="109"/>
        <w:gridCol w:w="109"/>
        <w:gridCol w:w="255"/>
        <w:gridCol w:w="862"/>
        <w:gridCol w:w="144"/>
        <w:gridCol w:w="327"/>
        <w:gridCol w:w="217"/>
        <w:gridCol w:w="832"/>
        <w:gridCol w:w="122"/>
        <w:gridCol w:w="327"/>
        <w:gridCol w:w="196"/>
        <w:gridCol w:w="751"/>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29,039,655 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291,092,303 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(128,125)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(277,186)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873,835 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withheld to pay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29,913,490 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291,092,303 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109,925 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(126,658)</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(16,636)</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(248,028)</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(264,664)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Stockholders’ Deficit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bl>
      <w:tblPr>
        <w:tblW w:w="18569" w:type="dxa"/>
        <w:jc w:val="left"/>
        <w:tblInd w:w="0" w:type="dxa"/>
        <w:tblLayout w:type="fixed"/>
        <w:tblCellMar>
          <w:top w:w="28" w:type="dxa"/>
          <w:left w:w="28" w:type="dxa"/>
          <w:bottom w:w="28" w:type="dxa"/>
          <w:right w:w="28" w:type="dxa"/>
        </w:tblCellMar>
      </w:tblPr>
      <w:tblGrid>
        <w:gridCol w:w="922"/>
        <w:gridCol w:w="244"/>
        <w:gridCol w:w="245"/>
        <w:gridCol w:w="109"/>
        <w:gridCol w:w="109"/>
        <w:gridCol w:w="165"/>
        <w:gridCol w:w="165"/>
        <w:gridCol w:w="620"/>
        <w:gridCol w:w="341"/>
        <w:gridCol w:w="166"/>
        <w:gridCol w:w="109"/>
        <w:gridCol w:w="109"/>
        <w:gridCol w:w="109"/>
        <w:gridCol w:w="333"/>
        <w:gridCol w:w="309"/>
        <w:gridCol w:w="109"/>
        <w:gridCol w:w="109"/>
        <w:gridCol w:w="109"/>
        <w:gridCol w:w="109"/>
        <w:gridCol w:w="525"/>
        <w:gridCol w:w="526"/>
        <w:gridCol w:w="211"/>
        <w:gridCol w:w="109"/>
        <w:gridCol w:w="109"/>
        <w:gridCol w:w="109"/>
        <w:gridCol w:w="231"/>
        <w:gridCol w:w="390"/>
        <w:gridCol w:w="130"/>
        <w:gridCol w:w="109"/>
        <w:gridCol w:w="109"/>
        <w:gridCol w:w="109"/>
        <w:gridCol w:w="210"/>
        <w:gridCol w:w="210"/>
        <w:gridCol w:w="211"/>
        <w:gridCol w:w="109"/>
        <w:gridCol w:w="109"/>
        <w:gridCol w:w="109"/>
        <w:gridCol w:w="256"/>
        <w:gridCol w:w="531"/>
        <w:gridCol w:w="144"/>
        <w:gridCol w:w="109"/>
        <w:gridCol w:w="109"/>
        <w:gridCol w:w="109"/>
        <w:gridCol w:w="212"/>
        <w:gridCol w:w="796"/>
        <w:gridCol w:w="118"/>
        <w:gridCol w:w="250"/>
        <w:gridCol w:w="250"/>
        <w:gridCol w:w="251"/>
        <w:gridCol w:w="242"/>
        <w:gridCol w:w="928"/>
        <w:gridCol w:w="136"/>
        <w:gridCol w:w="109"/>
        <w:gridCol w:w="109"/>
        <w:gridCol w:w="109"/>
        <w:gridCol w:w="360"/>
        <w:gridCol w:w="609"/>
        <w:gridCol w:w="202"/>
        <w:gridCol w:w="109"/>
        <w:gridCol w:w="109"/>
        <w:gridCol w:w="109"/>
        <w:gridCol w:w="255"/>
        <w:gridCol w:w="862"/>
        <w:gridCol w:w="144"/>
        <w:gridCol w:w="327"/>
        <w:gridCol w:w="217"/>
        <w:gridCol w:w="832"/>
        <w:gridCol w:w="122"/>
        <w:gridCol w:w="327"/>
        <w:gridCol w:w="196"/>
        <w:gridCol w:w="751"/>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36,384,981 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288,092,303 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(126,343)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(277,862)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1,796,681 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withheld to pay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declared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per redemption of Class B shares for Class A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of deferred taxes due to change in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38,122,283 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287,592,303 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115,259 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(124,686)</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(9,367)</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(260,019)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(269,386)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Cash Flows (Unaudited)</w:t>
      </w:r>
    </w:p>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10134" w:type="dxa"/>
        <w:jc w:val="left"/>
        <w:tblInd w:w="0" w:type="dxa"/>
        <w:tblLayout w:type="fixed"/>
        <w:tblCellMar>
          <w:top w:w="28" w:type="dxa"/>
          <w:left w:w="28" w:type="dxa"/>
          <w:bottom w:w="28" w:type="dxa"/>
          <w:right w:w="28" w:type="dxa"/>
        </w:tblCellMar>
      </w:tblPr>
      <w:tblGrid>
        <w:gridCol w:w="2701"/>
        <w:gridCol w:w="2376"/>
        <w:gridCol w:w="2393"/>
        <w:gridCol w:w="211"/>
        <w:gridCol w:w="826"/>
        <w:gridCol w:w="109"/>
        <w:gridCol w:w="109"/>
        <w:gridCol w:w="109"/>
        <w:gridCol w:w="109"/>
        <w:gridCol w:w="211"/>
        <w:gridCol w:w="826"/>
        <w:gridCol w:w="154"/>
      </w:tblGrid>
      <w:tr>
        <w:trPr/>
        <w:tc>
          <w:tcPr>
            <w:tcW w:w="2701"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foreign currency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receivables and payables,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withheld to pay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Description of Business and Basis of Presentation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headquarters are in Baltimore, Maryland, we operate multiple subsidiaries in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Basis of Consolidation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MarketWise, Inc. and its subsidiary, MarketWise, LLC, a variable interest entity (“VIE”) for which MarketWise, Inc. is deemed to be the primary beneficiary.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condensed consolidated financial statements. As of March 31, 2024, MarketWise, Inc. had a 11.7% ownership interest in MarketWise, LLC.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MarketWise, LLC is the primary beneficiary of a VIE, and therefore, the assets, liabilities, and results of operations of that VIE are included in the Company’s consolidated financial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have been prepared in accordance with GAAP. All intercompany balances and transactions have been eliminated in consolidation.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and the related footnote disclosures have been prepared by us in accordance with GAAP for interim financial reporting and as required by Rule 10-01 of Regulation S-X. Accordingly, the unaudited condensed consolidated financial statements may not include all of the information and notes required by GAAP for audited financial statements. The year-end December 31, 2023 consolidated balance sheet data included herein was derived from audited financial statements but does not include all disclosures required by GAAP for complete financial statements. In the opinion of management, the accompanying unaudited condensed consolidated financial statements contain all adjustments, consisting of items of a normal and recurring nature, necessary to present fairly our financial position as of March 31, 2024, the results of operations, comprehensive income, stockholders’ deficit, and cash flows for the three months ended March 31, 2024 and 2023. The results of operations for the three months ended March 31, 2024 and 2023 are not necessarily indicative of the results to be expected for the full year. The information contained herein should be read in conjunction with the audited financial statements included in our Annual Report on Form 10-K for the year ended December 31, 2023 filed with the SEC. Management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condensed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financial statements include, but are not limited to, the fair value of common units, derivatives, valuation of assets acquired and liabilities assumed in business combinations, useful lives of intangible assets with definite lives, benefit period of deferred contract acquisition costs, determination of standalone selling prices, estimated life of lifetime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unaudited condensed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Noncontrolling Interest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represents the Company’s noncontrolling interest in consolidated subsidiaries which are not attributable, directly or indirectly, to the controlling Class A common stock ownership of the Company.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March 31, 2024 and 2023 was fully attributable to consolidated MarketWise, Inc. and its respective noncontrolling interests.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MarketWise, Inc.’s controlling interest in MarketWise, LLC is 11.7% and the noncontrolling interest was 88.3%. For the three months ended March 31, 2024, net income attributable to controlling interests included a $735 tax provision, which is 100% attributable to the controlling interest.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MarketWise, Inc.’s controlling interest in MarketWise, LLC was 9.3% and the noncontrolling interest was 90.7%. For the three months ended March 31, 2023 net income attributable to controlling interests included a $0.9 million tax provision, which was 100% attributable to the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Disaggregation of revenues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depicts the disaggregation of revenue according to customer type and is consistent with how we evaluate our financial performance. We believe this depicts how the nature, amount, timing and uncertainty of revenue and cash flows are affected by economic factors.</w:t>
      </w:r>
    </w:p>
    <w:tbl>
      <w:tblPr>
        <w:tblW w:w="10205" w:type="dxa"/>
        <w:jc w:val="left"/>
        <w:tblInd w:w="0" w:type="dxa"/>
        <w:tblLayout w:type="fixed"/>
        <w:tblCellMar>
          <w:top w:w="28" w:type="dxa"/>
          <w:left w:w="28" w:type="dxa"/>
          <w:bottom w:w="28" w:type="dxa"/>
          <w:right w:w="28" w:type="dxa"/>
        </w:tblCellMar>
      </w:tblPr>
      <w:tblGrid>
        <w:gridCol w:w="783"/>
        <w:gridCol w:w="591"/>
        <w:gridCol w:w="597"/>
        <w:gridCol w:w="211"/>
        <w:gridCol w:w="826"/>
        <w:gridCol w:w="109"/>
        <w:gridCol w:w="109"/>
        <w:gridCol w:w="109"/>
        <w:gridCol w:w="109"/>
        <w:gridCol w:w="253"/>
        <w:gridCol w:w="560"/>
        <w:gridCol w:w="133"/>
        <w:gridCol w:w="109"/>
        <w:gridCol w:w="109"/>
        <w:gridCol w:w="109"/>
        <w:gridCol w:w="490"/>
        <w:gridCol w:w="1083"/>
        <w:gridCol w:w="253"/>
        <w:gridCol w:w="109"/>
        <w:gridCol w:w="109"/>
        <w:gridCol w:w="109"/>
        <w:gridCol w:w="527"/>
        <w:gridCol w:w="1014"/>
        <w:gridCol w:w="273"/>
        <w:gridCol w:w="109"/>
        <w:gridCol w:w="109"/>
        <w:gridCol w:w="109"/>
        <w:gridCol w:w="211"/>
        <w:gridCol w:w="826"/>
        <w:gridCol w:w="157"/>
      </w:tblGrid>
      <w:tr>
        <w:trPr/>
        <w:tc>
          <w:tcPr>
            <w:tcW w:w="7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Timing of transfer:</w:t>
            </w:r>
          </w:p>
        </w:tc>
        <w:tc>
          <w:tcPr>
            <w:tcW w:w="8234"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 in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3"/>
        <w:gridCol w:w="591"/>
        <w:gridCol w:w="597"/>
        <w:gridCol w:w="211"/>
        <w:gridCol w:w="826"/>
        <w:gridCol w:w="109"/>
        <w:gridCol w:w="109"/>
        <w:gridCol w:w="109"/>
        <w:gridCol w:w="109"/>
        <w:gridCol w:w="253"/>
        <w:gridCol w:w="560"/>
        <w:gridCol w:w="133"/>
        <w:gridCol w:w="109"/>
        <w:gridCol w:w="109"/>
        <w:gridCol w:w="109"/>
        <w:gridCol w:w="490"/>
        <w:gridCol w:w="1083"/>
        <w:gridCol w:w="253"/>
        <w:gridCol w:w="109"/>
        <w:gridCol w:w="109"/>
        <w:gridCol w:w="109"/>
        <w:gridCol w:w="527"/>
        <w:gridCol w:w="1014"/>
        <w:gridCol w:w="273"/>
        <w:gridCol w:w="109"/>
        <w:gridCol w:w="109"/>
        <w:gridCol w:w="109"/>
        <w:gridCol w:w="211"/>
        <w:gridCol w:w="826"/>
        <w:gridCol w:w="157"/>
      </w:tblGrid>
      <w:tr>
        <w:trPr/>
        <w:tc>
          <w:tcPr>
            <w:tcW w:w="7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Timing of transfer:</w:t>
            </w:r>
          </w:p>
        </w:tc>
        <w:tc>
          <w:tcPr>
            <w:tcW w:w="8234"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 in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recognition by subscription type was as follows:</w:t>
      </w:r>
    </w:p>
    <w:tbl>
      <w:tblPr>
        <w:tblW w:w="4928" w:type="dxa"/>
        <w:jc w:val="left"/>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Membership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the Membership and Term subscription types are determined based on the terms of the subscription agreements. Non-subscription revenue consists of revenue from advertising and other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by principal geographic areas was as follows:</w:t>
      </w:r>
    </w:p>
    <w:tbl>
      <w:tblPr>
        <w:tblW w:w="3863"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location is determined by the billing entity for the customer.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revenue recognition, billings, cash collections and refunds affects the recognition of accounts receivable, contract assets and deferred revenue. Our current deferred revenue balance in the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sheets includes an obligation for refunds for contracts where the provision for refund has not lapsed. Accounts receivable, deferred revenue and obligation for refunds are as follows:</w:t>
      </w:r>
    </w:p>
    <w:tbl>
      <w:tblPr>
        <w:tblW w:w="5770" w:type="dxa"/>
        <w:jc w:val="left"/>
        <w:tblInd w:w="0" w:type="dxa"/>
        <w:tblLayout w:type="fixed"/>
        <w:tblCellMar>
          <w:top w:w="28" w:type="dxa"/>
          <w:left w:w="28" w:type="dxa"/>
          <w:bottom w:w="28" w:type="dxa"/>
          <w:right w:w="28" w:type="dxa"/>
        </w:tblCellMar>
      </w:tblPr>
      <w:tblGrid>
        <w:gridCol w:w="956"/>
        <w:gridCol w:w="840"/>
        <w:gridCol w:w="844"/>
        <w:gridCol w:w="232"/>
        <w:gridCol w:w="908"/>
        <w:gridCol w:w="119"/>
        <w:gridCol w:w="109"/>
        <w:gridCol w:w="109"/>
        <w:gridCol w:w="109"/>
        <w:gridCol w:w="273"/>
        <w:gridCol w:w="1072"/>
        <w:gridCol w:w="19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balances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for refunds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current</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284,594 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non-current</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304,342 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$92,561 and $104,035 of revenue during the three months ended March 31, 2024 and 2023, respectively, that was included within the beginning contract liability balance of the respective periods. The Company has collected all amounts included in deferred revenue other than $3,350 and $4,528 as of March 31, 2024 and December 31, 2023, respectively, related to the timing of cash settlement with our credit card processor.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Assets Recognized from Costs to Obtain a Contract with a Customer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opening and closing balances of our capitalized costs associated with contracts with customers:</w:t>
      </w:r>
    </w:p>
    <w:tbl>
      <w:tblPr>
        <w:tblW w:w="5795" w:type="dxa"/>
        <w:jc w:val="left"/>
        <w:tblInd w:w="0" w:type="dxa"/>
        <w:tblLayout w:type="fixed"/>
        <w:tblCellMar>
          <w:top w:w="28" w:type="dxa"/>
          <w:left w:w="28" w:type="dxa"/>
          <w:bottom w:w="28" w:type="dxa"/>
          <w:right w:w="28" w:type="dxa"/>
        </w:tblCellMar>
      </w:tblPr>
      <w:tblGrid>
        <w:gridCol w:w="1669"/>
        <w:gridCol w:w="1462"/>
        <w:gridCol w:w="1473"/>
        <w:gridCol w:w="211"/>
        <w:gridCol w:w="826"/>
        <w:gridCol w:w="154"/>
      </w:tblGrid>
      <w:tr>
        <w:trPr/>
        <w:tc>
          <w:tcPr>
            <w:tcW w:w="166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and sales commissions – 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share and cost per acquisition fees – additions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recognize any impairment on capitalized costs associated with contracts with customers for the three months ended March 31, 2024 and 2023.</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$565,545 of remaining performance obligations presented as deferred revenue in the condensed consolidated balance sheets. We expect to recognize approximately 50% of that amount as revenues over the next twelve months, with the remainder recognized thereafter.</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Legacy Reorganization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8, 2024, the Company reported that its Board of Directors had committed to a strategic realignment and reorganization (the “Reorganization”) whereby the Company will wind-down the operations of its Legacy Research Group business (“Legacy Research”) in response to misconduct discovered at Legacy Research where certain managers violated the Company’s policies.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commitment to the Reorganization, Legacy Research began to significantly curtail business activities including any marketing efforts to acquire new subscribers, but continued to serve existing subscribers and fulfill existing subscriptions during the first quarter of 2024. At the time of the announcement, there were 104 employees at Legacy Research, which represented approximately 18% of the Company’s total employees. As of March 31, 2024, 12 employees were either terminated or resigned, and separation costs incurred in the three months ended March 31, 2024 totaled approximately $200. As of March 31, 2024, the Company was still evaluating a range of potential actions related to the Reorganization, including the sale of certain Legacy Research assets to other businesses within MarketWise, and actions with respect to the remaining employees, and had not approved any such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Legacy Research has leased office space and the current lease end date for this property is December 2028. As of March 31, 2024, the operating lease right-of-use asset and related leasehold improvements totaled approximately $2.9 million. The Company was still using this property in its operations, and evaluating various future alternatives with respect to this property as of March 31,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the Reorganization will be completed in the first half of fiscal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Acquisitions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MMP Acquisition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2024, we acquired 100% ownership of certain assets and liabilities from Money Map Press, LLC (“MMP Acquisition”), a provider of financial newsletters, which is a related party. The Company will pay contingent consideration based on the level of subscription sales it achieves from certain customers beginning from the sale date through January 1, 2026, as defined in the sale agreement. The fair value of the contingent consideration was estimated to be $707. The contingent consideration will be remeasured at the end of each reporting period. The MMP Acquisition was accounted for using the acquisition method of accounting for business combinations. The purchase price allocation is preliminary pending completion of valuations of certain acquired assets and liabilities. The following table summarizes the fair value of assets acquired and liabilities assumed as of the acquisition date: </w:t>
      </w:r>
    </w:p>
    <w:tbl>
      <w:tblPr>
        <w:tblW w:w="3455" w:type="dxa"/>
        <w:jc w:val="left"/>
        <w:tblInd w:w="0" w:type="dxa"/>
        <w:tblLayout w:type="fixed"/>
        <w:tblCellMar>
          <w:top w:w="28" w:type="dxa"/>
          <w:left w:w="28" w:type="dxa"/>
          <w:bottom w:w="28" w:type="dxa"/>
          <w:right w:w="28" w:type="dxa"/>
        </w:tblCellMar>
      </w:tblPr>
      <w:tblGrid>
        <w:gridCol w:w="896"/>
        <w:gridCol w:w="784"/>
        <w:gridCol w:w="794"/>
        <w:gridCol w:w="211"/>
        <w:gridCol w:w="61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purchase consideration over the fair values of assets acquired and liabilities assumed was recorded as goodwill. The acquired intangible assets related to the MMP Acquisition are amortized over their estimated useful lives. Accordingly, the tradenames are amortized over 8.7 years and customer relationships are amortized over 6.2 years. Amortization for the acquired intangible assets was $97 for the three months ended March 31, 2024.</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Goodwill and Intangible Assets, Net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goodwill are as follows:</w:t>
      </w:r>
    </w:p>
    <w:tbl>
      <w:tblPr>
        <w:tblW w:w="3395" w:type="dxa"/>
        <w:jc w:val="left"/>
        <w:tblInd w:w="0" w:type="dxa"/>
        <w:tblLayout w:type="fixed"/>
        <w:tblCellMar>
          <w:top w:w="28" w:type="dxa"/>
          <w:left w:w="28" w:type="dxa"/>
          <w:bottom w:w="28" w:type="dxa"/>
          <w:right w:w="28" w:type="dxa"/>
        </w:tblCellMar>
      </w:tblPr>
      <w:tblGrid>
        <w:gridCol w:w="837"/>
        <w:gridCol w:w="733"/>
        <w:gridCol w:w="73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MMP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as of the dates indicated:</w:t>
      </w:r>
    </w:p>
    <w:tbl>
      <w:tblPr>
        <w:tblW w:w="10205" w:type="dxa"/>
        <w:jc w:val="left"/>
        <w:tblInd w:w="0" w:type="dxa"/>
        <w:tblLayout w:type="fixed"/>
        <w:tblCellMar>
          <w:top w:w="28" w:type="dxa"/>
          <w:left w:w="28" w:type="dxa"/>
          <w:bottom w:w="28" w:type="dxa"/>
          <w:right w:w="28" w:type="dxa"/>
        </w:tblCellMar>
      </w:tblPr>
      <w:tblGrid>
        <w:gridCol w:w="997"/>
        <w:gridCol w:w="760"/>
        <w:gridCol w:w="764"/>
        <w:gridCol w:w="211"/>
        <w:gridCol w:w="721"/>
        <w:gridCol w:w="109"/>
        <w:gridCol w:w="109"/>
        <w:gridCol w:w="109"/>
        <w:gridCol w:w="109"/>
        <w:gridCol w:w="315"/>
        <w:gridCol w:w="1174"/>
        <w:gridCol w:w="162"/>
        <w:gridCol w:w="109"/>
        <w:gridCol w:w="109"/>
        <w:gridCol w:w="109"/>
        <w:gridCol w:w="250"/>
        <w:gridCol w:w="733"/>
        <w:gridCol w:w="129"/>
        <w:gridCol w:w="109"/>
        <w:gridCol w:w="109"/>
        <w:gridCol w:w="109"/>
        <w:gridCol w:w="847"/>
        <w:gridCol w:w="847"/>
        <w:gridCol w:w="1205"/>
      </w:tblGrid>
      <w:tr>
        <w:trPr/>
        <w:tc>
          <w:tcPr>
            <w:tcW w:w="99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 (in years)</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Internet domain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(16,210)</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44"/>
        <w:gridCol w:w="754"/>
        <w:gridCol w:w="757"/>
        <w:gridCol w:w="211"/>
        <w:gridCol w:w="721"/>
        <w:gridCol w:w="109"/>
        <w:gridCol w:w="109"/>
        <w:gridCol w:w="109"/>
        <w:gridCol w:w="109"/>
        <w:gridCol w:w="313"/>
        <w:gridCol w:w="1168"/>
        <w:gridCol w:w="161"/>
        <w:gridCol w:w="109"/>
        <w:gridCol w:w="109"/>
        <w:gridCol w:w="109"/>
        <w:gridCol w:w="250"/>
        <w:gridCol w:w="732"/>
        <w:gridCol w:w="129"/>
        <w:gridCol w:w="109"/>
        <w:gridCol w:w="109"/>
        <w:gridCol w:w="109"/>
        <w:gridCol w:w="841"/>
        <w:gridCol w:w="841"/>
        <w:gridCol w:w="1193"/>
      </w:tblGrid>
      <w:tr>
        <w:trPr/>
        <w:tc>
          <w:tcPr>
            <w:tcW w:w="104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 (in years)</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Cryptocurrencies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Internet domain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(15,577)</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amortization expense related to finite-lived intangible assets of $633 and $914 for the three months ended March 31, 2024 and 2023, respectively, within depreciation and amortization in the accompanying condensed consolidated statement of operations. These amounts include amortization of capitalized software development costs of $264 and $143 for the three months ended March 31, 2024 and 2023, respectively.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additions to capitalized software development costs of $297 and $382 for the three months ended March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total expected future amortization expense for finite-lived intangible assets is as follows: </w:t>
      </w:r>
    </w:p>
    <w:tbl>
      <w:tblPr>
        <w:tblW w:w="3800" w:type="dxa"/>
        <w:jc w:val="left"/>
        <w:tblInd w:w="0" w:type="dxa"/>
        <w:tblLayout w:type="fixed"/>
        <w:tblCellMar>
          <w:top w:w="28" w:type="dxa"/>
          <w:left w:w="28" w:type="dxa"/>
          <w:bottom w:w="28" w:type="dxa"/>
          <w:right w:w="28" w:type="dxa"/>
        </w:tblCellMar>
      </w:tblPr>
      <w:tblGrid>
        <w:gridCol w:w="1020"/>
        <w:gridCol w:w="896"/>
        <w:gridCol w:w="903"/>
        <w:gridCol w:w="211"/>
        <w:gridCol w:w="61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Fair Value Measurements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our financial assets and liabilities measured at fair value on a recurring basis by level within the fair value hierarchy as of the dates indicated: </w:t>
      </w:r>
    </w:p>
    <w:tbl>
      <w:tblPr>
        <w:tblW w:w="8619" w:type="dxa"/>
        <w:jc w:val="left"/>
        <w:tblInd w:w="0" w:type="dxa"/>
        <w:tblLayout w:type="fixed"/>
        <w:tblCellMar>
          <w:top w:w="28" w:type="dxa"/>
          <w:left w:w="28" w:type="dxa"/>
          <w:bottom w:w="28" w:type="dxa"/>
          <w:right w:w="28" w:type="dxa"/>
        </w:tblCellMar>
      </w:tblPr>
      <w:tblGrid>
        <w:gridCol w:w="1116"/>
        <w:gridCol w:w="980"/>
        <w:gridCol w:w="994"/>
        <w:gridCol w:w="211"/>
        <w:gridCol w:w="826"/>
        <w:gridCol w:w="109"/>
        <w:gridCol w:w="109"/>
        <w:gridCol w:w="109"/>
        <w:gridCol w:w="109"/>
        <w:gridCol w:w="211"/>
        <w:gridCol w:w="406"/>
        <w:gridCol w:w="109"/>
        <w:gridCol w:w="109"/>
        <w:gridCol w:w="109"/>
        <w:gridCol w:w="109"/>
        <w:gridCol w:w="211"/>
        <w:gridCol w:w="616"/>
        <w:gridCol w:w="109"/>
        <w:gridCol w:w="109"/>
        <w:gridCol w:w="109"/>
        <w:gridCol w:w="109"/>
        <w:gridCol w:w="308"/>
        <w:gridCol w:w="1207"/>
        <w:gridCol w:w="225"/>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5529" w:type="dxa"/>
            <w:gridSpan w:val="21"/>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116,533 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5529" w:type="dxa"/>
            <w:gridSpan w:val="21"/>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Profits interests,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69" w:type="dxa"/>
        <w:jc w:val="left"/>
        <w:tblInd w:w="0" w:type="dxa"/>
        <w:tblLayout w:type="fixed"/>
        <w:tblCellMar>
          <w:top w:w="28" w:type="dxa"/>
          <w:left w:w="28" w:type="dxa"/>
          <w:bottom w:w="28" w:type="dxa"/>
          <w:right w:w="28" w:type="dxa"/>
        </w:tblCellMar>
      </w:tblPr>
      <w:tblGrid>
        <w:gridCol w:w="1116"/>
        <w:gridCol w:w="980"/>
        <w:gridCol w:w="994"/>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308"/>
        <w:gridCol w:w="1207"/>
        <w:gridCol w:w="225"/>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5379" w:type="dxa"/>
            <w:gridSpan w:val="21"/>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5379" w:type="dxa"/>
            <w:gridSpan w:val="21"/>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Profits interests,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20"/>
        </w:rPr>
        <w:t xml:space="preserve">The level 3 assets relate to contingent consideration receivable from a related party associated with the Buttonwood Publishing sale, see </w:t>
      </w:r>
      <w:r>
        <w:rPr>
          <w:rFonts w:ascii="Times New Roman;sans-serif" w:hAnsi="Times New Roman;sans-serif"/>
          <w:b w:val="false"/>
          <w:i/>
          <w:color w:val="000000"/>
          <w:sz w:val="20"/>
        </w:rPr>
        <w:t>Note 4 - Acquisitions and Disposals</w:t>
      </w:r>
      <w:r>
        <w:rPr>
          <w:color w:val="000000"/>
        </w:rPr>
        <w:t xml:space="preserve"> </w:t>
      </w:r>
      <w:r>
        <w:rPr>
          <w:rFonts w:ascii="Times New Roman;sans-serif" w:hAnsi="Times New Roman;sans-serif"/>
          <w:b w:val="false"/>
          <w:color w:val="000000"/>
          <w:sz w:val="20"/>
        </w:rPr>
        <w:t xml:space="preserve">in our Annual Report on Form 10-K for the year ended December 31, 2023, and the level 3 liabilities relate to contingent consideration liability to a related party associated with the MMP Acquisition and profits interests, see </w:t>
      </w:r>
      <w:r>
        <w:rPr>
          <w:rFonts w:ascii="Times New Roman;sans-serif" w:hAnsi="Times New Roman;sans-serif"/>
          <w:b w:val="false"/>
          <w:i/>
          <w:color w:val="000000"/>
          <w:sz w:val="20"/>
        </w:rPr>
        <w:t>Note 5 - Acquisitions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9 – Stock-Based Compensation</w:t>
      </w:r>
      <w:r>
        <w:rPr>
          <w:rFonts w:ascii="Times New Roman;sans-serif" w:hAnsi="Times New Roman;sans-serif"/>
          <w:b w:val="false"/>
          <w:color w:val="000000"/>
          <w:sz w:val="20"/>
        </w:rPr>
        <w:t>, respectively</w:t>
      </w:r>
      <w:r>
        <w:rPr>
          <w:rFonts w:ascii="Times New Roman;sans-serif" w:hAnsi="Times New Roman;sans-serif"/>
          <w:b w:val="false"/>
          <w:i/>
          <w:color w:val="000000"/>
          <w:sz w:val="20"/>
        </w:rPr>
        <w:t>.</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quantitative information regarding the recurring Level 3 fair value measurements inputs for the contingent consideration receivable, profits interests, and contingent consideration liability at their measurement dates:</w:t>
      </w:r>
    </w:p>
    <w:tbl>
      <w:tblPr>
        <w:tblW w:w="4484" w:type="dxa"/>
        <w:jc w:val="left"/>
        <w:tblInd w:w="0" w:type="dxa"/>
        <w:tblLayout w:type="fixed"/>
        <w:tblCellMar>
          <w:top w:w="28" w:type="dxa"/>
          <w:left w:w="28" w:type="dxa"/>
          <w:bottom w:w="28" w:type="dxa"/>
          <w:right w:w="28" w:type="dxa"/>
        </w:tblCellMar>
      </w:tblPr>
      <w:tblGrid>
        <w:gridCol w:w="1151"/>
        <w:gridCol w:w="1012"/>
        <w:gridCol w:w="1017"/>
        <w:gridCol w:w="264"/>
        <w:gridCol w:w="264"/>
        <w:gridCol w:w="776"/>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Contingent consideration receivable</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discount rate</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Profits interests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for lack of marketability</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Contingent consideration liability</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no derivative liabilities as during the three months ended March 31, 2024. The following table summarizes the change in fair value of the derivative liabilities during the three months ended March 31, 2023:</w:t>
      </w:r>
    </w:p>
    <w:tbl>
      <w:tblPr>
        <w:tblW w:w="4821" w:type="dxa"/>
        <w:jc w:val="left"/>
        <w:tblInd w:w="0" w:type="dxa"/>
        <w:tblLayout w:type="fixed"/>
        <w:tblCellMar>
          <w:top w:w="28" w:type="dxa"/>
          <w:left w:w="28" w:type="dxa"/>
          <w:bottom w:w="28" w:type="dxa"/>
          <w:right w:w="28" w:type="dxa"/>
        </w:tblCellMar>
      </w:tblPr>
      <w:tblGrid>
        <w:gridCol w:w="1392"/>
        <w:gridCol w:w="1219"/>
        <w:gridCol w:w="1229"/>
        <w:gridCol w:w="211"/>
        <w:gridCol w:w="61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Balance Sheet Components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Capitalized Implementation Costs</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We capitalized cloud computing implementation costs for customer-relationship management, revenue management, and enterprise resource planning systems </w:t>
      </w:r>
      <w:r>
        <w:rPr>
          <w:rFonts w:ascii="Times New Roman;sans-serif" w:hAnsi="Times New Roman;sans-serif"/>
          <w:b w:val="false"/>
          <w:color w:val="000000"/>
          <w:sz w:val="20"/>
        </w:rPr>
        <w:t>of</w:t>
      </w:r>
      <w:r>
        <w:rPr>
          <w:color w:val="000000"/>
          <w:shd w:fill="FFFFFF" w:val="clear"/>
        </w:rPr>
        <w:t xml:space="preserve"> </w:t>
      </w:r>
      <w:r>
        <w:rPr>
          <w:rFonts w:ascii="Times New Roman;sans-serif" w:hAnsi="Times New Roman;sans-serif"/>
          <w:b w:val="false"/>
          <w:color w:val="000000"/>
          <w:sz w:val="20"/>
        </w:rPr>
        <w:t>$0</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$5</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March 31, 2024 and 2023</w:t>
      </w:r>
      <w:r>
        <w:rPr>
          <w:rFonts w:ascii="Times New Roman;sans-serif" w:hAnsi="Times New Roman;sans-serif"/>
          <w:b w:val="false"/>
          <w:color w:val="000000"/>
          <w:sz w:val="20"/>
          <w:shd w:fill="FFFFFF" w:val="clear"/>
        </w:rPr>
        <w:t xml:space="preserve">, respectively. The capitalized implementation costs are capitalized within other current assets and other assets on the condensed consolidated balance sheets. Amortization expense related to capitalized cloud computing implementation costs was </w:t>
      </w:r>
      <w:r>
        <w:rPr>
          <w:rFonts w:ascii="Times New Roman;sans-serif" w:hAnsi="Times New Roman;sans-serif"/>
          <w:b w:val="false"/>
          <w:color w:val="000000"/>
          <w:sz w:val="20"/>
        </w:rPr>
        <w:t>$238</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$222 fo</w:t>
      </w:r>
      <w:r>
        <w:rPr>
          <w:rFonts w:ascii="Times New Roman;sans-serif" w:hAnsi="Times New Roman;sans-serif"/>
          <w:b w:val="false"/>
          <w:color w:val="000000"/>
          <w:sz w:val="20"/>
          <w:shd w:fill="FFFFFF" w:val="clear"/>
        </w:rPr>
        <w:t xml:space="preserve">r the </w:t>
      </w:r>
      <w:r>
        <w:rPr>
          <w:rFonts w:ascii="Times New Roman;sans-serif" w:hAnsi="Times New Roman;sans-serif"/>
          <w:b w:val="false"/>
          <w:color w:val="000000"/>
          <w:sz w:val="20"/>
        </w:rPr>
        <w:t>three months ended March 31, 2024 and 2023</w:t>
      </w:r>
      <w:r>
        <w:rPr>
          <w:rFonts w:ascii="Times New Roman;sans-serif" w:hAnsi="Times New Roman;sans-serif"/>
          <w:b w:val="false"/>
          <w:color w:val="000000"/>
          <w:sz w:val="20"/>
          <w:shd w:fill="FFFFFF" w:val="clear"/>
        </w:rPr>
        <w:t>,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tbl>
      <w:tblPr>
        <w:tblW w:w="10205" w:type="dxa"/>
        <w:jc w:val="left"/>
        <w:tblInd w:w="0" w:type="dxa"/>
        <w:tblLayout w:type="fixed"/>
        <w:tblCellMar>
          <w:top w:w="28" w:type="dxa"/>
          <w:left w:w="28" w:type="dxa"/>
          <w:bottom w:w="28" w:type="dxa"/>
          <w:right w:w="28" w:type="dxa"/>
        </w:tblCellMar>
      </w:tblPr>
      <w:tblGrid>
        <w:gridCol w:w="1267"/>
        <w:gridCol w:w="1007"/>
        <w:gridCol w:w="1014"/>
        <w:gridCol w:w="1214"/>
        <w:gridCol w:w="1183"/>
        <w:gridCol w:w="1186"/>
        <w:gridCol w:w="109"/>
        <w:gridCol w:w="109"/>
        <w:gridCol w:w="109"/>
        <w:gridCol w:w="299"/>
        <w:gridCol w:w="662"/>
        <w:gridCol w:w="154"/>
        <w:gridCol w:w="109"/>
        <w:gridCol w:w="109"/>
        <w:gridCol w:w="109"/>
        <w:gridCol w:w="346"/>
        <w:gridCol w:w="768"/>
        <w:gridCol w:w="181"/>
        <w:gridCol w:w="109"/>
        <w:gridCol w:w="161"/>
      </w:tblGrid>
      <w:tr>
        <w:trPr/>
        <w:tc>
          <w:tcPr>
            <w:tcW w:w="126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software and equipment</w:t>
            </w:r>
          </w:p>
        </w:tc>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estimated useful life or remaining term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property and equipment was $60 and $70 for the three months ended March 31, 2024 and 2023, respectively.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w:t>
      </w:r>
    </w:p>
    <w:tbl>
      <w:tblPr>
        <w:tblW w:w="6506" w:type="dxa"/>
        <w:jc w:val="left"/>
        <w:tblInd w:w="0" w:type="dxa"/>
        <w:tblLayout w:type="fixed"/>
        <w:tblCellMar>
          <w:top w:w="28" w:type="dxa"/>
          <w:left w:w="28" w:type="dxa"/>
          <w:bottom w:w="28" w:type="dxa"/>
          <w:right w:w="28" w:type="dxa"/>
        </w:tblCellMar>
      </w:tblPr>
      <w:tblGrid>
        <w:gridCol w:w="1223"/>
        <w:gridCol w:w="1073"/>
        <w:gridCol w:w="1078"/>
        <w:gridCol w:w="255"/>
        <w:gridCol w:w="873"/>
        <w:gridCol w:w="132"/>
        <w:gridCol w:w="109"/>
        <w:gridCol w:w="109"/>
        <w:gridCol w:w="109"/>
        <w:gridCol w:w="300"/>
        <w:gridCol w:w="1026"/>
        <w:gridCol w:w="219"/>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variable compensation</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benefits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Included within cost of revenue, sales and marketing, and general and administrative expenses are total stock-based compensation expenses as follows:</w:t>
      </w:r>
    </w:p>
    <w:tbl>
      <w:tblPr>
        <w:tblW w:w="5889" w:type="dxa"/>
        <w:jc w:val="left"/>
        <w:tblInd w:w="0" w:type="dxa"/>
        <w:tblLayout w:type="fixed"/>
        <w:tblCellMar>
          <w:top w:w="28" w:type="dxa"/>
          <w:left w:w="28" w:type="dxa"/>
          <w:bottom w:w="28" w:type="dxa"/>
          <w:right w:w="28" w:type="dxa"/>
        </w:tblCellMar>
      </w:tblPr>
      <w:tblGrid>
        <w:gridCol w:w="1247"/>
        <w:gridCol w:w="1099"/>
        <w:gridCol w:w="1104"/>
        <w:gridCol w:w="229"/>
        <w:gridCol w:w="671"/>
        <w:gridCol w:w="118"/>
        <w:gridCol w:w="118"/>
        <w:gridCol w:w="118"/>
        <w:gridCol w:w="118"/>
        <w:gridCol w:w="229"/>
        <w:gridCol w:w="671"/>
        <w:gridCol w:w="167"/>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 based-compensation expense</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for the three months ended March 31, 2024 and 2023 includes expenses related to our 2021 Incentive Award Plan, our ESPP and profits interests, as follows:</w:t>
      </w:r>
    </w:p>
    <w:tbl>
      <w:tblPr>
        <w:tblW w:w="5889" w:type="dxa"/>
        <w:jc w:val="left"/>
        <w:tblInd w:w="0" w:type="dxa"/>
        <w:tblLayout w:type="fixed"/>
        <w:tblCellMar>
          <w:top w:w="28" w:type="dxa"/>
          <w:left w:w="28" w:type="dxa"/>
          <w:bottom w:w="28" w:type="dxa"/>
          <w:right w:w="28" w:type="dxa"/>
        </w:tblCellMar>
      </w:tblPr>
      <w:tblGrid>
        <w:gridCol w:w="1250"/>
        <w:gridCol w:w="1099"/>
        <w:gridCol w:w="1101"/>
        <w:gridCol w:w="229"/>
        <w:gridCol w:w="671"/>
        <w:gridCol w:w="118"/>
        <w:gridCol w:w="118"/>
        <w:gridCol w:w="118"/>
        <w:gridCol w:w="118"/>
        <w:gridCol w:w="229"/>
        <w:gridCol w:w="671"/>
        <w:gridCol w:w="167"/>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Incentive Award Plan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Profits interests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2021 Incentive Award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granted 955,035 restricted stock units (“RSUs”) to certain employees and service providers in aggregate under our 2021 Incentive Award Plan.</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For employees and service providers, both RSUs and stock appreciation rights (“SARs”) are primarily time 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the Company’s Class A common stock. The SARs will be settled in the Company’s Class A common stock upon exercise. The shares to be issued upon exercise will have a total market value equal to the SAR value calculated as (x) number of shares underlying SAR, multiplied by (y) any excess of the Company’s share value on the date of exercise over the exercise price set in each individual grant notice.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RSU is the same as the Company’s share price on the date of grant. The fair value of the SARs was determined using a Black-Scholes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activities of the RSUs and SARs and the related weighted average grant-date fair value of the respective share classes are summarized as follows, including granted, exercised and forfeited from January 1, 2024 to March 31, 2024.</w:t>
      </w:r>
    </w:p>
    <w:tbl>
      <w:tblPr>
        <w:tblW w:w="10205" w:type="dxa"/>
        <w:jc w:val="left"/>
        <w:tblInd w:w="0" w:type="dxa"/>
        <w:tblLayout w:type="fixed"/>
        <w:tblCellMar>
          <w:top w:w="28" w:type="dxa"/>
          <w:left w:w="28" w:type="dxa"/>
          <w:bottom w:w="28" w:type="dxa"/>
          <w:right w:w="28" w:type="dxa"/>
        </w:tblCellMar>
      </w:tblPr>
      <w:tblGrid>
        <w:gridCol w:w="717"/>
        <w:gridCol w:w="629"/>
        <w:gridCol w:w="631"/>
        <w:gridCol w:w="109"/>
        <w:gridCol w:w="109"/>
        <w:gridCol w:w="509"/>
        <w:gridCol w:w="511"/>
        <w:gridCol w:w="161"/>
        <w:gridCol w:w="109"/>
        <w:gridCol w:w="109"/>
        <w:gridCol w:w="109"/>
        <w:gridCol w:w="591"/>
        <w:gridCol w:w="1433"/>
        <w:gridCol w:w="307"/>
        <w:gridCol w:w="109"/>
        <w:gridCol w:w="109"/>
        <w:gridCol w:w="109"/>
        <w:gridCol w:w="488"/>
        <w:gridCol w:w="488"/>
        <w:gridCol w:w="161"/>
        <w:gridCol w:w="109"/>
        <w:gridCol w:w="109"/>
        <w:gridCol w:w="109"/>
        <w:gridCol w:w="572"/>
        <w:gridCol w:w="1386"/>
        <w:gridCol w:w="422"/>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SARs</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7,740,261 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1,586,184 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 or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(1,796,681)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6,721,950 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1,485,901 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Exercisable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761,219 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4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stock compensation expense related to the RSU and SAR grants was $2,087 and $3,603 for the three months ended March 31, 2024 and 2023, respectively. As of March 31, 2024, 761,219 SARs were exercisable and they have a remaining contractual term of 7.3 years.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$89 and $100 of stock-based compensation expense related to the Employee Stock Purchase Plan ("ESPP”) during the three months ended three months ended March 31, 2024 and 2023, respectively. As of March 31, 2024, $189 has been withheld on behalf of employees for the June 30, 2024 purchase date.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Profits Interests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$1,632 of stock-based compensation expense related to the profits interests during the three months ended March 31, 2024.</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for the three months ended March 31, 2024 and 2023:</w:t>
      </w:r>
    </w:p>
    <w:tbl>
      <w:tblPr>
        <w:tblW w:w="7194" w:type="dxa"/>
        <w:jc w:val="left"/>
        <w:tblInd w:w="0" w:type="dxa"/>
        <w:tblLayout w:type="fixed"/>
        <w:tblCellMar>
          <w:top w:w="28" w:type="dxa"/>
          <w:left w:w="28" w:type="dxa"/>
          <w:bottom w:w="28" w:type="dxa"/>
          <w:right w:w="28" w:type="dxa"/>
        </w:tblCellMar>
      </w:tblPr>
      <w:tblGrid>
        <w:gridCol w:w="1716"/>
        <w:gridCol w:w="1507"/>
        <w:gridCol w:w="1517"/>
        <w:gridCol w:w="211"/>
        <w:gridCol w:w="721"/>
        <w:gridCol w:w="109"/>
        <w:gridCol w:w="109"/>
        <w:gridCol w:w="109"/>
        <w:gridCol w:w="109"/>
        <w:gridCol w:w="211"/>
        <w:gridCol w:w="721"/>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(in thousands)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(in thousands)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potentially dilutive securities and their impact on the computation of diluted earnings per share is as follows: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Sponsor and MarketWise Management Member Earnout Shares: the 3,051,000 Sponsor Earnout Shares and the 2,000,000 MarketWise Management Member Earnout Shares (as defined and discussed in our Current Report on Form 8-K filed with the SEC on July 28, 2021) held in escrow are excluded from the earnings per share computation in both periods since the earnout contingency has not been met.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Restricted stock units: The basic earnings per share calculation includes the impact of vested RSUs. The diluted earnings per share calculation includes the impact of unvested RSUs, where the impact is dilutive, unless the Company has a net loss.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Stock appreciation rights: The diluted earnings per share calculation excludes the impact of SARs since the effect was antidilutive.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ESPP: The diluted earnings per share calculation includes the impact of dilutive shares and excludes the impact of antidilutive shares under the ESPP as of March 31, 2024 and 2023.</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U.S. federal and state taxes with respect to our allocable share of any taxable income or loss of MarketWise, LLC, as well as any stand-alone income or loss we generate. MarketWise, LLC is treated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partnership for U.S. income tax purposes and for most applicable state and local income tax purposes and generally does not pay income taxes in most jurisdictions. Instead, MarketWise, LLC’s taxable income or loss is passed through to its members, including us.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income tax rate was 3.1% and 2.9% for the three months ended March 31, 2024 and 2023, respectively. The main driver of the rate for the three months ended March 31, 2023 was the income allocation to the non-controlling interest. The main driver of the increase in the effective tax rate from the three months ended March 31, 2023 is the change in the income allocation to the non-controlling interest. Our effective tax rate for the three months ended March 31, 2024 differs from the U.S. federal statutory rate primarily because we generally do not record income taxes for the noncontrolling portion of pre-tax income.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reverse capitalization in 2021,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evaluating the need for a valuation allowance on the deferred tax asset, the company considered positive evidence related to its historic earnings, forecasted income and reversal of temporary differences. Therefore, the Company recorded a valuation allowance in the amount of $29,869 for certain deferred tax assets that are not more likely than not to be realized.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Transactions, we entered into Tax Receivable Agreements (“TRAs”) with certain shareholders. Pursuant to our election under Section 754 of the Code,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will represent approximately 85% of the calculated tax savings based on basis adjustments and other carryforward attributes assumed that we anticipate to be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three months ended March 31, 2024, Members of MarketWise, LLC exchanged an aggregate of 500,000 common units of MarketWise, LLC (“LLC Units”) together with an equal number of shares of Class B common stock for 500,000 newly-issued shares of Class A common stock. As a result, we have recorded a cumulative liability of $2,470 under the TRA as of March 31, 2024. No payments have been made under the TRA and no payments are expected in the next 12 months.</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xml:space="preserve">, we had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unrecognized tax positions and believe there will be no changes to uncertain tax positions within the next 12 months.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Related Party Transactions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certain revenue share agreements with related parties. Accordingly, we recognized revenue from related parties of $379 and $618 for the three months ended March 31, 2024 and 2023,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also incurred revenue share expenses paid to related parties of $1,306 and $1,152 which were capitalized as contract origination costs for the three months ended March 31, 2024 and 2023,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related party provided call center support and other services to the Company for which we recorded an expense within cost of revenue of $134 and $136 for the three months ended March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related party provided marketing and copywriting services to the Company for which we recorded an expense within cost of revenue of $0 and $253 for the three months ended March 31, 2024 and 2023,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related party also provided certain corporate functions to MarketWise and the costs of these services are charged to MarketWise. We recorded $23 and $27 for the three months ended March 31, 2024 and 2023, respectively, within related party expense in the accompanying condensed consolidated statement of operations. We held balances of $563 and $1,220 as of March 31, 2024 and December 31, 2023 of related party payables related to revenue share expenses, call center support, and the services noted above. The balances with our related party are presented net and are included in related party payables, net in the condensed consolidated balance sheet.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earned fees and provided certain accounting and marketing services to companies owned by certain of MarketWise’s Class B stockholders. As a result, we recognized $155 and $302 in other income, net for the three months ended March 31, 2024 and 2023, respectively. Related party receivables related to these services were $155 and $239 as of March 31, 2024 and December 31, 2023,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lease offices from related parties. Lease payments made to related parties were $435 and $433 for the three months ended March 31, 2024 and 2023, respectively, and related party rent expense of $603 and $605 were recognized in general and administrative expenses for the three months ended March 31, 2024 and 2023. At March 31, 2024 and December 31, 2023, ROU assets of $6,771 and $7,261 and lease liabilities of $5,403 and $5,740 are associated with leases with related parties.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13.    Supplemental Cash Flow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disclosures are as follows:</w:t>
      </w:r>
    </w:p>
    <w:tbl>
      <w:tblPr>
        <w:tblW w:w="10205" w:type="dxa"/>
        <w:jc w:val="left"/>
        <w:tblInd w:w="0" w:type="dxa"/>
        <w:tblLayout w:type="fixed"/>
        <w:tblCellMar>
          <w:top w:w="28" w:type="dxa"/>
          <w:left w:w="28" w:type="dxa"/>
          <w:bottom w:w="28" w:type="dxa"/>
          <w:right w:w="28" w:type="dxa"/>
        </w:tblCellMar>
      </w:tblPr>
      <w:tblGrid>
        <w:gridCol w:w="1917"/>
        <w:gridCol w:w="1670"/>
        <w:gridCol w:w="1679"/>
        <w:gridCol w:w="109"/>
        <w:gridCol w:w="684"/>
        <w:gridCol w:w="684"/>
        <w:gridCol w:w="685"/>
        <w:gridCol w:w="109"/>
        <w:gridCol w:w="211"/>
        <w:gridCol w:w="826"/>
        <w:gridCol w:w="109"/>
        <w:gridCol w:w="109"/>
        <w:gridCol w:w="109"/>
        <w:gridCol w:w="109"/>
        <w:gridCol w:w="211"/>
        <w:gridCol w:w="826"/>
        <w:gridCol w:w="158"/>
      </w:tblGrid>
      <w:tr>
        <w:trPr/>
        <w:tc>
          <w:tcPr>
            <w:tcW w:w="1917"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777" w:type="dxa"/>
            <w:gridSpan w:val="10"/>
            <w:tcBorders/>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included in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161,459 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14.    Stockholders’ Equity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capital stock consists of (i) issued and outstanding Class A common stock with a par value of $0.0001 per share, and (ii) issued and outstanding Class B common stock with a par value of $0.0001 per share.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set forth below reflects information about the Company’s equity as of March 31, 2024. The 3,051,000 Sponsor Earnout Shares held in escrow and the 2,000,000 Management Member Earnout Shares are considered contingently issuable shares and therefore excluded from the number of Class A common stock issued and outstanding in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MARKETWISE,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 amounts in thousands, except share, unit, per share, and per unit data)</w:t>
      </w:r>
    </w:p>
    <w:tbl>
      <w:tblPr>
        <w:tblW w:w="7400" w:type="dxa"/>
        <w:jc w:val="left"/>
        <w:tblInd w:w="0" w:type="dxa"/>
        <w:tblLayout w:type="fixed"/>
        <w:tblCellMar>
          <w:top w:w="28" w:type="dxa"/>
          <w:left w:w="28" w:type="dxa"/>
          <w:bottom w:w="28" w:type="dxa"/>
          <w:right w:w="28" w:type="dxa"/>
        </w:tblCellMar>
      </w:tblPr>
      <w:tblGrid>
        <w:gridCol w:w="765"/>
        <w:gridCol w:w="672"/>
        <w:gridCol w:w="677"/>
        <w:gridCol w:w="668"/>
        <w:gridCol w:w="668"/>
        <w:gridCol w:w="306"/>
        <w:gridCol w:w="109"/>
        <w:gridCol w:w="109"/>
        <w:gridCol w:w="109"/>
        <w:gridCol w:w="592"/>
        <w:gridCol w:w="594"/>
        <w:gridCol w:w="181"/>
        <w:gridCol w:w="109"/>
        <w:gridCol w:w="109"/>
        <w:gridCol w:w="109"/>
        <w:gridCol w:w="592"/>
        <w:gridCol w:w="594"/>
        <w:gridCol w:w="437"/>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Class A</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950,000,000 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38,122,283 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38,122,283 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Class B</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287,592,303 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287,592,303 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1,350,000,000 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325,714,586 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325,714,586 </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share of Class A and Class B common stock entitles the holder one vote per share. Only holders of Class A common stock have the right to receive dividends.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members of MarketWise, LLC,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 whenever the MarketWise Members’ LLC Units are so redeemed 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commenced paying quarterly dividends on shares of our Class A common stock and distributions on our LLC Units. There can be no assurance that we will continue to pay dividends in the future. The payment of any future dividends and distributions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dividends and distributions declared during the three months ended March 31, 2024 were as follows:</w:t>
      </w:r>
    </w:p>
    <w:tbl>
      <w:tblPr>
        <w:tblW w:w="7440" w:type="dxa"/>
        <w:jc w:val="left"/>
        <w:tblInd w:w="0" w:type="dxa"/>
        <w:tblLayout w:type="fixed"/>
        <w:tblCellMar>
          <w:top w:w="28" w:type="dxa"/>
          <w:left w:w="28" w:type="dxa"/>
          <w:bottom w:w="28" w:type="dxa"/>
          <w:right w:w="28" w:type="dxa"/>
        </w:tblCellMar>
      </w:tblPr>
      <w:tblGrid>
        <w:gridCol w:w="553"/>
        <w:gridCol w:w="486"/>
        <w:gridCol w:w="491"/>
        <w:gridCol w:w="499"/>
        <w:gridCol w:w="499"/>
        <w:gridCol w:w="502"/>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211"/>
        <w:gridCol w:w="61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Date declared</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Date paid</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18, 2023</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25,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May 15, 2024, which is the date that the financial statements were issued.</w:t>
      </w:r>
    </w:p>
    <w:p>
      <w:pPr>
        <w:pStyle w:val="TextBody"/>
        <w:bidi w:val="0"/>
        <w:spacing w:lineRule="auto" w:line="288" w:before="0" w:after="180"/>
        <w:jc w:val="left"/>
        <w:rPr/>
      </w:pPr>
      <w:r>
        <w:rPr>
          <w:rFonts w:ascii="Times New Roman;sans-serif" w:hAnsi="Times New Roman;sans-serif"/>
          <w:b w:val="false"/>
          <w:color w:val="000000"/>
          <w:sz w:val="20"/>
        </w:rPr>
        <w:t xml:space="preserve">With respect to the Legacy Research Reorganization described in Note 4 – </w:t>
      </w:r>
      <w:r>
        <w:rPr>
          <w:rFonts w:ascii="Times New Roman;sans-serif" w:hAnsi="Times New Roman;sans-serif"/>
          <w:b w:val="false"/>
          <w:i/>
          <w:color w:val="000000"/>
          <w:sz w:val="20"/>
        </w:rPr>
        <w:t>Legacy Reorganization</w:t>
      </w:r>
      <w:r>
        <w:rPr>
          <w:rFonts w:ascii="Times New Roman;sans-serif" w:hAnsi="Times New Roman;sans-serif"/>
          <w:b w:val="false"/>
          <w:color w:val="000000"/>
          <w:sz w:val="20"/>
        </w:rPr>
        <w:t>, as of May 15, 2024, the Company was still evaluating a range of potential actions related to the Reorganization, including the sale of certain Legacy Research assets to other businesses within MarketWise, and actions with respect to the remaining employees, and had not approved any such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the financial condition and results of operations of MarketWise, Inc., a Delaware corporation (“MarketWise,” “we,” “us,” and “our”), should be read together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2023 (the “Annual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 entitled “Cautionary Statement Regarding Forward-Looking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pStyle w:val="TextBody"/>
        <w:bidi w:val="0"/>
        <w:spacing w:lineRule="auto" w:line="288" w:before="0" w:after="180"/>
        <w:jc w:val="left"/>
        <w:rPr/>
      </w:pPr>
      <w:r>
        <w:rPr>
          <w:rFonts w:ascii="Times New Roman;sans-serif" w:hAnsi="Times New Roman;sans-serif"/>
          <w:b w:val="false"/>
          <w:color w:val="000000"/>
          <w:sz w:val="20"/>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Chaikin Analytics, and InvestorPlace.</w:t>
      </w:r>
      <w:r>
        <w:rPr>
          <w:color w:val="000000"/>
        </w:rPr>
        <w:t xml:space="preserve"> </w:t>
      </w:r>
      <w:r>
        <w:rPr>
          <w:rFonts w:ascii="Times New Roman;sans-serif" w:hAnsi="Times New Roman;sans-serif"/>
          <w:b w:val="false"/>
          <w:color w:val="000000"/>
          <w:sz w:val="20"/>
        </w:rPr>
        <w:t>Our entire investment research product portfolio is 100% digital and channel agnostic, and we offer all of our research across a variety of platforms, including desktop, laptop, and mobile devices, including tablets and mobile phones.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Today, we benefit from the confluence of a leading editorial team, diverse portfolio of content and brands, and comprehensive suite of investor-centric tools that appeal to a broad subscriber base.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First Quarter 2024 Highlights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8, 2024, the Company reported that its Board of Directors had committed to a strategic realignment and reorganization (the “Reorganization”) whereby we will wind-down the operations of our Legacy Research Group business (“Legacy Research”) in response to misconduct discovered at Legacy Research where certain managers violated the Company’s policies. For more information on the Legacy Reorganization, see “— Legacy Reorganization.”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cash provided by operating activities, and the related margin as a percentage of net revenue, and Adjusted CFFO, a non-GAAP measure, and the related margin as a percentage of Billings, for each of the periods presented. For more information on Adjusted CFFO and Adjusted CFFO Margin, see “— Non-GAAP Financial Measures.”</w:t>
      </w:r>
    </w:p>
    <w:tbl>
      <w:tblPr>
        <w:tblW w:w="8704" w:type="dxa"/>
        <w:jc w:val="left"/>
        <w:tblInd w:w="0" w:type="dxa"/>
        <w:tblLayout w:type="fixed"/>
        <w:tblCellMar>
          <w:top w:w="28" w:type="dxa"/>
          <w:left w:w="28" w:type="dxa"/>
          <w:bottom w:w="28" w:type="dxa"/>
          <w:right w:w="28" w:type="dxa"/>
        </w:tblCellMar>
      </w:tblPr>
      <w:tblGrid>
        <w:gridCol w:w="1475"/>
        <w:gridCol w:w="1299"/>
        <w:gridCol w:w="1306"/>
        <w:gridCol w:w="109"/>
        <w:gridCol w:w="109"/>
        <w:gridCol w:w="109"/>
        <w:gridCol w:w="211"/>
        <w:gridCol w:w="796"/>
        <w:gridCol w:w="331"/>
        <w:gridCol w:w="109"/>
        <w:gridCol w:w="109"/>
        <w:gridCol w:w="109"/>
        <w:gridCol w:w="211"/>
        <w:gridCol w:w="616"/>
        <w:gridCol w:w="271"/>
        <w:gridCol w:w="109"/>
        <w:gridCol w:w="109"/>
        <w:gridCol w:w="109"/>
        <w:gridCol w:w="344"/>
        <w:gridCol w:w="346"/>
        <w:gridCol w:w="517"/>
      </w:tblGrid>
      <w:tr>
        <w:trPr/>
        <w:tc>
          <w:tcPr>
            <w:tcW w:w="147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Change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(578.6)</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(13.7)</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(578.6)</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(20.5)</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CFFO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growth and future success are dependent upon several factors, including those below and those noted in the “Risk Factors” section in the Annual Report. The key factors below represent significant business opportunities as well as challenges that we must successfully address in order to continue our growth and improve our financial results.</w:t>
      </w:r>
    </w:p>
    <w:p>
      <w:pPr>
        <w:pStyle w:val="TextBody"/>
        <w:bidi w:val="0"/>
        <w:spacing w:lineRule="auto" w:line="288" w:before="0" w:after="180"/>
        <w:jc w:val="left"/>
        <w:rPr/>
      </w:pPr>
      <w:r>
        <w:rPr>
          <w:rFonts w:ascii="Times New Roman;sans-serif" w:hAnsi="Times New Roman;sans-serif"/>
          <w:b/>
          <w:i/>
          <w:color w:val="000000"/>
          <w:sz w:val="20"/>
        </w:rPr>
        <w:t xml:space="preserve">Growing our subscriber base with compelling unit economics. </w:t>
      </w:r>
      <w:r>
        <w:rPr>
          <w:rFonts w:ascii="Times New Roman;sans-serif" w:hAnsi="Times New Roman;sans-serif"/>
          <w:b w:val="false"/>
          <w:color w:val="000000"/>
          <w:sz w:val="20"/>
        </w:rPr>
        <w:t xml:space="preserve">We are highly focused on continuing to acquire new subscribers to support our long-term growth. Our marketing spend is a large driver of new subscriber growth. At the heart of our marketing strategy is our compelling unit economics that combine long-term subscriber relationships, highly scalable content delivery, cost-effective customer acquisition, and high-margin conversions. </w:t>
      </w:r>
    </w:p>
    <w:p>
      <w:pPr>
        <w:pStyle w:val="TextBody"/>
        <w:bidi w:val="0"/>
        <w:spacing w:lineRule="auto" w:line="288" w:before="0" w:after="180"/>
        <w:jc w:val="left"/>
        <w:rPr/>
      </w:pPr>
      <w:r>
        <w:rPr>
          <w:rFonts w:ascii="Times New Roman;sans-serif" w:hAnsi="Times New Roman;sans-serif"/>
          <w:b w:val="false"/>
          <w:color w:val="000000"/>
          <w:sz w:val="20"/>
        </w:rPr>
        <w:t>Our Paid Subscribers (as defined below) as of December 31, 2023 generated average customer lifetime Billings of approximately $1,494, resulting in a LTV/CAC (as defined below) ratio of approximately 2.3x. On average, it takes us approximately 1.1 to 1.6 years for a Paid Subscriber’s cumulative net revenue to exceed the total cost of acquiring that subscriber (which includes fixed costs, such as marketing salaries). For more information on Billings and our LTV/CAC ratio and the components of this ratio, see “</w:t>
      </w:r>
      <w:r>
        <w:rPr>
          <w:color w:val="000000"/>
        </w:rPr>
        <w:t>—</w:t>
      </w:r>
      <w:r>
        <w:rPr>
          <w:rFonts w:ascii="Times New Roman;sans-serif" w:hAnsi="Times New Roman;sans-serif"/>
          <w:b w:val="false"/>
          <w:i/>
          <w:color w:val="000000"/>
          <w:sz w:val="20"/>
        </w:rPr>
        <w:t>Key Business Metrics</w:t>
      </w:r>
      <w:r>
        <w:rPr>
          <w:color w:val="000000"/>
        </w:rPr>
        <w:t xml:space="preserve">” </w:t>
      </w:r>
      <w:r>
        <w:rPr>
          <w:rFonts w:ascii="Times New Roman;sans-serif" w:hAnsi="Times New Roman;sans-serif"/>
          <w:b w:val="false"/>
          <w:color w:val="000000"/>
          <w:sz w:val="20"/>
        </w:rPr>
        <w:t>and “</w:t>
      </w:r>
      <w:r>
        <w:rPr>
          <w:color w:val="000000"/>
        </w:rPr>
        <w:t>—</w:t>
      </w:r>
      <w:r>
        <w:rPr>
          <w:rFonts w:ascii="Times New Roman;sans-serif" w:hAnsi="Times New Roman;sans-serif"/>
          <w:b w:val="false"/>
          <w:i/>
          <w:color w:val="000000"/>
          <w:sz w:val="20"/>
        </w:rPr>
        <w:t xml:space="preserve">Definitions of Metrics,” </w:t>
      </w:r>
      <w:r>
        <w:rPr>
          <w:rFonts w:ascii="Times New Roman;sans-serif" w:hAnsi="Times New Roman;sans-serif"/>
          <w:b w:val="false"/>
          <w:color w:val="000000"/>
          <w:sz w:val="20"/>
        </w:rPr>
        <w:t xml:space="preserve">respectively.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adjust our marketing spend to drive efficient and profitable customer acquisition. We can adjust our marketing spend in near real-time, and we monitor costs per acquisition relative to the cart value of the initial subscription. We seek and typically achieve 90-day payback periods to cover this variable component of the direct marketing spend.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our paid subscriber base was 683 thousand, down 94 thousand, or 12.1% as compared to 777 thousand at March 31, 2023. Our base is comprised of subscribers obtained through both direct-to-paid acquisition and free-to-paid conversions. Since 2019, direct-to-paid acquisition has accounted for approximately two-thirds of our annual Paid Subscriber acquisition, and is largely driven by display ads and targeted email campaigns.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free subscription products also serve as a significant source of new Paid Subscribers, accounting for approximately one-third of our annual Paid Subscriber acquisition.</w:t>
      </w:r>
    </w:p>
    <w:p>
      <w:pPr>
        <w:pStyle w:val="TextBody"/>
        <w:bidi w:val="0"/>
        <w:spacing w:lineRule="auto" w:line="288" w:before="0" w:after="180"/>
        <w:jc w:val="left"/>
        <w:rPr/>
      </w:pPr>
      <w:r>
        <w:rPr>
          <w:rFonts w:ascii="Times New Roman;sans-serif" w:hAnsi="Times New Roman;sans-serif"/>
          <w:b/>
          <w:i/>
          <w:color w:val="000000"/>
          <w:sz w:val="20"/>
        </w:rPr>
        <w:t>Retaining and expanding relationships with existing subscribers.</w:t>
      </w:r>
      <w:r>
        <w:rPr>
          <w:color w:val="000000"/>
        </w:rPr>
        <w:t xml:space="preserve"> </w:t>
      </w:r>
      <w:r>
        <w:rPr>
          <w:rFonts w:ascii="Times New Roman;sans-serif" w:hAnsi="Times New Roman;sans-serif"/>
          <w:b w:val="false"/>
          <w:color w:val="000000"/>
          <w:sz w:val="20"/>
        </w:rPr>
        <w:t>We believe that we have a significant opportunity to expand our relationships with our large base of Free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 Our ARPU (as defined below) as of March 31, 2024 was $492, which decreased 0.2% from $493 as of March 31, 2023. For more information on ARPU, see “</w:t>
      </w:r>
      <w:r>
        <w:rPr>
          <w:rFonts w:ascii="Times New Roman;sans-serif" w:hAnsi="Times New Roman;sans-serif"/>
          <w:b w:val="false"/>
          <w:i/>
          <w:color w:val="000000"/>
          <w:sz w:val="20"/>
        </w:rPr>
        <w:t>Key Business Metrics—Average Revenue Per User.</w:t>
      </w:r>
      <w:r>
        <w:rPr>
          <w:color w:val="000000"/>
        </w:rPr>
        <w: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rates are important to our business because they are an indicator of how engaged and how well we are connecting with our subscribers. The time it takes our customers to move from our free products to our lower-priced paid subscriptions and eventually to high-end products and membership “bundled” offerings impacts our growth in net revenue, Billings, and ARPU.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high-value composition rate reflects the rate at which Paid Subscribers that have purchased less than $600 of our products over their lifetime convert into subscribers that have purchased more than $600. We believe our high-value composition rate reflects our ability to retain existing subscribers through renewals and our ability to expand our relationship with them when those subscribers purchase higher-value subscriptions. Our cumulative ultra high-value composition rate reflects the rate at which high value Paid Subscribers that have purchased more than $600 of our products over their lifetime convert into subscribers that have purchased more than $5,000. We believe our ultra high-value composition rate reflects our ability to successfully build lifetime relationships with our subscribers, often across multiple products and brands. As of March 31, 2024, our high-value composition rate and ultra high-value composition rate were 49% and 42%,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Definitions of Metrics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discussion and analysis, a number of our financial and operating metrics are referenced which we do not consider to be key business metrics, but which we review to monitor performance, and which we believe may be useful to investors. These are: </w:t>
      </w:r>
    </w:p>
    <w:p>
      <w:pPr>
        <w:pStyle w:val="TextBody"/>
        <w:bidi w:val="0"/>
        <w:spacing w:lineRule="auto" w:line="288" w:before="0" w:after="180"/>
        <w:jc w:val="left"/>
        <w:rPr/>
      </w:pPr>
      <w:r>
        <w:rPr>
          <w:rFonts w:ascii="Times New Roman;sans-serif" w:hAnsi="Times New Roman;sans-serif"/>
          <w:b/>
          <w:i/>
          <w:color w:val="000000"/>
          <w:sz w:val="20"/>
        </w:rPr>
        <w:t xml:space="preserve">Annual free-to-paid and annual active free-to-paid conversion rates: </w:t>
      </w:r>
      <w:r>
        <w:rPr>
          <w:rFonts w:ascii="Times New Roman;sans-serif" w:hAnsi="Times New Roman;sans-serif"/>
          <w:b w:val="false"/>
          <w:color w:val="000000"/>
          <w:sz w:val="20"/>
        </w:rPr>
        <w:t xml:space="preserve">The Company has historically defined free-to-paid conversion rate as the number of Free Subscribers (as defined below) who purchased a subscription during the period divided by the average number of Free Subscribers during the period. In addition, the Company has historically defined active free-to-paid conversion rate as the number of Active Free Subscribers (as defined below) who purchased a subscription during the period divided by the average number of Active Free Subscribers during the period. There have been no changes to the calculation of free-to-paid or active free-to-paid conversion rates. However, the Company has revised the definition of free-to-paid and active free-to-paid conversion rates to provide clarity in how they are calculated. </w:t>
      </w:r>
    </w:p>
    <w:p>
      <w:pPr>
        <w:pStyle w:val="TextBody"/>
        <w:bidi w:val="0"/>
        <w:spacing w:lineRule="auto" w:line="288" w:before="0" w:after="180"/>
        <w:jc w:val="left"/>
        <w:rPr/>
      </w:pPr>
      <w:r>
        <w:rPr>
          <w:rFonts w:ascii="Times New Roman;sans-serif" w:hAnsi="Times New Roman;sans-serif"/>
          <w:b w:val="false"/>
          <w:color w:val="000000"/>
          <w:sz w:val="20"/>
        </w:rPr>
        <w:t xml:space="preserve">We calculate our free-to-paid conversion rate as the sum of (i) the number of Free Subscribers who purchased their first subscription during the period and (ii) the number of Free Subscribers who purchased their first subscription during the period after six months of not having an active paid subscription across all of MarketWise </w:t>
      </w:r>
      <w:r>
        <w:rPr>
          <w:rFonts w:ascii="Times New Roman;sans-serif" w:hAnsi="Times New Roman;sans-serif"/>
          <w:b w:val="false"/>
          <w:i/>
          <w:color w:val="000000"/>
          <w:sz w:val="20"/>
        </w:rPr>
        <w:t>divided by</w:t>
      </w:r>
      <w:r>
        <w:rPr>
          <w:color w:val="000000"/>
        </w:rPr>
        <w:t xml:space="preserve"> </w:t>
      </w:r>
      <w:r>
        <w:rPr>
          <w:rFonts w:ascii="Times New Roman;sans-serif" w:hAnsi="Times New Roman;sans-serif"/>
          <w:b w:val="false"/>
          <w:color w:val="000000"/>
          <w:sz w:val="20"/>
        </w:rPr>
        <w:t xml:space="preserve">the average number of Free Subscribers during the period. We calculate our active free-to-paid conversion rate as the sum of (i) the number of Active Free Subscribers who purchased their first subscription during the period and (ii) the number of Active Free Subscribers who purchased their first subscription during the period after six months of not having an active paid subscription across all of MarketWise </w:t>
      </w:r>
      <w:r>
        <w:rPr>
          <w:rFonts w:ascii="Times New Roman;sans-serif" w:hAnsi="Times New Roman;sans-serif"/>
          <w:b w:val="false"/>
          <w:i/>
          <w:color w:val="000000"/>
          <w:sz w:val="20"/>
        </w:rPr>
        <w:t>divided by</w:t>
      </w:r>
      <w:r>
        <w:rPr>
          <w:color w:val="000000"/>
        </w:rPr>
        <w:t xml:space="preserve"> </w:t>
      </w:r>
      <w:r>
        <w:rPr>
          <w:rFonts w:ascii="Times New Roman;sans-serif" w:hAnsi="Times New Roman;sans-serif"/>
          <w:b w:val="false"/>
          <w:color w:val="000000"/>
          <w:sz w:val="20"/>
        </w:rPr>
        <w:t>the average number of Active Free Subscribers during the period. We believe our free-to-paid and active free-to-paid conversion rates are indicators of the type of Free Subscribers that we are signing up and the quality of our content and marketing efforts. Investors should consider free-to-paid and active free-to-paid conversion rates as two of the factors in evaluating our ability to maintain a robust pipeline for new customer acquisition.</w:t>
      </w:r>
    </w:p>
    <w:p>
      <w:pPr>
        <w:pStyle w:val="TextBody"/>
        <w:bidi w:val="0"/>
        <w:spacing w:lineRule="auto" w:line="288" w:before="0" w:after="180"/>
        <w:jc w:val="left"/>
        <w:rPr/>
      </w:pPr>
      <w:r>
        <w:rPr>
          <w:rFonts w:ascii="Times New Roman;sans-serif" w:hAnsi="Times New Roman;sans-serif"/>
          <w:b/>
          <w:i/>
          <w:color w:val="000000"/>
          <w:sz w:val="20"/>
        </w:rPr>
        <w:t xml:space="preserve">Cumulative free-to-paid and cumulative active free-to-paid conversion rates: </w:t>
      </w:r>
      <w:r>
        <w:rPr>
          <w:rFonts w:ascii="Times New Roman;sans-serif" w:hAnsi="Times New Roman;sans-serif"/>
          <w:b w:val="false"/>
          <w:color w:val="000000"/>
          <w:sz w:val="20"/>
        </w:rPr>
        <w:t xml:space="preserve">We calculate our cumulative free-to-paid conversion rate as the sum of (i) the number of Free Subscribers who purchased their first subscription during the trailing three-year period and (ii) the number of Free Subscribers who purchased their first subscription during the trailing three-year period after six months of not having an active paid subscription across all of MarketWise </w:t>
      </w:r>
      <w:r>
        <w:rPr>
          <w:rFonts w:ascii="Times New Roman;sans-serif" w:hAnsi="Times New Roman;sans-serif"/>
          <w:b w:val="false"/>
          <w:i/>
          <w:color w:val="000000"/>
          <w:sz w:val="20"/>
        </w:rPr>
        <w:t xml:space="preserve">divided by </w:t>
      </w:r>
      <w:r>
        <w:rPr>
          <w:rFonts w:ascii="Times New Roman;sans-serif" w:hAnsi="Times New Roman;sans-serif"/>
          <w:b w:val="false"/>
          <w:color w:val="000000"/>
          <w:sz w:val="20"/>
        </w:rPr>
        <w:t xml:space="preserve">the average number of Free Subscribers during the trailing three-year period. We calculate our cumulative active free-to-paid conversion rate as the sum of (i) the number of Active Free Subscribers who purchased their first subscription during the trailing three-year period and (ii) the number of Active Free Subscribers who purchased their first subscription during the trailing three-year period after six months of not having an active paid subscription across all of MarketWise </w:t>
      </w:r>
      <w:r>
        <w:rPr>
          <w:rFonts w:ascii="Times New Roman;sans-serif" w:hAnsi="Times New Roman;sans-serif"/>
          <w:b w:val="false"/>
          <w:i/>
          <w:color w:val="000000"/>
          <w:sz w:val="20"/>
        </w:rPr>
        <w:t xml:space="preserve">divided by </w:t>
      </w:r>
      <w:r>
        <w:rPr>
          <w:rFonts w:ascii="Times New Roman;sans-serif" w:hAnsi="Times New Roman;sans-serif"/>
          <w:b w:val="false"/>
          <w:color w:val="000000"/>
          <w:sz w:val="20"/>
        </w:rPr>
        <w:t>the average number of Active Free Subscribers during the trailing three-year period.</w:t>
      </w:r>
    </w:p>
    <w:p>
      <w:pPr>
        <w:pStyle w:val="TextBody"/>
        <w:bidi w:val="0"/>
        <w:spacing w:lineRule="auto" w:line="288" w:before="0" w:after="180"/>
        <w:jc w:val="left"/>
        <w:rPr/>
      </w:pPr>
      <w:r>
        <w:rPr>
          <w:rFonts w:ascii="Times New Roman;sans-serif" w:hAnsi="Times New Roman;sans-serif"/>
          <w:b/>
          <w:i/>
          <w:color w:val="000000"/>
          <w:sz w:val="20"/>
        </w:rPr>
        <w:t xml:space="preserve">High-value composition rate: </w:t>
      </w:r>
      <w:r>
        <w:rPr>
          <w:rFonts w:ascii="Times New Roman;sans-serif" w:hAnsi="Times New Roman;sans-serif"/>
          <w:b w:val="false"/>
          <w:color w:val="000000"/>
          <w:sz w:val="20"/>
        </w:rPr>
        <w:t xml:space="preserve">Our high-value composition rate reflects the number of Paid Subscribers who have purchased &gt;$600 in aggregate over their lifetime as of a particular point in time </w:t>
      </w:r>
      <w:r>
        <w:rPr>
          <w:rFonts w:ascii="Times New Roman;sans-serif" w:hAnsi="Times New Roman;sans-serif"/>
          <w:b w:val="false"/>
          <w:i/>
          <w:color w:val="000000"/>
          <w:sz w:val="20"/>
        </w:rPr>
        <w:t xml:space="preserve">divided by </w:t>
      </w:r>
      <w:r>
        <w:rPr>
          <w:rFonts w:ascii="Times New Roman;sans-serif" w:hAnsi="Times New Roman;sans-serif"/>
          <w:b w:val="false"/>
          <w:color w:val="000000"/>
          <w:sz w:val="20"/>
        </w:rPr>
        <w:t>the total number of Paid Subscribers as of that same point in time.</w:t>
      </w:r>
    </w:p>
    <w:p>
      <w:pPr>
        <w:pStyle w:val="TextBody"/>
        <w:bidi w:val="0"/>
        <w:spacing w:lineRule="auto" w:line="288" w:before="0" w:after="180"/>
        <w:jc w:val="left"/>
        <w:rPr/>
      </w:pPr>
      <w:r>
        <w:rPr>
          <w:rFonts w:ascii="Times New Roman;sans-serif" w:hAnsi="Times New Roman;sans-serif"/>
          <w:b/>
          <w:i/>
          <w:color w:val="000000"/>
          <w:sz w:val="20"/>
        </w:rPr>
        <w:t>Landing Page Visits:</w:t>
      </w:r>
      <w:r>
        <w:rPr>
          <w:color w:val="000000"/>
        </w:rPr>
        <w:t xml:space="preserve"> </w:t>
      </w:r>
      <w:r>
        <w:rPr>
          <w:rFonts w:ascii="Times New Roman;sans-serif" w:hAnsi="Times New Roman;sans-serif"/>
          <w:b w:val="false"/>
          <w:color w:val="000000"/>
          <w:sz w:val="20"/>
        </w:rPr>
        <w:t>The cumulative number of visits to our standalone web pages created specifically for each marketing campaign. We believe landing page visits are a measure of customer engagement.</w:t>
      </w:r>
    </w:p>
    <w:p>
      <w:pPr>
        <w:pStyle w:val="TextBody"/>
        <w:bidi w:val="0"/>
        <w:spacing w:lineRule="auto" w:line="288" w:before="0" w:after="180"/>
        <w:jc w:val="left"/>
        <w:rPr/>
      </w:pPr>
      <w:r>
        <w:rPr>
          <w:rFonts w:ascii="Times New Roman;sans-serif" w:hAnsi="Times New Roman;sans-serif"/>
          <w:b/>
          <w:i/>
          <w:color w:val="000000"/>
          <w:sz w:val="20"/>
        </w:rPr>
        <w:t xml:space="preserve">LTV/CAC ratio: </w:t>
      </w:r>
      <w:r>
        <w:rPr>
          <w:rFonts w:ascii="Times New Roman;sans-serif" w:hAnsi="Times New Roman;sans-serif"/>
          <w:b w:val="false"/>
          <w:color w:val="000000"/>
          <w:sz w:val="20"/>
        </w:rPr>
        <w:t xml:space="preserve">We calculate LTV/CAC ratio as LTV </w:t>
      </w:r>
      <w:r>
        <w:rPr>
          <w:rFonts w:ascii="Times New Roman;sans-serif" w:hAnsi="Times New Roman;sans-serif"/>
          <w:b w:val="false"/>
          <w:i/>
          <w:color w:val="000000"/>
          <w:sz w:val="20"/>
        </w:rPr>
        <w:t>divided by</w:t>
      </w:r>
      <w:r>
        <w:rPr>
          <w:color w:val="000000"/>
        </w:rPr>
        <w:t xml:space="preserve"> </w:t>
      </w:r>
      <w:r>
        <w:rPr>
          <w:rFonts w:ascii="Times New Roman;sans-serif" w:hAnsi="Times New Roman;sans-serif"/>
          <w:b w:val="false"/>
          <w:color w:val="000000"/>
          <w:sz w:val="20"/>
        </w:rPr>
        <w:t xml:space="preserve">CAC. We use LTV/CAC ratio because it is a standard metric for subscription-based 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external revenue share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retention and renewal expenses,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copywriting and marketing salaries,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telesales salaries and commissions,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customer service commissions. </w:t>
      </w:r>
    </w:p>
    <w:p>
      <w:pPr>
        <w:pStyle w:val="TextBody"/>
        <w:bidi w:val="0"/>
        <w:spacing w:lineRule="auto" w:line="288" w:before="0" w:after="180"/>
        <w:jc w:val="left"/>
        <w:rPr/>
      </w:pPr>
      <w:r>
        <w:rPr>
          <w:rFonts w:ascii="Times New Roman;sans-serif" w:hAnsi="Times New Roman;sans-serif"/>
          <w:b/>
          <w:i/>
          <w:color w:val="000000"/>
          <w:sz w:val="20"/>
        </w:rPr>
        <w:t xml:space="preserve">Net revenue retention: </w:t>
      </w:r>
      <w:r>
        <w:rPr>
          <w:rFonts w:ascii="Times New Roman;sans-serif" w:hAnsi="Times New Roman;sans-serif"/>
          <w:b w:val="false"/>
          <w:color w:val="000000"/>
          <w:sz w:val="20"/>
        </w:rPr>
        <w:t xml:space="preserve">Net revenue retention is defined as Billings from all prior period cohorts in the current period, </w:t>
      </w:r>
      <w:r>
        <w:rPr>
          <w:rFonts w:ascii="Times New Roman;sans-serif" w:hAnsi="Times New Roman;sans-serif"/>
          <w:b w:val="false"/>
          <w:i/>
          <w:color w:val="000000"/>
          <w:sz w:val="20"/>
        </w:rPr>
        <w:t>divided by</w:t>
      </w:r>
      <w:r>
        <w:rPr>
          <w:color w:val="000000"/>
        </w:rPr>
        <w:t xml:space="preserve"> </w:t>
      </w:r>
      <w:r>
        <w:rPr>
          <w:rFonts w:ascii="Times New Roman;sans-serif" w:hAnsi="Times New Roman;sans-serif"/>
          <w:b w:val="false"/>
          <w:color w:val="000000"/>
          <w:sz w:val="20"/>
        </w:rPr>
        <w:t>all Billings from the prior 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pStyle w:val="TextBody"/>
        <w:bidi w:val="0"/>
        <w:spacing w:lineRule="auto" w:line="288" w:before="0" w:after="180"/>
        <w:jc w:val="left"/>
        <w:rPr/>
      </w:pPr>
      <w:r>
        <w:rPr>
          <w:rFonts w:ascii="Times New Roman;sans-serif" w:hAnsi="Times New Roman;sans-serif"/>
          <w:b/>
          <w:i/>
          <w:color w:val="000000"/>
          <w:sz w:val="20"/>
        </w:rPr>
        <w:t xml:space="preserve">Ultra high-value composition rate: </w:t>
      </w:r>
      <w:r>
        <w:rPr>
          <w:rFonts w:ascii="Times New Roman;sans-serif" w:hAnsi="Times New Roman;sans-serif"/>
          <w:b w:val="false"/>
          <w:color w:val="000000"/>
          <w:sz w:val="20"/>
        </w:rPr>
        <w:t xml:space="preserve">Our ultra high-value composition rate reflects the number of Paid Subscribers who have purchased &gt;$5,000 in aggregate over their lifetime as of a particular point in time </w:t>
      </w:r>
      <w:r>
        <w:rPr>
          <w:rFonts w:ascii="Times New Roman;sans-serif" w:hAnsi="Times New Roman;sans-serif"/>
          <w:b w:val="false"/>
          <w:i/>
          <w:color w:val="000000"/>
          <w:sz w:val="20"/>
        </w:rPr>
        <w:t xml:space="preserve">divided by </w:t>
      </w:r>
      <w:r>
        <w:rPr>
          <w:rFonts w:ascii="Times New Roman;sans-serif" w:hAnsi="Times New Roman;sans-serif"/>
          <w:b w:val="false"/>
          <w:color w:val="000000"/>
          <w:sz w:val="20"/>
        </w:rPr>
        <w:t>the number of high-value subscribers as of that same point in time. We believe our ultra high-value composition rate reflects our ability to successfully build lifetime relationships with our subscribers, often across multiple products and brands. Investors should consider ultra high-value composition rate as a factor in evaluating our ability to retain and expand our relationship with our subscribers.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review the following key business metrics to measure our performance, identify trends, formulate financial projections, and make strategic decisions. We are not aware of any uniform standards for calculating these key metrics, which may hinder comparability with other companies who may calculate similarly titled metrics in a different way.</w:t>
      </w:r>
    </w:p>
    <w:tbl>
      <w:tblPr>
        <w:tblW w:w="10126" w:type="dxa"/>
        <w:jc w:val="left"/>
        <w:tblInd w:w="0" w:type="dxa"/>
        <w:tblLayout w:type="fixed"/>
        <w:tblCellMar>
          <w:top w:w="28" w:type="dxa"/>
          <w:left w:w="28" w:type="dxa"/>
          <w:bottom w:w="28" w:type="dxa"/>
          <w:right w:w="28" w:type="dxa"/>
        </w:tblCellMar>
      </w:tblPr>
      <w:tblGrid>
        <w:gridCol w:w="1191"/>
        <w:gridCol w:w="1043"/>
        <w:gridCol w:w="1050"/>
        <w:gridCol w:w="109"/>
        <w:gridCol w:w="109"/>
        <w:gridCol w:w="109"/>
        <w:gridCol w:w="244"/>
        <w:gridCol w:w="837"/>
        <w:gridCol w:w="109"/>
        <w:gridCol w:w="109"/>
        <w:gridCol w:w="109"/>
        <w:gridCol w:w="109"/>
        <w:gridCol w:w="244"/>
        <w:gridCol w:w="837"/>
        <w:gridCol w:w="109"/>
        <w:gridCol w:w="109"/>
        <w:gridCol w:w="109"/>
        <w:gridCol w:w="109"/>
        <w:gridCol w:w="265"/>
        <w:gridCol w:w="265"/>
        <w:gridCol w:w="266"/>
        <w:gridCol w:w="109"/>
        <w:gridCol w:w="109"/>
        <w:gridCol w:w="109"/>
        <w:gridCol w:w="244"/>
        <w:gridCol w:w="837"/>
        <w:gridCol w:w="109"/>
        <w:gridCol w:w="109"/>
        <w:gridCol w:w="109"/>
        <w:gridCol w:w="109"/>
        <w:gridCol w:w="246"/>
        <w:gridCol w:w="246"/>
        <w:gridCol w:w="349"/>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and for the </w:t>
              <w:b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and for the </w:t>
              <w:br/>
              <w:t xml:space="preserve">Three Months Ended </w:t>
              <w:br/>
              <w:t>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change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Subscribers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16,655,670 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16,446,752 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1.3%</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Free Subscribers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(7.0)%</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Subscribers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(7.3)%</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Marketing Billings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(19.1)%</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Renewal Billings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(0.6)%</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Billings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(76.6)%</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Billings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(17.5)%</w:t>
            </w:r>
          </w:p>
        </w:tc>
      </w:tr>
    </w:tbl>
    <w:p>
      <w:pPr>
        <w:pStyle w:val="TextBody"/>
        <w:bidi w:val="0"/>
        <w:spacing w:lineRule="auto" w:line="288" w:before="0" w:after="180"/>
        <w:jc w:val="left"/>
        <w:rPr/>
      </w:pPr>
      <w:r>
        <w:rPr>
          <w:rFonts w:ascii="Times New Roman;sans-serif" w:hAnsi="Times New Roman;sans-serif"/>
          <w:b/>
          <w:i/>
          <w:color w:val="000000"/>
          <w:sz w:val="20"/>
        </w:rPr>
        <w:t xml:space="preserve">Free Subscribers. </w:t>
      </w:r>
      <w:r>
        <w:rPr>
          <w:rFonts w:ascii="Times New Roman;sans-serif" w:hAnsi="Times New Roman;sans-serif"/>
          <w:b w:val="false"/>
          <w:color w:val="000000"/>
          <w:sz w:val="20"/>
        </w:rPr>
        <w:t>Free Subscribers are defined as unique subscribers who have subscribed to one of our free investment publications via a valid email address and continue to remain directly opted in,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Free Subscribers learn about our editors and analysts, get to know our products and services, and learn more about ways we can help them be a better investor.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better describe our universe of Free Subscribers, we recognize sub-categories of Free Subscribers – Active and Passive Free Subscribers. Active Free Subscribers are those Free Subscribers with whom we have engaged during the most recent quarter and represent those individuals who have received and/or consumed our content on a regular basis during that same quarter. Our analysis indicates that this population of Active Free Subscribers is more likely to continue to consume content and convert to a Paid Subscriber. Passive Free Subscribers represent those individuals who have not directly received our content during the most recent quarter, however, they remain included in our Free Subscriber population as defined above and may continue to consume content from our platforms. We expect the composition of our Active and Passive Free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Subscribers will change over time as we refine our marketing and data analysis techniques aimed at converting Free Subscribers to Paid Subscribers.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Free Subscribers increased by 1.0 million, or 6.2%, to 16.7 million at March 31, 2024 as compared to 15.7 million at March 31, 2023. As of March 31, 2024, average Active Free Subscribers decreased by 0.2 million, or 6.2%, to 3.8 million, compared to 4.0 million as of March 31, 2023. The year over year decline in Active Free Subscribers is a result of cessation of engagement with our Legacy Research Group free subscribers as the wind down of this business began in February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Free Subscribers was flat at 16.7 million as of March 31, 2024 as compared to 16.4 million as of December 31, 2023. As of March 31, 2024, average Active Free Subscribers decreased by 0.3 million, or 7.0% to 3.8 million, compared to 4.1 million as of December 31, 2023, again as a result of cessation of engagement with our Legacy Research Group free subscribers as the wind down of this business began in February 2024.</w:t>
      </w:r>
    </w:p>
    <w:p>
      <w:pPr>
        <w:pStyle w:val="TextBody"/>
        <w:bidi w:val="0"/>
        <w:spacing w:lineRule="auto" w:line="288" w:before="0" w:after="180"/>
        <w:jc w:val="left"/>
        <w:rPr/>
      </w:pPr>
      <w:r>
        <w:rPr>
          <w:rFonts w:ascii="Times New Roman;sans-serif" w:hAnsi="Times New Roman;sans-serif"/>
          <w:b/>
          <w:i/>
          <w:color w:val="000000"/>
          <w:sz w:val="20"/>
        </w:rPr>
        <w:t xml:space="preserve">Paid Subscribers. </w:t>
      </w:r>
      <w:r>
        <w:rPr>
          <w:rFonts w:ascii="Times New Roman;sans-serif" w:hAnsi="Times New Roman;sans-serif"/>
          <w:b w:val="false"/>
          <w:color w:val="000000"/>
          <w:sz w:val="20"/>
        </w:rPr>
        <w:t>We define Paid Subscribers as the total number of unique subscribers with at least one paid subscription at the end of the period. We view the number of Paid Subscribers at the end of a given period as a key indicator of the attractiveness of our products and services, as well as the efficacy of our marketing in converting Free Subscribers to Paid Subscribers and generating direct-to-paid Paid Subscribers. We grow our Paid Subscriber base through performance marketing directly to prospective and existing subscribers across a variety of media, channels, and platforms.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Paid Subscribers decreased by 94 thousand, or 12.1%, to 683 thousand as of March 31, 2024 as compared to 777 thousand at March 31, 2023, driven by continued soft consumer engagement. While gross new subscribers increased 16.4% over the same quarter in the prior year, churn was elevated due to expiring subscriptions in our Legacy Research Group which likely came as a result of the wind down of this business which began in February 2024. The decreases from these factors were partially offset by the addition of approximately 25 thousand Paid Subscribers that joined our list with the MMP acquisition in first quarter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Paid Subscribers decreased by 54 thousand, or 7.3%, to 683 thousand as of March 31, 2024 as compared to 737 thousand as of December 31, 2023. Gross new subscribers were flat compared to fourth quarter 2023. However, we saw elevated churn in the quarter primarily as a result of expiring subscriptions within our Legacy Research Group as the wind down of this business began in February 2024. The decreases from these factors were partially offset by the addition of approximately 25 thousand Paid Subscribers that joined our list with the MMP acquisition in first quarter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Subscriber count churn has ranged from approximately 2.4% to 2.7% per month between 2021 and 2023. As of March 31, 2024, the average monthly churn over the trailing twelve months was at the higher end of the this range. Almost all of the subscribers who churned in first quarter 2024 did so having owned only one entry level publication. This is evidenced by the fact that their ARPU approximately matched the subscription price of our entry level publications. We believe our net revenue retention rate, which has averaged over 70% from 2021 to 2023, is a more meaningful gauge of subscriber satisfaction.</w:t>
      </w:r>
    </w:p>
    <w:p>
      <w:pPr>
        <w:pStyle w:val="TextBody"/>
        <w:bidi w:val="0"/>
        <w:spacing w:lineRule="auto" w:line="288" w:before="0" w:after="180"/>
        <w:jc w:val="left"/>
        <w:rPr/>
      </w:pPr>
      <w:r>
        <w:rPr>
          <w:rFonts w:ascii="Times New Roman;sans-serif" w:hAnsi="Times New Roman;sans-serif"/>
          <w:b/>
          <w:i/>
          <w:color w:val="000000"/>
          <w:sz w:val="20"/>
        </w:rPr>
        <w:t xml:space="preserve">Average Revenue Per User (“ARPU”). </w:t>
      </w:r>
      <w:r>
        <w:rPr>
          <w:rFonts w:ascii="Times New Roman;sans-serif" w:hAnsi="Times New Roman;sans-serif"/>
          <w:b w:val="false"/>
          <w:color w:val="000000"/>
          <w:sz w:val="20"/>
        </w:rPr>
        <w:t xml:space="preserve">We calculate ARPU as the trailing four quarters of net Billings </w:t>
      </w:r>
      <w:r>
        <w:rPr>
          <w:rFonts w:ascii="Times New Roman;sans-serif" w:hAnsi="Times New Roman;sans-serif"/>
          <w:b w:val="false"/>
          <w:i/>
          <w:color w:val="000000"/>
          <w:sz w:val="20"/>
        </w:rPr>
        <w:t>divided by</w:t>
      </w:r>
      <w:r>
        <w:rPr>
          <w:color w:val="000000"/>
        </w:rPr>
        <w:t xml:space="preserve"> </w:t>
      </w:r>
      <w:r>
        <w:rPr>
          <w:rFonts w:ascii="Times New Roman;sans-serif" w:hAnsi="Times New Roman;sans-serif"/>
          <w:b w:val="false"/>
          <w:color w:val="000000"/>
          <w:sz w:val="20"/>
        </w:rPr>
        <w:t xml:space="preserve">the average number of quarterly total Paid Subscribers over that period. We believe ARPU is a key indicator of how successful we are in attracting subscribers to higher-value content. We believe that our high ARPU is indicative of the trust we build with our subscribers and of the value they see in our products and services.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ARPU decreased by $1, or 0.2%, to $492 as of March 31, 2024 as compared to $493 as of March 31, 2023. Both trailing four quarter Billings and trailing four quarter Paid Subscribers decreased by 14%. The decrease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trailing four quarter Billings was driven by reduced engagement of prospective and existing subscribers, as further discussed in </w:t>
      </w:r>
      <w:r>
        <w:rPr>
          <w:rFonts w:ascii="Times New Roman;sans-serif" w:hAnsi="Times New Roman;sans-serif"/>
          <w:b w:val="false"/>
          <w:i/>
          <w:color w:val="000000"/>
          <w:sz w:val="20"/>
        </w:rPr>
        <w:t xml:space="preserve">Billings </w:t>
      </w:r>
      <w:r>
        <w:rPr>
          <w:rFonts w:ascii="Times New Roman;sans-serif" w:hAnsi="Times New Roman;sans-serif"/>
          <w:b w:val="false"/>
          <w:color w:val="000000"/>
          <w:sz w:val="20"/>
        </w:rPr>
        <w:t>below.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ARPU decreased by $11, or 2.2%, to $492 as of March 31, 2024 as compared to $503 as of December 31, 2023. The sequential decrease was driven by a 5% decrease in trailing four-quarter Billings, while trailing four-quarter average Paid Subscribers only decreased 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While they have declined somewhat recently, our ARPUs remain high relative to other subscription businesses, and we attribute this to the quality of our content and effective sales and marketing efforts regarding higher value content, bundled subscriptions and membership subscriptions. These subscriptions have compelling economics that allow us to recoup our initial marketing spend made to acquire these subscribers. Specifically, our payback period was estimated at 1.5 years, 1.5 years, and 0.9 years for the years ended December 31, 2023, 2022 and 2021, respectively. Our payback period remains elevated primarily due to a combination of increased customer acquisition costs and the hesitancy of these subscribers to make additional purchases. The payback period was lower in 2021 with conversion rates still relatively high and, to a far lesser degree, lower costs for media spend as demand was somewhat constrained as the pandemic lingered.</w:t>
      </w:r>
    </w:p>
    <w:p>
      <w:pPr>
        <w:pStyle w:val="TextBody"/>
        <w:bidi w:val="0"/>
        <w:spacing w:lineRule="auto" w:line="288" w:before="0" w:after="180"/>
        <w:jc w:val="left"/>
        <w:rPr/>
      </w:pPr>
      <w:r>
        <w:rPr>
          <w:rFonts w:ascii="Times New Roman;sans-serif" w:hAnsi="Times New Roman;sans-serif"/>
          <w:b/>
          <w:i/>
          <w:color w:val="000000"/>
          <w:sz w:val="20"/>
        </w:rPr>
        <w:t xml:space="preserve">Billings. </w:t>
      </w:r>
      <w:r>
        <w:rPr>
          <w:rFonts w:ascii="Times New Roman;sans-serif" w:hAnsi="Times New Roman;sans-serif"/>
          <w:b w:val="false"/>
          <w:color w:val="000000"/>
          <w:sz w:val="20"/>
        </w:rPr>
        <w:t xml:space="preserve">Billings represents amounts invoiced to customers. We measure and monitor our Billings because it provides insight into trends in cash generation 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break down our Billings into three sub-categories: New Marketing Billings, Net Renewal Billings, and Other Billings.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Marketing Billings are Billings from all new subscription sales. New Marketing Billings decreased by $12.0 million, or 17.9%, to $54.8 million for first quarter 2024 as compared to $66.7 million for first quarter 2023. The decrease was primarily driven by ceasing new sales campaigns within our Legacy Research Group brands, which began winding down operations in mid-February 2024.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Marketing Billings decreased by $12.9 million, or 19.1% to $54.8 million for first quarter 2024 as compared to $67.7 million in fourth quarter 2023. The decrease was primarily driven by ceasing new sales campaigns within our Legacy Research Group brands, which began winding down operations in mid-February 2024.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Renewal Billings are Billings from renewals and maintenance fee payments. Net Renewal Billings decreased by $7.7 million, or 26.3%, to $21.4 million for first quarter 2024 as compared to $29.1 million for first quarter 2023. This is primarily a function of a significant decrease (approximately 120 thousand) in average Paid Subscribers for the trailing twelve months ended March 31, 2024 versus the trailing twelve months ended March 31,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Renewal Billings decreased by $0.1 million, or 0.6%, to $21.4 million for first quarter 2024 as compared to $21.6 million for fourth quarter 2023. While new sales campaigns ceased within Legacy Research Group beginning with the wind down in February 2024, existing subscription renewals continued to be fulfilled throughout the quarter contributing to flat Net Renewal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Billings are Billings from revenue share, advertising and conferences. Other Billings decreased by $0.3 million, or 24.8% to $1.0 million for first quarter 2024 as compared to $1.3 million for first quarter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Billings decreased by $3.3 million or 76.6% to $1.0 million for first quarter 2024 as compared to $4.3 million for fourth quarter 2023 as a result of decreasing revenue share activity with external parties.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Billings decreased by $19.9 million, or 20.5%, to $77.2 million for the first quarter 2024 as compared to $97.2 million for first quarter 2023. While consumer engagement remains soft, we believe the decrease was primarily driven by our Legacy Research Group brands, which began winding down operations in mid-February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Billings decreased by $16.3 million, or 17.5%, to $77.2 million for first quarter 2024 as compared to $93.6 million for fourth quarter 2023. The decrease was primarily driven by our Legacy Research Group brands, which began winding down operations in mid-February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MarketWise’s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Net Revenue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net revenue primarily from services provided in delivering term and membership subscription-based financial research, publications, and SaaS offerings to individual subscribers through our online platforms, advertising arrangements, print products, events, and revenue share agreements.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earn net revenue from the sale of advertising placements on our websites and from the sale of print products and events. We also recognize net revenue through revenue share agreements where we earn a commission for successful sales by other parties generated through the use of our customer list. We expect advertising and other net revenue to increase in absolute dollars as our business grows.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Compensation Costs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 Stock-based compensation includes amounts related to our 2021 Incentive Award Plan, our ESPP, and profits interests.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employee compensation costs associated with producing and publishing MarketWise’s content, hosting fees, customer service, credit card processing fees, product costs, and allocated overhead. Cost of revenue is exclusive of depreciation and amortization, which is shown as a separate line item.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employee compensation costs, amortization of deferred contract acquisition costs, agency costs, advertising campaigns, and branding initiatives. Sales and marketing expenses are exclusive of depreciation and amortization shown as a separate line item.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employee compensation costs, technical services, software expenses, and hosting expenses. Research and development expenses are exclusive of depreciation and amortization shown as a separate line item.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employee compensation costs associated with our finance, legal, information technology, human resources, executive, and administrative personnel, legal fees, corporate insurance, office expenses, professional fees, and travel and entertainment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Related Party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 primarily consist of Board of Director compensation, revenue share expenses, and expenses for certain corporate functions performed by a related party for certain historic periods.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primarily consists of the net gains on our embedded derivative instruments.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(Expense) Income,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 primarily consists of interest income from our money market accounts, as well as interest expense related to the 2021 Credit Facility.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Net Income Attributable to Noncontrolling Interests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MarketWise, Inc.’s controlling interest in MarketWise, LLC was 11.7% and the noncontrolling interest was 88.3%. For the three months ended March 31, 2024 net income attributable to controlling interests included a $0.7 million tax provision, which is 100% attributable to the controlling interest.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MarketWise, Inc.’s controlling interest in MarketWise, LLC was 9.3% and the noncontrolling interest was 90.7%. For the three months ended March 31, 2023 net income attributable to controlling interests included a $0.9 million tax provision, which is 100% attributable to the controlling interest.</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w:t>
      </w:r>
    </w:p>
    <w:tbl>
      <w:tblPr>
        <w:tblW w:w="7236" w:type="dxa"/>
        <w:jc w:val="left"/>
        <w:tblInd w:w="0" w:type="dxa"/>
        <w:tblLayout w:type="fixed"/>
        <w:tblCellMar>
          <w:top w:w="28" w:type="dxa"/>
          <w:left w:w="28" w:type="dxa"/>
          <w:bottom w:w="28" w:type="dxa"/>
          <w:right w:w="28" w:type="dxa"/>
        </w:tblCellMar>
      </w:tblPr>
      <w:tblGrid>
        <w:gridCol w:w="1540"/>
        <w:gridCol w:w="1350"/>
        <w:gridCol w:w="1355"/>
        <w:gridCol w:w="109"/>
        <w:gridCol w:w="109"/>
        <w:gridCol w:w="109"/>
        <w:gridCol w:w="211"/>
        <w:gridCol w:w="826"/>
        <w:gridCol w:w="109"/>
        <w:gridCol w:w="109"/>
        <w:gridCol w:w="109"/>
        <w:gridCol w:w="109"/>
        <w:gridCol w:w="211"/>
        <w:gridCol w:w="826"/>
        <w:gridCol w:w="154"/>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MarketWise,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(1)Cost of revenue, sales and marketing, general and administrative, and research and development expenses are exclusive of depreciation and amortization shown as a separate line item.</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condensed consolidated statements of operations data expressed as a percentage of net revenue for the periods indicated:</w:t>
      </w:r>
    </w:p>
    <w:tbl>
      <w:tblPr>
        <w:tblW w:w="7458" w:type="dxa"/>
        <w:jc w:val="left"/>
        <w:tblInd w:w="0" w:type="dxa"/>
        <w:tblLayout w:type="fixed"/>
        <w:tblCellMar>
          <w:top w:w="28" w:type="dxa"/>
          <w:left w:w="28" w:type="dxa"/>
          <w:bottom w:w="28" w:type="dxa"/>
          <w:right w:w="28" w:type="dxa"/>
        </w:tblCellMar>
      </w:tblPr>
      <w:tblGrid>
        <w:gridCol w:w="1534"/>
        <w:gridCol w:w="1353"/>
        <w:gridCol w:w="1358"/>
        <w:gridCol w:w="109"/>
        <w:gridCol w:w="109"/>
        <w:gridCol w:w="109"/>
        <w:gridCol w:w="308"/>
        <w:gridCol w:w="308"/>
        <w:gridCol w:w="491"/>
        <w:gridCol w:w="197"/>
        <w:gridCol w:w="197"/>
        <w:gridCol w:w="197"/>
        <w:gridCol w:w="308"/>
        <w:gridCol w:w="308"/>
        <w:gridCol w:w="572"/>
      </w:tblGrid>
      <w:tr>
        <w:trPr/>
        <w:tc>
          <w:tcPr>
            <w:tcW w:w="153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MarketWise,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(1)Cost of revenue, sales and marketing, general and administrative, and research and development expenses are exclusive of depreciation and amortization shown as a separate line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Comparison of Three Months Ended March 31, 2024 and Three Months Ended March 31, 2023</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Net Revenue</w:t>
      </w:r>
    </w:p>
    <w:tbl>
      <w:tblPr>
        <w:tblW w:w="6659" w:type="dxa"/>
        <w:jc w:val="left"/>
        <w:tblInd w:w="0" w:type="dxa"/>
        <w:tblLayout w:type="fixed"/>
        <w:tblCellMar>
          <w:top w:w="28" w:type="dxa"/>
          <w:left w:w="28" w:type="dxa"/>
          <w:bottom w:w="28" w:type="dxa"/>
          <w:right w:w="28" w:type="dxa"/>
        </w:tblCellMar>
      </w:tblPr>
      <w:tblGrid>
        <w:gridCol w:w="413"/>
        <w:gridCol w:w="363"/>
        <w:gridCol w:w="364"/>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4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revenue was primarily driven by a $18.4 million decrease in term subscription revenue, partially offset by a $1.2 million increase in membership subscription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subscription revenue decreased during the three months ended March 31, 2024 primarily due to lower Billings as compared to the 2023 period which was driven by reduced engagement of prospective and existing subscribers in the 2024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7799" w:type="dxa"/>
        <w:jc w:val="left"/>
        <w:tblInd w:w="0" w:type="dxa"/>
        <w:tblLayout w:type="fixed"/>
        <w:tblCellMar>
          <w:top w:w="28" w:type="dxa"/>
          <w:left w:w="28" w:type="dxa"/>
          <w:bottom w:w="28" w:type="dxa"/>
          <w:right w:w="28" w:type="dxa"/>
        </w:tblCellMar>
      </w:tblPr>
      <w:tblGrid>
        <w:gridCol w:w="940"/>
        <w:gridCol w:w="826"/>
        <w:gridCol w:w="82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54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5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primarily driven by a $1.0 million decrease in salaries, taxes and benefits, a $0.5 million decrease in credit card fees, and a $0.4 million decrease in stock-based compensation expense.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decreased primarily driven by a $2.2 million decrease in salaries, taxes and benefits, and a $0.5 million decrease in stock-based compensation expense. This was partially offset by a $1.3 million increase in amortization of deferred contract acquisition costs.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primarily driven by a $3.3 million decrease in incentive compensation, and a $1.1 million decrease in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that the below non-GAAP financial measures are useful in evaluating our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 GAAP financial measures and the reconciliations of these non-GAAP financial measures to their most directly comparable GAAP financial measures.</w:t>
      </w:r>
    </w:p>
    <w:tbl>
      <w:tblPr>
        <w:tblW w:w="6280" w:type="dxa"/>
        <w:jc w:val="left"/>
        <w:tblInd w:w="0" w:type="dxa"/>
        <w:tblLayout w:type="fixed"/>
        <w:tblCellMar>
          <w:top w:w="28" w:type="dxa"/>
          <w:left w:w="28" w:type="dxa"/>
          <w:bottom w:w="28" w:type="dxa"/>
          <w:right w:w="28" w:type="dxa"/>
        </w:tblCellMar>
      </w:tblPr>
      <w:tblGrid>
        <w:gridCol w:w="734"/>
        <w:gridCol w:w="644"/>
        <w:gridCol w:w="646"/>
        <w:gridCol w:w="109"/>
        <w:gridCol w:w="109"/>
        <w:gridCol w:w="109"/>
        <w:gridCol w:w="211"/>
        <w:gridCol w:w="796"/>
        <w:gridCol w:w="271"/>
        <w:gridCol w:w="109"/>
        <w:gridCol w:w="109"/>
        <w:gridCol w:w="109"/>
        <w:gridCol w:w="211"/>
        <w:gridCol w:w="616"/>
        <w:gridCol w:w="271"/>
        <w:gridCol w:w="109"/>
        <w:gridCol w:w="109"/>
        <w:gridCol w:w="109"/>
        <w:gridCol w:w="263"/>
        <w:gridCol w:w="263"/>
        <w:gridCol w:w="373"/>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Change</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(578.6)%</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CFFO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Adjusted CFFO / Adjusted CFFO Margin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disclose the non-GAAP financial measure Adjusted CFFO. We define Adjusted CFFO as cash flow from operations plus or minus any non-recurring items. We define Adjusted CFFO Margin as Adjusted CFFO as a percentage of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Adjusted CFFO and Adjusted CFFO Margin are useful indicators that provide information to management and investors about our ability to generate cash, and for internal planning and forecasting purposes.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CFFO and Adjusted CFFO Margin have limitations as analytical tools, and should not be considered in isolation or as substitutes for analysis of other GAAP financial measures, such as cash flow from operations or operating cash flow margin. Some of the limitations of using Adjusted CFFO and Adjusted CFFO Margin are that these metrics may be calculated differently by other companies in our industry.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cash provided by operating activities, the most directly comparable financial measure calculated in accordance with GAAP, to Adjusted CFFO for each of the periods presented:</w:t>
      </w:r>
    </w:p>
    <w:tbl>
      <w:tblPr>
        <w:tblW w:w="7415" w:type="dxa"/>
        <w:jc w:val="left"/>
        <w:tblInd w:w="0" w:type="dxa"/>
        <w:tblLayout w:type="fixed"/>
        <w:tblCellMar>
          <w:top w:w="28" w:type="dxa"/>
          <w:left w:w="28" w:type="dxa"/>
          <w:bottom w:w="28" w:type="dxa"/>
          <w:right w:w="28" w:type="dxa"/>
        </w:tblCellMar>
      </w:tblPr>
      <w:tblGrid>
        <w:gridCol w:w="1255"/>
        <w:gridCol w:w="1103"/>
        <w:gridCol w:w="1106"/>
        <w:gridCol w:w="109"/>
        <w:gridCol w:w="109"/>
        <w:gridCol w:w="109"/>
        <w:gridCol w:w="212"/>
        <w:gridCol w:w="803"/>
        <w:gridCol w:w="110"/>
        <w:gridCol w:w="110"/>
        <w:gridCol w:w="110"/>
        <w:gridCol w:w="110"/>
        <w:gridCol w:w="212"/>
        <w:gridCol w:w="621"/>
        <w:gridCol w:w="110"/>
        <w:gridCol w:w="109"/>
        <w:gridCol w:w="109"/>
        <w:gridCol w:w="109"/>
        <w:gridCol w:w="263"/>
        <w:gridCol w:w="263"/>
        <w:gridCol w:w="373"/>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Change</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i/>
                <w:color w:val="000000"/>
                <w:sz w:val="20"/>
              </w:rPr>
            </w:pPr>
            <w:r>
              <w:rPr>
                <w:rFonts w:ascii="Times New Roman;sans-serif" w:hAnsi="Times New Roman;sans-serif"/>
                <w:b w:val="false"/>
                <w:i/>
                <w:color w:val="000000"/>
                <w:sz w:val="20"/>
              </w:rPr>
              <w:t>(578.6)%</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N/M</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CFFO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(578.6)%</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calculation of net cash provided by operating activities margin as a percentage of total net revenue, the most directly comparable financial measure in accordance with GAAP, and Adjusted CFFO Margin for each of the periods presented:</w:t>
      </w:r>
    </w:p>
    <w:tbl>
      <w:tblPr>
        <w:tblW w:w="8395" w:type="dxa"/>
        <w:jc w:val="left"/>
        <w:tblInd w:w="0" w:type="dxa"/>
        <w:tblLayout w:type="fixed"/>
        <w:tblCellMar>
          <w:top w:w="28" w:type="dxa"/>
          <w:left w:w="28" w:type="dxa"/>
          <w:bottom w:w="28" w:type="dxa"/>
          <w:right w:w="28" w:type="dxa"/>
        </w:tblCellMar>
      </w:tblPr>
      <w:tblGrid>
        <w:gridCol w:w="1478"/>
        <w:gridCol w:w="1299"/>
        <w:gridCol w:w="1302"/>
        <w:gridCol w:w="109"/>
        <w:gridCol w:w="109"/>
        <w:gridCol w:w="109"/>
        <w:gridCol w:w="211"/>
        <w:gridCol w:w="796"/>
        <w:gridCol w:w="331"/>
        <w:gridCol w:w="109"/>
        <w:gridCol w:w="109"/>
        <w:gridCol w:w="109"/>
        <w:gridCol w:w="211"/>
        <w:gridCol w:w="616"/>
        <w:gridCol w:w="271"/>
        <w:gridCol w:w="109"/>
        <w:gridCol w:w="109"/>
        <w:gridCol w:w="109"/>
        <w:gridCol w:w="263"/>
        <w:gridCol w:w="263"/>
        <w:gridCol w:w="373"/>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change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(578.6)%</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(13.7)%</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(578.6)%</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(20.5)%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CFFO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CFFO and Adjusted CFFO for the three months ended March 31, 2024 was primarily due to net changes in our operating assets and liabilities which reduced cash by $46.8 million, including incentive compensation payouts and payments related to two renegotiated employment agreements. This was partially offset by net income of $22.7 million, adjusted for net non-cash items which increased cash by $5.6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refer to this accumulation of cash as our “float” which we view as a valuable resource that we may invest or use to expand our operations. We expect that as we grow our business, the amount of our float will increase. The Company estimates that the amount of float was approximately $127.0 million and $120.5 million as of March 31, 2024 and December 31, 2023, respectively. As part of the Company's broader capital allocation strategy, our consolidated cash balance may from time to time decline below our estimate of the long term float requirement.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 ended March 31, 2024, the Company earned interest income of $1.7 million on our cash portfolio.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allocate a portion of our “float” to investments meeting pre-determined guidelines, including U.S.-listed equity securities, with the objective to provide an acceptable rate of return while complying with established risk tolerances and liquidity parameters. The Board of Directors is responsible for approving investment decisions. Gains and losses on marketable securities may fluctuate significantly from period to period in the future and could have a significant impact on the Company’s results of operations.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our principal sources of liquidity were cash, cash equivalents, and restricted cash of $131.2 million. Cash and cash equivalents are comprised of bank deposits, money market funds, and certificates of deposit. Restricted cash is comprised of reserves held with credit card processors for chargebacks and refunds. We have financed our operations primarily through cash received from operations, and our sources of liquidity have enabled us to make continued investments in supporting the growth of our business. Our 2021 Credit Facility (as defined and further discussed below) can be used to finance permitted acquisitions, for working capital and general corporate purposes. We expect that our operating cash flows, in addition to cash on hand, will enable us to continue to make investments in the future, and to pay dividends. We expect our operating cash flows to further improve as we increase our operational efficiency and experience economies of scale.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commenced paying quarterly dividends on shares of our Class A common stock and distributions on our LLC Units. There can be no assurance that we will continue to pay dividends in the future. The payment of any future dividends and distributions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and the level of costs to operate as a public company. We may, in the future, enter into arrangements to acquire or invest in complementary businesses, products, and technologies. </w:t>
      </w:r>
    </w:p>
    <w:p>
      <w:pPr>
        <w:pStyle w:val="TextBody"/>
        <w:bidi w:val="0"/>
        <w:spacing w:lineRule="auto" w:line="288" w:before="0" w:after="180"/>
        <w:jc w:val="left"/>
        <w:rPr/>
      </w:pPr>
      <w:r>
        <w:rPr>
          <w:rFonts w:ascii="Times New Roman;sans-serif" w:hAnsi="Times New Roman;sans-serif"/>
          <w:b w:val="false"/>
          <w:color w:val="000000"/>
          <w:sz w:val="20"/>
        </w:rPr>
        <w:t xml:space="preserve">We have incurred and we will continue to incur public company expenses related to our operations, plus we expect to incur payment obligations under the Tax Receivable Agreement in the future, which we expect to be significant. MarketWise, Inc. intends to cause MarketWise, LLC to make distributions to MarketWise, Inc. in an amount sufficient to allow MarketWise, Inc. to pay its tax obligations and operating expenses, including distributions to fund any payments due under the Tax Receivable Agreement. </w:t>
      </w:r>
      <w:r>
        <w:rPr>
          <w:rFonts w:ascii="Times New Roman;sans-serif" w:hAnsi="Times New Roman;sans-serif"/>
          <w:b w:val="false"/>
          <w:color w:val="000000"/>
          <w:sz w:val="20"/>
          <w:shd w:fill="FFFFFF" w:val="clear"/>
        </w:rPr>
        <w:t xml:space="preserve">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For additional information regarding the Tax Receivable Agreement, see the section entitled “ </w:t>
      </w:r>
      <w:r>
        <w:rPr>
          <w:rFonts w:ascii="Times New Roman;sans-serif" w:hAnsi="Times New Roman;sans-serif"/>
          <w:b w:val="false"/>
          <w:color w:val="000000"/>
          <w:sz w:val="20"/>
        </w:rPr>
        <w:t xml:space="preserve">Management’s Discussion and Analysis of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Condition and Results of Operations</w:t>
      </w:r>
      <w:r>
        <w:rPr>
          <w:color w:val="000000"/>
        </w:rPr>
        <w:t>—</w:t>
      </w:r>
      <w:r>
        <w:rPr>
          <w:rFonts w:ascii="Times New Roman;sans-serif" w:hAnsi="Times New Roman;sans-serif"/>
          <w:b w:val="false"/>
          <w:color w:val="000000"/>
          <w:sz w:val="20"/>
        </w:rPr>
        <w:t>Liquidity and Capital Resources—Tax Receivable Agreement” in the Annual Report.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to the extent we have taxable income, we will make distributions to the MarketWise Members in amounts sufficient for the MarketWise Members to pay taxes due on their share of MarketWise income at prevailing individual income tax rates, which for the 2023 tax year the highest federal, state and local tax rate the Company used was 49.75%. While historically we have not been required to make tax distributions, we expect to begin making required tax distributions to MarketWise Members, along with a proportionate payment to MarketWise Inc., as early as the second half of 2024. Such amounts will be reflected in our statement of cash flows as cash used in financing activities, and will not decrease the amount of cash from operations or net income reflected in our financial statements. However, such distributions will decrease the amount of cash available for use in our business.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2024, MarketWise, LLC purchased 7.2 million LLC Units for $10.8 million from two MarketWise Members. For each LLC Unit purchased, MarketWise, Inc. cancelled one Class B share, thereby decreasing the total outstanding Class B shares by 7.2 million. MarketWise, LLC purchased the LLC Units according to the terms of the Third Amended and Restated Limited Liability Company Operating Agreement of MarketWise, LLC (the “MarketWise Operating Agreement”).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Legacy Reorganization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8, 2024, the Company reported that its Board of Directors had committed to a strategic realignment and reorganization (the “Reorganization”) whereby the Company will wind-down the operations of its Legacy Research Group business (“Legacy Research”) in response to misconduct discovered at Legacy Research where certain managers violated the Company’s policies.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the announcement, there were 104 employees at Legacy Research, which represented approximately 18% of the Company’s total employees. We currently estimate that approximately half of these employees will be offered a new role within the Company and the remainder will have their positions eliminated, however, we continue to evaluate. Separation costs incurred in the first quarter 2024 were approximately $0.2 million and approximately $0.5 million in total through May 15, 2024. The annualized compensation costs associated with the terminated employees through May 15, 2024 is approximately $6.1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commitment to the Reorganization, Legacy Research began to significantly curtail business activities including any marketing efforts to acquire new subscribers. As a result of the Reorganization, the Billings of Legacy Research declined from $30.1 million during the fourth quarter 2023, to $15.8 million in Billings during the first quarter 2024. Legacy Research continued to serve existing subscribers and fulfill existing subscriptions during the first quarter 2024. While subscriber refund activity as a percent of Billings increased in the first quarter 2024 relative to prior quarter levels, the amounts were not material. As a result of this increase in refund activity, the Company recorded an increase of $1.6 million to the refund accrual as of March 31,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Reorganization, the Company continues to make efforts to serve existing Legacy Research customers. In April 2024, the Company began offering certain Legacy Research subscribers similar products published by other MarketWise brands, consistent with past Company practice when we cease a publication.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Legacy Research has leased office space and the current lease end date for this property is December 2028. As of March 31, 2024, the operating lease right-of-use asset and related leasehold improvements totaled approximately $2.9 million. The Company was still using this property in its operations and evaluating various alternatives with respect to this property as of March 31,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the Reorganization will be completed in the first half of fiscal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2021, MarketWise, LLC, entered into a loan and security agreement (the “Loan and Security Agreement”) providing for up to $150 million of commitments under a revolving credit facility (the “2021 Credit Facility”), including a $5 million letter of credit sublimit, and allows for revolving commitments under the 2021 Credit Facility to be increased or new term commitments to be established by up to $65 million. The existing lenders under the 2021 Credit Facility are entitled, but not obligated, to provide such incremental commitments. The 2021 Credit Facility has a term of three years, maturing on October 29, 2024. On May 2, 2023, MarketWise, LLC entered into the First Amendment to the Loan and Security Agreement, which provides, among other things, a transition away from LIBOR to SOFR as the basis for the interest rate.</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2021 Credit Facility is guaranteed by MarketWise, LLC’s direct and indirect material U.S. subsidiaries, subject to customary exceptions (the “Guarantors”), pursuant to a guaranty by the Guarantors in favor of HSBC Bank USA, National Association, as agent (the “Guaranty”). Borrowings under the 2021 Credit Facility are secured by a first-priority lien on substantially all of the assets of MarketWise, LLC and the Guarantors, subject to customary exceptions. </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Borrowings will bear interest at a floating rate depending on MarketWise, LLC’s Net Leverage Ratio (as defined in the Loan and Security Agreement). As of </w:t>
      </w:r>
      <w:r>
        <w:rPr>
          <w:rFonts w:ascii="Times New Roman;sans-serif" w:hAnsi="Times New Roman;sans-serif"/>
          <w:b w:val="false"/>
          <w:color w:val="000000"/>
          <w:sz w:val="20"/>
        </w:rPr>
        <w:t>March 31, 2024, there were no outstanding advances under the 2021 Credit Facility.</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The Loan and Security Agreement contains customary affirmative and negative covenants for transactions of this type, and contains financial maintenance covenants that require MarketWise, LLC to maintain an Interest Coverage Ratio and Net Leverage Ratio (both as defined in the Loan and Security Agreement), and provides for a number of customary events of default, which could result in the acceleration of obligations and the termination of lending commitments under the Loan and Security Agreement. As of </w:t>
      </w:r>
      <w:r>
        <w:rPr>
          <w:rFonts w:ascii="Times New Roman;sans-serif" w:hAnsi="Times New Roman;sans-serif"/>
          <w:b w:val="false"/>
          <w:color w:val="000000"/>
          <w:sz w:val="20"/>
        </w:rPr>
        <w:t>March 31, 2024, we were in compliance with these covenants. The Company is currently in discussions with lenders to amend or replace the Credit Facility. While we have no amounts borrowed on the existing Credit Facility, we intend to amend or replace it prior to the maturity date.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consolidated cash flows provided by (used in) operating, investing, and financing activities for the periods indicated:</w:t>
      </w:r>
    </w:p>
    <w:tbl>
      <w:tblPr>
        <w:tblW w:w="6981" w:type="dxa"/>
        <w:jc w:val="left"/>
        <w:tblInd w:w="0" w:type="dxa"/>
        <w:tblLayout w:type="fixed"/>
        <w:tblCellMar>
          <w:top w:w="28" w:type="dxa"/>
          <w:left w:w="28" w:type="dxa"/>
          <w:bottom w:w="28" w:type="dxa"/>
          <w:right w:w="28" w:type="dxa"/>
        </w:tblCellMar>
      </w:tblPr>
      <w:tblGrid>
        <w:gridCol w:w="1527"/>
        <w:gridCol w:w="1342"/>
        <w:gridCol w:w="1346"/>
        <w:gridCol w:w="109"/>
        <w:gridCol w:w="109"/>
        <w:gridCol w:w="109"/>
        <w:gridCol w:w="212"/>
        <w:gridCol w:w="803"/>
        <w:gridCol w:w="109"/>
        <w:gridCol w:w="109"/>
        <w:gridCol w:w="109"/>
        <w:gridCol w:w="109"/>
        <w:gridCol w:w="212"/>
        <w:gridCol w:w="621"/>
        <w:gridCol w:w="155"/>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180"/>
        <w:jc w:val="left"/>
        <w:rPr/>
      </w:pP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three months ended March 31, 2024</w:t>
      </w:r>
      <w:r>
        <w:rPr>
          <w:rFonts w:ascii="Times New Roman;sans-serif" w:hAnsi="Times New Roman;sans-serif"/>
          <w:b w:val="false"/>
          <w:color w:val="000000"/>
          <w:sz w:val="20"/>
        </w:rPr>
        <w:t>, net cash used in operating activities was $18.5 million, primarily due to net changes in our operating assets and liabilities which reduced cash by $46.8 million, partially offset by net income of $22.7 million, adjusted for net non-cash items which increased cash by $5.6 million. The non-cash items include stock-based compensation expense of $3.8 million, and depreciation and amortization of $0.7 million. The changes in operating assets and liabilities were primarily driven by an decrease in deferred revenue, which decreased cash by $30.9 million due to our overall decrease in sales, a decrease in accrued expenses, which decreased cash by $33.0 million, and a net increase due to deferred contract acquisition costs of $13.8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provided by operating activities was $3.9 million, primarily due to net income of $30.6 million, adjusted for net non-cash items which increased cash by $7.1 million, and net changes in our operating assets and liabilities which reduced cash by $33.8 million. The non-cash items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include a change in fair value of derivative liabilities of $1.0 million, and stock-based compensation expense of $3.7 million. The changes in operating assets and liabilities were primarily driven by an decrease in deferred revenue, which decreased cash by $29.3 million due to our overall decrease in sales, a decrease in accrued expenses, which decreased cash by $16.2 million, and a net increase due to deferred contract acquisition costs of $9.8 million.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180"/>
        <w:jc w:val="left"/>
        <w:rPr/>
      </w:pP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three months ended March 31, 2024</w:t>
      </w:r>
      <w:r>
        <w:rPr>
          <w:rFonts w:ascii="Times New Roman;sans-serif" w:hAnsi="Times New Roman;sans-serif"/>
          <w:b w:val="false"/>
          <w:color w:val="000000"/>
          <w:sz w:val="20"/>
        </w:rPr>
        <w:t xml:space="preserve">, net cash used in investing activities was $0.3 million.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used in investing activities was $0.4 million.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80"/>
        <w:jc w:val="left"/>
        <w:rPr/>
      </w:pP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three months ended March 31, 2024</w:t>
      </w:r>
      <w:r>
        <w:rPr>
          <w:rFonts w:ascii="Times New Roman;sans-serif" w:hAnsi="Times New Roman;sans-serif"/>
          <w:b w:val="false"/>
          <w:color w:val="000000"/>
          <w:sz w:val="20"/>
        </w:rPr>
        <w:t>, net cash used in financing activities was $5.2 million, primarily driven by dividends and distributions paid.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used in financing activities was $0.6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have been prepared in accordance with GAAP. The preparation of these condensed consolidated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of our significant accounting policies, which are described in Note 2 to our consolidated financial statements for the year ended December 31, 2023 in our Annual Report, the following accounting policies involve a greater degree of judgment and complexity. Accordingly, management believes that “Revenue Recognition” and “Transactions and Valuation of Goodwill and Other Acquired Intangible Assets” are the two policies that are the most critical to aid in fully understanding and evaluating our condensed consolidated financial condition and results of operations. Refer to the 2023 Annual Report on Form 10-K for further discussion of these two policies. During the three months ended March 31, 2024, there were no material changes to these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as of the end of the period covered by this Quarterly Report on Form 10-Q, the effectiveness of the design and operation of our disclosure controls and procedures (as defined in Rules 13a-15(e) and 15d-15(e) under the Exchange Act of 1934, as amended (the “Exchange Act”)). Based on that evaluation, our Chief Executive Officer and Chief Financial Officer concluded that, as of March 31, 2024, the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occurred during the quarter ended March 31, 2024, that have materially affected, or are reasonably likely to materially affect, our internal control over financial reporting identified in connection with the evaluation required by Rule 13a-15(d) and 15d-15(d)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The risks described below could have a material adverse impact on our business, financial condition, or operating results. Although it is not possible to predict or identify all such risks and uncertainties, they may include, but are not limited to, the factors discussed below.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risk factors disclosed in Part 1, Item 1A,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325"/>
        <w:gridCol w:w="286"/>
        <w:gridCol w:w="288"/>
        <w:gridCol w:w="109"/>
        <w:gridCol w:w="109"/>
        <w:gridCol w:w="109"/>
        <w:gridCol w:w="2625"/>
        <w:gridCol w:w="2625"/>
        <w:gridCol w:w="3729"/>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02410-q_exhibit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02410-q_exhibit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02410-q_exhibit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02410-q_exhibit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4851" w:type="dxa"/>
        <w:jc w:val="left"/>
        <w:tblInd w:w="0" w:type="dxa"/>
        <w:tblLayout w:type="fixed"/>
        <w:tblCellMar>
          <w:top w:w="28" w:type="dxa"/>
          <w:left w:w="28" w:type="dxa"/>
          <w:bottom w:w="28" w:type="dxa"/>
          <w:right w:w="28" w:type="dxa"/>
        </w:tblCellMar>
      </w:tblPr>
      <w:tblGrid>
        <w:gridCol w:w="629"/>
        <w:gridCol w:w="554"/>
        <w:gridCol w:w="557"/>
        <w:gridCol w:w="367"/>
        <w:gridCol w:w="367"/>
        <w:gridCol w:w="367"/>
        <w:gridCol w:w="588"/>
        <w:gridCol w:w="588"/>
        <w:gridCol w:w="83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MARKETWISE,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2024</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Erik Mickels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Erik Mickels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Porter Stansberry, certify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MarketWise, Inc. (the “registrant”) for the fiscal quarter ended March 31, 2024;</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76" w:type="dxa"/>
        <w:jc w:val="left"/>
        <w:tblInd w:w="0" w:type="dxa"/>
        <w:tblLayout w:type="fixed"/>
        <w:tblCellMar>
          <w:top w:w="28" w:type="dxa"/>
          <w:left w:w="28" w:type="dxa"/>
          <w:bottom w:w="28" w:type="dxa"/>
          <w:right w:w="28" w:type="dxa"/>
        </w:tblCellMar>
      </w:tblPr>
      <w:tblGrid>
        <w:gridCol w:w="629"/>
        <w:gridCol w:w="554"/>
        <w:gridCol w:w="557"/>
        <w:gridCol w:w="289"/>
        <w:gridCol w:w="289"/>
        <w:gridCol w:w="289"/>
        <w:gridCol w:w="602"/>
        <w:gridCol w:w="602"/>
        <w:gridCol w:w="86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MarketWise,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2024</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Porter Stansberry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Porter Stansberry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Erik Mickels, certify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MarketWise, Inc. (the “registrant”) for the fiscal quarter ended March 31, 2024;</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16" w:type="dxa"/>
        <w:jc w:val="left"/>
        <w:tblInd w:w="0" w:type="dxa"/>
        <w:tblLayout w:type="fixed"/>
        <w:tblCellMar>
          <w:top w:w="28" w:type="dxa"/>
          <w:left w:w="28" w:type="dxa"/>
          <w:bottom w:w="28" w:type="dxa"/>
          <w:right w:w="28" w:type="dxa"/>
        </w:tblCellMar>
      </w:tblPr>
      <w:tblGrid>
        <w:gridCol w:w="629"/>
        <w:gridCol w:w="554"/>
        <w:gridCol w:w="557"/>
        <w:gridCol w:w="289"/>
        <w:gridCol w:w="289"/>
        <w:gridCol w:w="289"/>
        <w:gridCol w:w="586"/>
        <w:gridCol w:w="586"/>
        <w:gridCol w:w="83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MarketWise,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2024</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Erik Mickels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Erik Mickels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Porter Stansberry, certify, pursuant to 18 U.S.C. Section 1350, as adopted pursuant to Section 906 of the Sarbanes-Oxley Act of 2002, that the Quarterly Report on Form 10-Q of MarketWise, Inc. for the fiscal quarter ended March 31, 2024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tbl>
      <w:tblPr>
        <w:tblW w:w="4676" w:type="dxa"/>
        <w:jc w:val="left"/>
        <w:tblInd w:w="0" w:type="dxa"/>
        <w:tblLayout w:type="fixed"/>
        <w:tblCellMar>
          <w:top w:w="28" w:type="dxa"/>
          <w:left w:w="28" w:type="dxa"/>
          <w:bottom w:w="28" w:type="dxa"/>
          <w:right w:w="28" w:type="dxa"/>
        </w:tblCellMar>
      </w:tblPr>
      <w:tblGrid>
        <w:gridCol w:w="629"/>
        <w:gridCol w:w="554"/>
        <w:gridCol w:w="557"/>
        <w:gridCol w:w="289"/>
        <w:gridCol w:w="289"/>
        <w:gridCol w:w="289"/>
        <w:gridCol w:w="602"/>
        <w:gridCol w:w="602"/>
        <w:gridCol w:w="86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MarketWise,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2024</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Porter Stansberry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Porter Stansberry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Erik Mickels, certify, pursuant to 18 U.S.C. Section 1350, as adopted pursuant to Section 906 of the Sarbanes-Oxley Act of 2002, that the Quarterly Report on Form 10-Q of MarketWise, Inc. for the fiscal quarter ended March 31, 2024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tbl>
      <w:tblPr>
        <w:tblW w:w="4616" w:type="dxa"/>
        <w:jc w:val="left"/>
        <w:tblInd w:w="0" w:type="dxa"/>
        <w:tblLayout w:type="fixed"/>
        <w:tblCellMar>
          <w:top w:w="28" w:type="dxa"/>
          <w:left w:w="28" w:type="dxa"/>
          <w:bottom w:w="28" w:type="dxa"/>
          <w:right w:w="28" w:type="dxa"/>
        </w:tblCellMar>
      </w:tblPr>
      <w:tblGrid>
        <w:gridCol w:w="629"/>
        <w:gridCol w:w="554"/>
        <w:gridCol w:w="557"/>
        <w:gridCol w:w="289"/>
        <w:gridCol w:w="289"/>
        <w:gridCol w:w="289"/>
        <w:gridCol w:w="586"/>
        <w:gridCol w:w="586"/>
        <w:gridCol w:w="83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MarketWise,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2024</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Erik Mickels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Erik Mickels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18938</Words>
  <Characters>106064</Characters>
  <CharactersWithSpaces>123784</CharactersWithSpaces>
  <Paragraphs>2339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