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199390</wp:posOffset>
            </wp:positionH>
            <wp:positionV relativeFrom="page">
              <wp:posOffset>579120</wp:posOffset>
            </wp:positionV>
            <wp:extent cx="715073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0735" cy="7620"/>
                    </a:xfrm>
                    <a:prstGeom prst="rect">
                      <a:avLst/>
                    </a:prstGeom>
                    <a:noFill/>
                  </pic:spPr>
                </pic:pic>
              </a:graphicData>
            </a:graphic>
          </wp:anchor>
        </w:drawing>
        <w:drawing>
          <wp:anchor simplePos="0" relativeHeight="251657728" behindDoc="1" locked="0" layoutInCell="0" allowOverlap="1">
            <wp:simplePos x="0" y="0"/>
            <wp:positionH relativeFrom="page">
              <wp:posOffset>199390</wp:posOffset>
            </wp:positionH>
            <wp:positionV relativeFrom="page">
              <wp:posOffset>601345</wp:posOffset>
            </wp:positionV>
            <wp:extent cx="71507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0735" cy="762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2654300</wp:posOffset>
            </wp:positionH>
            <wp:positionV relativeFrom="paragraph">
              <wp:posOffset>50165</wp:posOffset>
            </wp:positionV>
            <wp:extent cx="183388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3880" cy="7620"/>
                    </a:xfrm>
                    <a:prstGeom prst="rect">
                      <a:avLst/>
                    </a:prstGeom>
                    <a:noFill/>
                  </pic:spPr>
                </pic:pic>
              </a:graphicData>
            </a:graphic>
          </wp:anchor>
        </w:drawing>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2795270</wp:posOffset>
            </wp:positionH>
            <wp:positionV relativeFrom="paragraph">
              <wp:posOffset>130175</wp:posOffset>
            </wp:positionV>
            <wp:extent cx="155956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9560" cy="7620"/>
                    </a:xfrm>
                    <a:prstGeom prst="rect">
                      <a:avLst/>
                    </a:prstGeom>
                    <a:noFill/>
                  </pic:spPr>
                </pic:pic>
              </a:graphicData>
            </a:graphic>
          </wp:anchor>
        </w:drawing>
      </w:r>
    </w:p>
    <w:p>
      <w:pPr>
        <w:spacing w:after="0" w:line="400" w:lineRule="exact"/>
        <w:rPr>
          <w:sz w:val="24"/>
          <w:szCs w:val="24"/>
          <w:color w:val="auto"/>
        </w:rPr>
      </w:pPr>
    </w:p>
    <w:p>
      <w:pPr>
        <w:ind w:left="1960" w:hanging="530"/>
        <w:spacing w:after="0"/>
        <w:tabs>
          <w:tab w:leader="none" w:pos="19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 the fiscal year ended December 31, 2023</w:t>
      </w:r>
    </w:p>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188" w:lineRule="exact"/>
        <w:rPr>
          <w:sz w:val="24"/>
          <w:szCs w:val="24"/>
          <w:color w:val="auto"/>
        </w:rPr>
      </w:pPr>
    </w:p>
    <w:p>
      <w:pPr>
        <w:ind w:left="1880" w:right="1800" w:hanging="378"/>
        <w:spacing w:after="0" w:line="271" w:lineRule="auto"/>
        <w:tabs>
          <w:tab w:leader="none" w:pos="188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95" w:lineRule="exact"/>
        <w:rPr>
          <w:sz w:val="24"/>
          <w:szCs w:val="24"/>
          <w:color w:val="auto"/>
        </w:rPr>
      </w:pPr>
    </w:p>
    <w:tbl>
      <w:tblPr>
        <w:tblLayout w:type="fixed"/>
        <w:tblInd w:w="4180" w:type="dxa"/>
        <w:tblCellMar>
          <w:top w:w="0" w:type="dxa"/>
          <w:left w:w="0" w:type="dxa"/>
          <w:bottom w:w="0" w:type="dxa"/>
          <w:right w:w="0" w:type="dxa"/>
        </w:tblCellMar>
      </w:tblPr>
      <w:tr>
        <w:trPr>
          <w:trHeight w:val="203"/>
        </w:trPr>
        <w:tc>
          <w:tcPr>
            <w:tcW w:w="21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For the transition period from</w:t>
            </w:r>
          </w:p>
        </w:tc>
        <w:tc>
          <w:tcPr>
            <w:tcW w:w="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w:t>
            </w:r>
          </w:p>
        </w:tc>
      </w:tr>
      <w:tr>
        <w:trPr>
          <w:trHeight w:val="327"/>
        </w:trPr>
        <w:tc>
          <w:tcPr>
            <w:tcW w:w="288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Commission File Number: 001-39405</w:t>
            </w:r>
          </w:p>
        </w:tc>
      </w:tr>
      <w:tr>
        <w:trPr>
          <w:trHeight w:val="118"/>
        </w:trPr>
        <w:tc>
          <w:tcPr>
            <w:tcW w:w="2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r>
    </w:tbl>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MarketWise, Inc.</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2654300</wp:posOffset>
            </wp:positionH>
            <wp:positionV relativeFrom="paragraph">
              <wp:posOffset>86995</wp:posOffset>
            </wp:positionV>
            <wp:extent cx="183388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33880" cy="7620"/>
                    </a:xfrm>
                    <a:prstGeom prst="rect">
                      <a:avLst/>
                    </a:prstGeom>
                    <a:noFill/>
                  </pic:spPr>
                </pic:pic>
              </a:graphicData>
            </a:graphic>
          </wp:anchor>
        </w:drawing>
      </w:r>
    </w:p>
    <w:p>
      <w:pPr>
        <w:spacing w:after="0" w:line="324" w:lineRule="exact"/>
        <w:rPr>
          <w:sz w:val="24"/>
          <w:szCs w:val="24"/>
          <w:color w:val="auto"/>
        </w:rPr>
      </w:pPr>
    </w:p>
    <w:tbl>
      <w:tblPr>
        <w:tblLayout w:type="fixed"/>
        <w:tblInd w:w="1500" w:type="dxa"/>
        <w:tblCellMar>
          <w:top w:w="0" w:type="dxa"/>
          <w:left w:w="0" w:type="dxa"/>
          <w:bottom w:w="0" w:type="dxa"/>
          <w:right w:w="0" w:type="dxa"/>
        </w:tblCellMar>
      </w:tblPr>
      <w:tr>
        <w:trPr>
          <w:trHeight w:val="185"/>
        </w:trPr>
        <w:tc>
          <w:tcPr>
            <w:tcW w:w="6020" w:type="dxa"/>
            <w:vAlign w:val="bottom"/>
            <w:gridSpan w:val="3"/>
          </w:tcPr>
          <w:p>
            <w:pPr>
              <w:jc w:val="center"/>
              <w:ind w:right="340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150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87-1767914</w:t>
            </w:r>
          </w:p>
        </w:tc>
      </w:tr>
      <w:tr>
        <w:trPr>
          <w:trHeight w:val="172"/>
        </w:trPr>
        <w:tc>
          <w:tcPr>
            <w:tcW w:w="6020" w:type="dxa"/>
            <w:vAlign w:val="bottom"/>
            <w:gridSpan w:val="3"/>
          </w:tcPr>
          <w:p>
            <w:pPr>
              <w:jc w:val="center"/>
              <w:ind w:right="3400"/>
              <w:spacing w:after="0"/>
              <w:rPr>
                <w:sz w:val="20"/>
                <w:szCs w:val="20"/>
                <w:color w:val="auto"/>
              </w:rPr>
            </w:pPr>
            <w:r>
              <w:rPr>
                <w:rFonts w:ascii="Times New Roman" w:cs="Times New Roman" w:eastAsia="Times New Roman" w:hAnsi="Times New Roman"/>
                <w:sz w:val="12"/>
                <w:szCs w:val="12"/>
                <w:color w:val="auto"/>
              </w:rPr>
              <w:t>(State or other jurisdiction of</w:t>
            </w:r>
          </w:p>
        </w:tc>
        <w:tc>
          <w:tcPr>
            <w:tcW w:w="1500" w:type="dxa"/>
            <w:vAlign w:val="bottom"/>
          </w:tcPr>
          <w:p>
            <w:pPr>
              <w:jc w:val="center"/>
              <w:ind w:left="253"/>
              <w:spacing w:after="0"/>
              <w:rPr>
                <w:sz w:val="20"/>
                <w:szCs w:val="20"/>
                <w:color w:val="auto"/>
              </w:rPr>
            </w:pPr>
            <w:r>
              <w:rPr>
                <w:rFonts w:ascii="Times New Roman" w:cs="Times New Roman" w:eastAsia="Times New Roman" w:hAnsi="Times New Roman"/>
                <w:sz w:val="12"/>
                <w:szCs w:val="12"/>
                <w:color w:val="auto"/>
              </w:rPr>
              <w:t>(I.R.S. Employer</w:t>
            </w:r>
          </w:p>
        </w:tc>
      </w:tr>
      <w:tr>
        <w:trPr>
          <w:trHeight w:val="163"/>
        </w:trPr>
        <w:tc>
          <w:tcPr>
            <w:tcW w:w="6020" w:type="dxa"/>
            <w:vAlign w:val="bottom"/>
            <w:gridSpan w:val="3"/>
          </w:tcPr>
          <w:p>
            <w:pPr>
              <w:jc w:val="center"/>
              <w:ind w:right="3400"/>
              <w:spacing w:after="0"/>
              <w:rPr>
                <w:sz w:val="20"/>
                <w:szCs w:val="20"/>
                <w:color w:val="auto"/>
              </w:rPr>
            </w:pPr>
            <w:r>
              <w:rPr>
                <w:rFonts w:ascii="Times New Roman" w:cs="Times New Roman" w:eastAsia="Times New Roman" w:hAnsi="Times New Roman"/>
                <w:sz w:val="12"/>
                <w:szCs w:val="12"/>
                <w:color w:val="auto"/>
              </w:rPr>
              <w:t>incorporation or organization)</w:t>
            </w:r>
          </w:p>
        </w:tc>
        <w:tc>
          <w:tcPr>
            <w:tcW w:w="1500" w:type="dxa"/>
            <w:vAlign w:val="bottom"/>
          </w:tcPr>
          <w:p>
            <w:pPr>
              <w:jc w:val="center"/>
              <w:ind w:left="273"/>
              <w:spacing w:after="0"/>
              <w:rPr>
                <w:sz w:val="20"/>
                <w:szCs w:val="20"/>
                <w:color w:val="auto"/>
              </w:rPr>
            </w:pPr>
            <w:r>
              <w:rPr>
                <w:rFonts w:ascii="Times New Roman" w:cs="Times New Roman" w:eastAsia="Times New Roman" w:hAnsi="Times New Roman"/>
                <w:sz w:val="12"/>
                <w:szCs w:val="12"/>
                <w:color w:val="auto"/>
              </w:rPr>
              <w:t>Identification Number)</w:t>
            </w:r>
          </w:p>
        </w:tc>
      </w:tr>
      <w:tr>
        <w:trPr>
          <w:trHeight w:val="448"/>
        </w:trPr>
        <w:tc>
          <w:tcPr>
            <w:tcW w:w="6020" w:type="dxa"/>
            <w:vAlign w:val="bottom"/>
            <w:gridSpan w:val="3"/>
          </w:tcPr>
          <w:p>
            <w:pPr>
              <w:jc w:val="center"/>
              <w:ind w:right="3380"/>
              <w:spacing w:after="0"/>
              <w:rPr>
                <w:sz w:val="20"/>
                <w:szCs w:val="20"/>
                <w:color w:val="auto"/>
              </w:rPr>
            </w:pPr>
            <w:r>
              <w:rPr>
                <w:rFonts w:ascii="Times New Roman" w:cs="Times New Roman" w:eastAsia="Times New Roman" w:hAnsi="Times New Roman"/>
                <w:sz w:val="14"/>
                <w:szCs w:val="14"/>
                <w:b w:val="1"/>
                <w:bCs w:val="1"/>
                <w:color w:val="auto"/>
                <w:w w:val="99"/>
              </w:rPr>
              <w:t>1125 N. Charles Street Baltimore, Maryland</w:t>
            </w:r>
          </w:p>
        </w:tc>
        <w:tc>
          <w:tcPr>
            <w:tcW w:w="15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21201</w:t>
            </w:r>
          </w:p>
        </w:tc>
      </w:tr>
      <w:tr>
        <w:trPr>
          <w:trHeight w:val="187"/>
        </w:trPr>
        <w:tc>
          <w:tcPr>
            <w:tcW w:w="6020" w:type="dxa"/>
            <w:vAlign w:val="bottom"/>
            <w:gridSpan w:val="3"/>
          </w:tcPr>
          <w:p>
            <w:pPr>
              <w:jc w:val="center"/>
              <w:ind w:right="3400"/>
              <w:spacing w:after="0"/>
              <w:rPr>
                <w:sz w:val="20"/>
                <w:szCs w:val="20"/>
                <w:color w:val="auto"/>
              </w:rPr>
            </w:pPr>
            <w:r>
              <w:rPr>
                <w:rFonts w:ascii="Times New Roman" w:cs="Times New Roman" w:eastAsia="Times New Roman" w:hAnsi="Times New Roman"/>
                <w:sz w:val="14"/>
                <w:szCs w:val="14"/>
                <w:color w:val="auto"/>
                <w:w w:val="99"/>
              </w:rPr>
              <w:t>(Address of principal executive offices)</w:t>
            </w:r>
          </w:p>
        </w:tc>
        <w:tc>
          <w:tcPr>
            <w:tcW w:w="1500" w:type="dxa"/>
            <w:vAlign w:val="bottom"/>
          </w:tcPr>
          <w:p>
            <w:pPr>
              <w:jc w:val="center"/>
              <w:ind w:left="293"/>
              <w:spacing w:after="0"/>
              <w:rPr>
                <w:sz w:val="20"/>
                <w:szCs w:val="20"/>
                <w:color w:val="auto"/>
              </w:rPr>
            </w:pPr>
            <w:r>
              <w:rPr>
                <w:rFonts w:ascii="Times New Roman" w:cs="Times New Roman" w:eastAsia="Times New Roman" w:hAnsi="Times New Roman"/>
                <w:sz w:val="14"/>
                <w:szCs w:val="14"/>
                <w:color w:val="auto"/>
              </w:rPr>
              <w:t>(Zip Code)</w:t>
            </w:r>
          </w:p>
        </w:tc>
      </w:tr>
      <w:tr>
        <w:trPr>
          <w:trHeight w:val="323"/>
        </w:trPr>
        <w:tc>
          <w:tcPr>
            <w:tcW w:w="6020" w:type="dxa"/>
            <w:vAlign w:val="bottom"/>
            <w:gridSpan w:val="3"/>
          </w:tcPr>
          <w:p>
            <w:pPr>
              <w:jc w:val="center"/>
              <w:ind w:left="2154"/>
              <w:spacing w:after="0"/>
              <w:rPr>
                <w:sz w:val="20"/>
                <w:szCs w:val="20"/>
                <w:color w:val="auto"/>
              </w:rPr>
            </w:pPr>
            <w:r>
              <w:rPr>
                <w:rFonts w:ascii="Times New Roman" w:cs="Times New Roman" w:eastAsia="Times New Roman" w:hAnsi="Times New Roman"/>
                <w:sz w:val="12"/>
                <w:szCs w:val="12"/>
                <w:color w:val="auto"/>
              </w:rPr>
              <w:t>(Address of principal executive offices, including zip code)</w:t>
            </w:r>
          </w:p>
        </w:tc>
        <w:tc>
          <w:tcPr>
            <w:tcW w:w="1500" w:type="dxa"/>
            <w:vAlign w:val="bottom"/>
          </w:tcPr>
          <w:p>
            <w:pPr>
              <w:spacing w:after="0"/>
              <w:rPr>
                <w:sz w:val="24"/>
                <w:szCs w:val="24"/>
                <w:color w:val="auto"/>
              </w:rPr>
            </w:pPr>
          </w:p>
        </w:tc>
      </w:tr>
      <w:tr>
        <w:trPr>
          <w:trHeight w:val="172"/>
        </w:trPr>
        <w:tc>
          <w:tcPr>
            <w:tcW w:w="2680" w:type="dxa"/>
            <w:vAlign w:val="bottom"/>
          </w:tcPr>
          <w:p>
            <w:pPr>
              <w:spacing w:after="0"/>
              <w:rPr>
                <w:sz w:val="15"/>
                <w:szCs w:val="15"/>
                <w:color w:val="auto"/>
              </w:rPr>
            </w:pPr>
          </w:p>
        </w:tc>
        <w:tc>
          <w:tcPr>
            <w:tcW w:w="288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326"/>
        </w:trPr>
        <w:tc>
          <w:tcPr>
            <w:tcW w:w="5560" w:type="dxa"/>
            <w:vAlign w:val="bottom"/>
            <w:gridSpan w:val="2"/>
          </w:tcPr>
          <w:p>
            <w:pPr>
              <w:jc w:val="center"/>
              <w:ind w:left="2614"/>
              <w:spacing w:after="0"/>
              <w:rPr>
                <w:sz w:val="20"/>
                <w:szCs w:val="20"/>
                <w:color w:val="auto"/>
              </w:rPr>
            </w:pPr>
            <w:r>
              <w:rPr>
                <w:rFonts w:ascii="Times New Roman" w:cs="Times New Roman" w:eastAsia="Times New Roman" w:hAnsi="Times New Roman"/>
                <w:sz w:val="14"/>
                <w:szCs w:val="14"/>
                <w:b w:val="1"/>
                <w:bCs w:val="1"/>
                <w:color w:val="auto"/>
              </w:rPr>
              <w:t>(888) 261-2693</w:t>
            </w: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42"/>
        </w:trPr>
        <w:tc>
          <w:tcPr>
            <w:tcW w:w="2680" w:type="dxa"/>
            <w:vAlign w:val="bottom"/>
          </w:tcPr>
          <w:p>
            <w:pPr>
              <w:spacing w:after="0"/>
              <w:rPr>
                <w:sz w:val="21"/>
                <w:szCs w:val="21"/>
                <w:color w:val="auto"/>
              </w:rPr>
            </w:pPr>
          </w:p>
        </w:tc>
        <w:tc>
          <w:tcPr>
            <w:tcW w:w="3340" w:type="dxa"/>
            <w:vAlign w:val="bottom"/>
            <w:gridSpan w:val="2"/>
          </w:tcPr>
          <w:p>
            <w:pPr>
              <w:jc w:val="center"/>
              <w:ind w:right="460"/>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tc>
        <w:tc>
          <w:tcPr>
            <w:tcW w:w="1500" w:type="dxa"/>
            <w:vAlign w:val="bottom"/>
          </w:tcPr>
          <w:p>
            <w:pPr>
              <w:spacing w:after="0"/>
              <w:rPr>
                <w:sz w:val="21"/>
                <w:szCs w:val="21"/>
                <w:color w:val="auto"/>
              </w:rPr>
            </w:pPr>
          </w:p>
        </w:tc>
      </w:tr>
      <w:tr>
        <w:trPr>
          <w:trHeight w:val="172"/>
        </w:trPr>
        <w:tc>
          <w:tcPr>
            <w:tcW w:w="2680" w:type="dxa"/>
            <w:vAlign w:val="bottom"/>
          </w:tcPr>
          <w:p>
            <w:pPr>
              <w:spacing w:after="0"/>
              <w:rPr>
                <w:sz w:val="15"/>
                <w:szCs w:val="15"/>
                <w:color w:val="auto"/>
              </w:rPr>
            </w:pPr>
          </w:p>
        </w:tc>
        <w:tc>
          <w:tcPr>
            <w:tcW w:w="288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99"/>
        </w:trPr>
        <w:tc>
          <w:tcPr>
            <w:tcW w:w="6020" w:type="dxa"/>
            <w:vAlign w:val="bottom"/>
            <w:gridSpan w:val="3"/>
          </w:tcPr>
          <w:p>
            <w:pPr>
              <w:jc w:val="center"/>
              <w:ind w:left="2174"/>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tc>
        <w:tc>
          <w:tcPr>
            <w:tcW w:w="1500" w:type="dxa"/>
            <w:vAlign w:val="bottom"/>
          </w:tcPr>
          <w:p>
            <w:pPr>
              <w:spacing w:after="0"/>
              <w:rPr>
                <w:sz w:val="24"/>
                <w:szCs w:val="24"/>
                <w:color w:val="auto"/>
              </w:rPr>
            </w:pPr>
          </w:p>
        </w:tc>
      </w:tr>
      <w:tr>
        <w:trPr>
          <w:trHeight w:val="172"/>
        </w:trPr>
        <w:tc>
          <w:tcPr>
            <w:tcW w:w="2680" w:type="dxa"/>
            <w:vAlign w:val="bottom"/>
          </w:tcPr>
          <w:p>
            <w:pPr>
              <w:spacing w:after="0"/>
              <w:rPr>
                <w:sz w:val="15"/>
                <w:szCs w:val="15"/>
                <w:color w:val="auto"/>
              </w:rPr>
            </w:pPr>
          </w:p>
        </w:tc>
        <w:tc>
          <w:tcPr>
            <w:tcW w:w="2880" w:type="dxa"/>
            <w:vAlign w:val="bottom"/>
            <w:tcBorders>
              <w:bottom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500" w:type="dxa"/>
            <w:vAlign w:val="bottom"/>
          </w:tcPr>
          <w:p>
            <w:pPr>
              <w:spacing w:after="0"/>
              <w:rPr>
                <w:sz w:val="15"/>
                <w:szCs w:val="15"/>
                <w:color w:val="auto"/>
              </w:rPr>
            </w:pPr>
          </w:p>
        </w:tc>
      </w:tr>
    </w:tbl>
    <w:p>
      <w:pPr>
        <w:spacing w:after="0" w:line="20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38" w:orient="portrait"/>
          <w:cols w:equalWidth="0" w:num="1">
            <w:col w:w="11260"/>
          </w:cols>
          <w:pgMar w:left="320" w:top="1008" w:right="319" w:bottom="1440" w:gutter="0" w:footer="0" w:header="0"/>
        </w:sectPr>
      </w:pPr>
    </w:p>
    <w:p>
      <w:pPr>
        <w:spacing w:after="0" w:line="188" w:lineRule="exact"/>
        <w:rPr>
          <w:sz w:val="24"/>
          <w:szCs w:val="24"/>
          <w:color w:val="auto"/>
        </w:rPr>
      </w:pPr>
    </w:p>
    <w:p>
      <w:pPr>
        <w:jc w:val="center"/>
        <w:ind w:left="180"/>
        <w:spacing w:after="0"/>
        <w:rPr>
          <w:sz w:val="20"/>
          <w:szCs w:val="20"/>
          <w:color w:val="auto"/>
        </w:rPr>
      </w:pPr>
      <w:r>
        <w:rPr>
          <w:rFonts w:ascii="Times New Roman" w:cs="Times New Roman" w:eastAsia="Times New Roman" w:hAnsi="Times New Roman"/>
          <w:sz w:val="16"/>
          <w:szCs w:val="16"/>
          <w:b w:val="1"/>
          <w:bCs w:val="1"/>
          <w:color w:val="auto"/>
        </w:rPr>
        <w:t>Title of each class</w:t>
      </w:r>
    </w:p>
    <w:p>
      <w:pPr>
        <w:spacing w:after="0" w:line="179" w:lineRule="exact"/>
        <w:rPr>
          <w:sz w:val="24"/>
          <w:szCs w:val="24"/>
          <w:color w:val="auto"/>
        </w:rPr>
      </w:pPr>
    </w:p>
    <w:p>
      <w:pPr>
        <w:jc w:val="center"/>
        <w:ind w:left="180"/>
        <w:spacing w:after="0"/>
        <w:rPr>
          <w:sz w:val="20"/>
          <w:szCs w:val="20"/>
          <w:color w:val="auto"/>
        </w:rPr>
      </w:pPr>
      <w:r>
        <w:rPr>
          <w:rFonts w:ascii="Times New Roman" w:cs="Times New Roman" w:eastAsia="Times New Roman" w:hAnsi="Times New Roman"/>
          <w:sz w:val="14"/>
          <w:szCs w:val="14"/>
          <w:b w:val="1"/>
          <w:bCs w:val="1"/>
          <w:color w:val="auto"/>
        </w:rPr>
        <w:t>Class A common stock, $0.0001 par value per share</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2"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6"/>
          <w:szCs w:val="16"/>
          <w:b w:val="1"/>
          <w:bCs w:val="1"/>
          <w:color w:val="auto"/>
        </w:rPr>
        <w:t>MKTW</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202"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p>
      <w:pPr>
        <w:spacing w:after="0" w:line="182" w:lineRule="exact"/>
        <w:rPr>
          <w:sz w:val="24"/>
          <w:szCs w:val="24"/>
          <w:color w:val="auto"/>
        </w:rPr>
      </w:pPr>
    </w:p>
    <w:p>
      <w:pPr>
        <w:sectPr>
          <w:pgSz w:w="11900" w:h="16838" w:orient="portrait"/>
          <w:cols w:equalWidth="0" w:num="3">
            <w:col w:w="4300" w:space="720"/>
            <w:col w:w="1680" w:space="720"/>
            <w:col w:w="3840"/>
          </w:cols>
          <w:pgMar w:left="320" w:top="1008" w:right="319" w:bottom="1440" w:gutter="0" w:footer="0" w:header="0"/>
          <w:type w:val="continuous"/>
        </w:sectPr>
      </w:pPr>
    </w:p>
    <w:p>
      <w:pPr>
        <w:ind w:right="3320"/>
        <w:spacing w:after="0" w:line="259"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9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15(d).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w:t>
      </w:r>
    </w:p>
    <w:p>
      <w:pPr>
        <w:spacing w:after="0" w:line="38" w:lineRule="exact"/>
        <w:rPr>
          <w:sz w:val="24"/>
          <w:szCs w:val="24"/>
          <w:color w:val="auto"/>
        </w:rPr>
      </w:pPr>
    </w:p>
    <w:p>
      <w:pPr>
        <w:ind w:right="540"/>
        <w:spacing w:after="0" w:line="202" w:lineRule="exact"/>
        <w:rPr>
          <w:sz w:val="20"/>
          <w:szCs w:val="20"/>
          <w:color w:val="auto"/>
        </w:rPr>
      </w:pPr>
      <w:r>
        <w:rPr>
          <w:rFonts w:ascii="Times New Roman" w:cs="Times New Roman" w:eastAsia="Times New Roman" w:hAnsi="Times New Roman"/>
          <w:sz w:val="16"/>
          <w:szCs w:val="16"/>
          <w:color w:val="auto"/>
        </w:rPr>
        <w:t xml:space="preserve">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63"/>
        </w:trPr>
        <w:tc>
          <w:tcPr>
            <w:tcW w:w="8400" w:type="dxa"/>
            <w:vAlign w:val="bottom"/>
          </w:tcPr>
          <w:p>
            <w:pPr>
              <w:jc w:val="right"/>
              <w:ind w:right="542"/>
              <w:spacing w:after="0"/>
              <w:rPr>
                <w:sz w:val="20"/>
                <w:szCs w:val="20"/>
                <w:color w:val="auto"/>
              </w:rPr>
            </w:pPr>
            <w:r>
              <w:rPr>
                <w:rFonts w:ascii="Times New Roman" w:cs="Times New Roman" w:eastAsia="Times New Roman" w:hAnsi="Times New Roman"/>
                <w:sz w:val="16"/>
                <w:szCs w:val="16"/>
                <w:color w:val="auto"/>
                <w:w w:val="97"/>
              </w:rPr>
              <w:t>this chapter) during the preceding 12 months (or for such shorter period that the registrant was required to submit such files).</w:t>
            </w:r>
          </w:p>
        </w:tc>
        <w:tc>
          <w:tcPr>
            <w:tcW w:w="2860" w:type="dxa"/>
            <w:vAlign w:val="bottom"/>
          </w:tcPr>
          <w:p>
            <w:pPr>
              <w:ind w:left="62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tc>
      </w:tr>
      <w:tr>
        <w:trPr>
          <w:trHeight w:val="489"/>
        </w:trPr>
        <w:tc>
          <w:tcPr>
            <w:tcW w:w="8400" w:type="dxa"/>
            <w:vAlign w:val="bottom"/>
          </w:tcPr>
          <w:p>
            <w:pPr>
              <w:jc w:val="right"/>
              <w:ind w:right="2662"/>
              <w:spacing w:after="0"/>
              <w:rPr>
                <w:sz w:val="20"/>
                <w:szCs w:val="20"/>
                <w:color w:val="auto"/>
              </w:rPr>
            </w:pPr>
            <w:r>
              <w:rPr>
                <w:rFonts w:ascii="Times New Roman" w:cs="Times New Roman" w:eastAsia="Times New Roman" w:hAnsi="Times New Roman"/>
                <w:sz w:val="16"/>
                <w:szCs w:val="16"/>
                <w:color w:val="auto"/>
              </w:rPr>
              <w:t>1</w:t>
            </w:r>
          </w:p>
        </w:tc>
        <w:tc>
          <w:tcPr>
            <w:tcW w:w="2860" w:type="dxa"/>
            <w:vAlign w:val="bottom"/>
          </w:tcPr>
          <w:p>
            <w:pPr>
              <w:spacing w:after="0"/>
              <w:rPr>
                <w:sz w:val="24"/>
                <w:szCs w:val="24"/>
                <w:color w:val="auto"/>
              </w:rPr>
            </w:pPr>
          </w:p>
        </w:tc>
      </w:tr>
      <w:tr>
        <w:trPr>
          <w:trHeight w:val="238"/>
        </w:trPr>
        <w:tc>
          <w:tcPr>
            <w:tcW w:w="8400" w:type="dxa"/>
            <w:vAlign w:val="bottom"/>
            <w:tcBorders>
              <w:bottom w:val="single" w:sz="8" w:color="9A9A9A"/>
            </w:tcBorders>
          </w:tcPr>
          <w:p>
            <w:pPr>
              <w:spacing w:after="0"/>
              <w:rPr>
                <w:sz w:val="20"/>
                <w:szCs w:val="20"/>
                <w:color w:val="auto"/>
              </w:rPr>
            </w:pPr>
          </w:p>
        </w:tc>
        <w:tc>
          <w:tcPr>
            <w:tcW w:w="2860" w:type="dxa"/>
            <w:vAlign w:val="bottom"/>
            <w:tcBorders>
              <w:bottom w:val="single" w:sz="8" w:color="9A9A9A"/>
            </w:tcBorders>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7126605</wp:posOffset>
            </wp:positionH>
            <wp:positionV relativeFrom="paragraph">
              <wp:posOffset>-26670</wp:posOffset>
            </wp:positionV>
            <wp:extent cx="33020" cy="400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-26670</wp:posOffset>
            </wp:positionV>
            <wp:extent cx="33020"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008"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large accelerated filer, an accelerated filer, a non-accelerated filer, a smaller reporting company, or an emerging growth company.</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the definitions of “large accelerated filer,” “accelerated filer,” “smaller reporting company,” and “emerging growth company” in Rule 12b-2 of the Exchange Act.</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020" w:type="dxa"/>
            <w:vAlign w:val="bottom"/>
          </w:tcPr>
          <w:p>
            <w:pPr>
              <w:ind w:left="800"/>
              <w:spacing w:after="0" w:line="161" w:lineRule="exact"/>
              <w:rPr>
                <w:sz w:val="20"/>
                <w:szCs w:val="20"/>
                <w:color w:val="auto"/>
              </w:rPr>
            </w:pPr>
            <w:r>
              <w:rPr>
                <w:rFonts w:ascii="MS PGothic" w:cs="MS PGothic" w:eastAsia="MS PGothic" w:hAnsi="MS PGothic"/>
                <w:sz w:val="16"/>
                <w:szCs w:val="16"/>
                <w:color w:val="auto"/>
              </w:rPr>
              <w:t>☐</w:t>
            </w:r>
          </w:p>
        </w:tc>
        <w:tc>
          <w:tcPr>
            <w:tcW w:w="4420" w:type="dxa"/>
            <w:vAlign w:val="bottom"/>
          </w:tcPr>
          <w:p>
            <w:pPr>
              <w:ind w:left="2060"/>
              <w:spacing w:after="0"/>
              <w:rPr>
                <w:sz w:val="20"/>
                <w:szCs w:val="20"/>
                <w:color w:val="auto"/>
              </w:rPr>
            </w:pPr>
            <w:r>
              <w:rPr>
                <w:rFonts w:ascii="Times New Roman" w:cs="Times New Roman" w:eastAsia="Times New Roman" w:hAnsi="Times New Roman"/>
                <w:sz w:val="16"/>
                <w:szCs w:val="16"/>
                <w:color w:val="auto"/>
              </w:rPr>
              <w:t>Accelerated filer</w:t>
            </w:r>
          </w:p>
        </w:tc>
        <w:tc>
          <w:tcPr>
            <w:tcW w:w="780" w:type="dxa"/>
            <w:vAlign w:val="bottom"/>
          </w:tcPr>
          <w:p>
            <w:pPr>
              <w:ind w:left="6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7"/>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020" w:type="dxa"/>
            <w:vAlign w:val="bottom"/>
          </w:tcPr>
          <w:p>
            <w:pPr>
              <w:ind w:left="800"/>
              <w:spacing w:after="0" w:line="161" w:lineRule="exact"/>
              <w:rPr>
                <w:sz w:val="20"/>
                <w:szCs w:val="20"/>
                <w:color w:val="auto"/>
              </w:rPr>
            </w:pPr>
            <w:r>
              <w:rPr>
                <w:rFonts w:ascii="MS PGothic" w:cs="MS PGothic" w:eastAsia="MS PGothic" w:hAnsi="MS PGothic"/>
                <w:sz w:val="16"/>
                <w:szCs w:val="16"/>
                <w:color w:val="auto"/>
              </w:rPr>
              <w:t>☑</w:t>
            </w:r>
          </w:p>
        </w:tc>
        <w:tc>
          <w:tcPr>
            <w:tcW w:w="4420" w:type="dxa"/>
            <w:vAlign w:val="bottom"/>
          </w:tcPr>
          <w:p>
            <w:pPr>
              <w:ind w:left="20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80" w:type="dxa"/>
            <w:vAlign w:val="bottom"/>
          </w:tcPr>
          <w:p>
            <w:pPr>
              <w:ind w:left="6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7"/>
        </w:trPr>
        <w:tc>
          <w:tcPr>
            <w:tcW w:w="22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420" w:type="dxa"/>
            <w:vAlign w:val="bottom"/>
          </w:tcPr>
          <w:p>
            <w:pPr>
              <w:ind w:left="2060"/>
              <w:spacing w:after="0"/>
              <w:rPr>
                <w:sz w:val="20"/>
                <w:szCs w:val="20"/>
                <w:color w:val="auto"/>
              </w:rPr>
            </w:pPr>
            <w:r>
              <w:rPr>
                <w:rFonts w:ascii="Times New Roman" w:cs="Times New Roman" w:eastAsia="Times New Roman" w:hAnsi="Times New Roman"/>
                <w:sz w:val="16"/>
                <w:szCs w:val="16"/>
                <w:color w:val="auto"/>
              </w:rPr>
              <w:t>Emerging growth company</w:t>
            </w:r>
          </w:p>
        </w:tc>
        <w:tc>
          <w:tcPr>
            <w:tcW w:w="780" w:type="dxa"/>
            <w:vAlign w:val="bottom"/>
          </w:tcPr>
          <w:p>
            <w:pPr>
              <w:ind w:left="6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80" w:lineRule="exact"/>
        <w:rPr>
          <w:sz w:val="20"/>
          <w:szCs w:val="20"/>
          <w:color w:val="auto"/>
        </w:rPr>
      </w:pPr>
    </w:p>
    <w:p>
      <w:pPr>
        <w:ind w:right="400"/>
        <w:spacing w:after="0" w:line="20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12 (a) of the Exchange Act. </w:t>
      </w:r>
      <w:r>
        <w:rPr>
          <w:rFonts w:ascii="MS PGothic" w:cs="MS PGothic" w:eastAsia="MS PGothic" w:hAnsi="MS PGothic"/>
          <w:sz w:val="16"/>
          <w:szCs w:val="16"/>
          <w:color w:val="auto"/>
        </w:rPr>
        <w:t>☐</w:t>
      </w:r>
    </w:p>
    <w:p>
      <w:pPr>
        <w:spacing w:after="0" w:line="99" w:lineRule="exact"/>
        <w:rPr>
          <w:sz w:val="20"/>
          <w:szCs w:val="20"/>
          <w:color w:val="auto"/>
        </w:rPr>
      </w:pPr>
    </w:p>
    <w:p>
      <w:pPr>
        <w:ind w:right="20"/>
        <w:spacing w:after="0" w:line="20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99" w:lineRule="exact"/>
        <w:rPr>
          <w:sz w:val="20"/>
          <w:szCs w:val="20"/>
          <w:color w:val="auto"/>
        </w:rPr>
      </w:pPr>
    </w:p>
    <w:p>
      <w:pPr>
        <w:ind w:right="40"/>
        <w:spacing w:after="0" w:line="208"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99" w:lineRule="exact"/>
        <w:rPr>
          <w:sz w:val="20"/>
          <w:szCs w:val="20"/>
          <w:color w:val="auto"/>
        </w:rPr>
      </w:pPr>
    </w:p>
    <w:p>
      <w:pPr>
        <w:spacing w:after="0" w:line="208"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65"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77"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of the registrant, based on the closing price of the registrant’s shares of Class A common stock as reported by The Nasdaq Global Market on June 30, 2023 was approximately $46.1 million.</w:t>
      </w:r>
    </w:p>
    <w:p>
      <w:pPr>
        <w:spacing w:after="0" w:line="104"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6"/>
          <w:szCs w:val="16"/>
          <w:color w:val="auto"/>
        </w:rPr>
        <w:t>As of March 4, 2024, there were 41,685,981 shares of the registrant’s Class A common stock, with a par value of $0.0001 per share (“Class A common stock”) and 287,842,303 shares of the registrant’s Class B common stock, with a par value of $0.0001 per share (“Class B common stock,” together with Class A common stock, the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111760</wp:posOffset>
            </wp:positionV>
            <wp:extent cx="715073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0735"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133985</wp:posOffset>
            </wp:positionV>
            <wp:extent cx="715073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5"/>
        </w:trPr>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60" w:type="dxa"/>
            <w:vAlign w:val="bottom"/>
            <w:gridSpan w:val="8"/>
          </w:tcPr>
          <w:p>
            <w:pPr>
              <w:ind w:left="620"/>
              <w:spacing w:after="0"/>
              <w:rPr>
                <w:sz w:val="20"/>
                <w:szCs w:val="20"/>
                <w:color w:val="auto"/>
              </w:rPr>
            </w:pPr>
            <w:r>
              <w:rPr>
                <w:rFonts w:ascii="Times New Roman" w:cs="Times New Roman" w:eastAsia="Times New Roman" w:hAnsi="Times New Roman"/>
                <w:sz w:val="16"/>
                <w:szCs w:val="16"/>
                <w:b w:val="1"/>
                <w:bCs w:val="1"/>
                <w:color w:val="auto"/>
              </w:rPr>
              <w:t>TABLE OF CONTENTS</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9"/>
        </w:trPr>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gridSpan w:val="4"/>
          </w:tcPr>
          <w:p>
            <w:pPr>
              <w:ind w:left="640"/>
              <w:spacing w:after="0"/>
              <w:rPr>
                <w:sz w:val="20"/>
                <w:szCs w:val="20"/>
                <w:color w:val="auto"/>
              </w:rPr>
            </w:pPr>
            <w:r>
              <w:rPr>
                <w:rFonts w:ascii="Times New Roman" w:cs="Times New Roman" w:eastAsia="Times New Roman" w:hAnsi="Times New Roman"/>
                <w:sz w:val="12"/>
                <w:szCs w:val="12"/>
                <w:b w:val="1"/>
                <w:bCs w:val="1"/>
                <w:color w:val="auto"/>
                <w:w w:val="97"/>
              </w:rPr>
              <w:t>Page</w:t>
            </w:r>
          </w:p>
        </w:tc>
      </w:tr>
      <w:tr>
        <w:trPr>
          <w:trHeight w:val="214"/>
        </w:trPr>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PART I.</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69"/>
        </w:trPr>
        <w:tc>
          <w:tcPr>
            <w:tcW w:w="128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Item 1.</w:t>
            </w:r>
          </w:p>
        </w:tc>
        <w:tc>
          <w:tcPr>
            <w:tcW w:w="560" w:type="dxa"/>
            <w:vAlign w:val="bottom"/>
          </w:tcPr>
          <w:p>
            <w:pPr>
              <w:spacing w:after="0" w:line="168" w:lineRule="exact"/>
              <w:rPr>
                <w:sz w:val="20"/>
                <w:szCs w:val="20"/>
                <w:color w:val="auto"/>
              </w:rPr>
            </w:pPr>
            <w:r>
              <w:rPr>
                <w:rFonts w:ascii="Times New Roman" w:cs="Times New Roman" w:eastAsia="Times New Roman" w:hAnsi="Times New Roman"/>
                <w:sz w:val="16"/>
                <w:szCs w:val="16"/>
                <w:color w:val="0000FF"/>
                <w:w w:val="94"/>
              </w:rPr>
              <w:t>Business</w:t>
            </w:r>
          </w:p>
        </w:tc>
        <w:tc>
          <w:tcPr>
            <w:tcW w:w="7080" w:type="dxa"/>
            <w:vAlign w:val="bottom"/>
            <w:gridSpan w:val="19"/>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jc w:val="center"/>
              <w:spacing w:after="0" w:line="168" w:lineRule="exact"/>
              <w:rPr>
                <w:sz w:val="20"/>
                <w:szCs w:val="20"/>
                <w:color w:val="auto"/>
              </w:rPr>
            </w:pPr>
            <w:r>
              <w:rPr>
                <w:rFonts w:ascii="Times New Roman" w:cs="Times New Roman" w:eastAsia="Times New Roman" w:hAnsi="Times New Roman"/>
                <w:sz w:val="16"/>
                <w:szCs w:val="16"/>
                <w:color w:val="0000FF"/>
                <w:w w:val="99"/>
              </w:rPr>
              <w:t>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1280" w:type="dxa"/>
            <w:vAlign w:val="bottom"/>
            <w:gridSpan w:val="2"/>
          </w:tcPr>
          <w:p>
            <w:pPr>
              <w:spacing w:after="0" w:line="179" w:lineRule="exact"/>
              <w:rPr>
                <w:sz w:val="20"/>
                <w:szCs w:val="20"/>
                <w:color w:val="auto"/>
              </w:rPr>
            </w:pPr>
            <w:r>
              <w:rPr>
                <w:rFonts w:ascii="Times New Roman" w:cs="Times New Roman" w:eastAsia="Times New Roman" w:hAnsi="Times New Roman"/>
                <w:sz w:val="16"/>
                <w:szCs w:val="16"/>
                <w:color w:val="auto"/>
              </w:rPr>
              <w:t>Item 1A.</w:t>
            </w:r>
          </w:p>
        </w:tc>
        <w:tc>
          <w:tcPr>
            <w:tcW w:w="7640" w:type="dxa"/>
            <w:vAlign w:val="bottom"/>
            <w:gridSpan w:val="20"/>
          </w:tcPr>
          <w:p>
            <w:pPr>
              <w:spacing w:after="0" w:line="179" w:lineRule="exact"/>
              <w:rPr>
                <w:sz w:val="20"/>
                <w:szCs w:val="20"/>
                <w:color w:val="auto"/>
              </w:rPr>
            </w:pPr>
            <w:r>
              <w:rPr>
                <w:rFonts w:ascii="Times New Roman" w:cs="Times New Roman" w:eastAsia="Times New Roman" w:hAnsi="Times New Roman"/>
                <w:sz w:val="16"/>
                <w:szCs w:val="16"/>
                <w:color w:val="0000FF"/>
              </w:rPr>
              <w:t>Risk Factors</w:t>
            </w:r>
          </w:p>
        </w:tc>
        <w:tc>
          <w:tcPr>
            <w:tcW w:w="880" w:type="dxa"/>
            <w:vAlign w:val="bottom"/>
            <w:gridSpan w:val="3"/>
          </w:tcPr>
          <w:p>
            <w:pPr>
              <w:jc w:val="center"/>
              <w:ind w:left="563"/>
              <w:spacing w:after="0" w:line="179" w:lineRule="exact"/>
              <w:rPr>
                <w:sz w:val="20"/>
                <w:szCs w:val="20"/>
                <w:color w:val="auto"/>
              </w:rPr>
            </w:pPr>
            <w:r>
              <w:rPr>
                <w:rFonts w:ascii="Times New Roman" w:cs="Times New Roman" w:eastAsia="Times New Roman" w:hAnsi="Times New Roman"/>
                <w:sz w:val="16"/>
                <w:szCs w:val="16"/>
                <w:color w:val="0000FF"/>
                <w:w w:val="99"/>
              </w:rPr>
              <w:t>12</w:t>
            </w:r>
          </w:p>
        </w:tc>
        <w:tc>
          <w:tcPr>
            <w:tcW w:w="20" w:type="dxa"/>
            <w:vAlign w:val="bottom"/>
          </w:tcPr>
          <w:p>
            <w:pPr>
              <w:spacing w:after="0"/>
              <w:rPr>
                <w:sz w:val="15"/>
                <w:szCs w:val="15"/>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1280" w:type="dxa"/>
            <w:vAlign w:val="bottom"/>
            <w:gridSpan w:val="2"/>
          </w:tcPr>
          <w:p>
            <w:pPr>
              <w:spacing w:after="0" w:line="179" w:lineRule="exact"/>
              <w:rPr>
                <w:sz w:val="20"/>
                <w:szCs w:val="20"/>
                <w:color w:val="auto"/>
              </w:rPr>
            </w:pPr>
            <w:r>
              <w:rPr>
                <w:rFonts w:ascii="Times New Roman" w:cs="Times New Roman" w:eastAsia="Times New Roman" w:hAnsi="Times New Roman"/>
                <w:sz w:val="16"/>
                <w:szCs w:val="16"/>
                <w:color w:val="auto"/>
              </w:rPr>
              <w:t>Item 1B.</w:t>
            </w:r>
          </w:p>
        </w:tc>
        <w:tc>
          <w:tcPr>
            <w:tcW w:w="1780" w:type="dxa"/>
            <w:vAlign w:val="bottom"/>
            <w:gridSpan w:val="9"/>
          </w:tcPr>
          <w:p>
            <w:pPr>
              <w:spacing w:after="0" w:line="179" w:lineRule="exact"/>
              <w:rPr>
                <w:sz w:val="20"/>
                <w:szCs w:val="20"/>
                <w:color w:val="auto"/>
              </w:rPr>
            </w:pPr>
            <w:r>
              <w:rPr>
                <w:rFonts w:ascii="Times New Roman" w:cs="Times New Roman" w:eastAsia="Times New Roman" w:hAnsi="Times New Roman"/>
                <w:sz w:val="16"/>
                <w:szCs w:val="16"/>
                <w:color w:val="0000FF"/>
                <w:w w:val="96"/>
              </w:rPr>
              <w:t>Unresolved Staff Comments</w:t>
            </w:r>
          </w:p>
        </w:tc>
        <w:tc>
          <w:tcPr>
            <w:tcW w:w="5860" w:type="dxa"/>
            <w:vAlign w:val="bottom"/>
            <w:gridSpan w:val="11"/>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gridSpan w:val="2"/>
          </w:tcPr>
          <w:p>
            <w:pPr>
              <w:jc w:val="center"/>
              <w:ind w:right="40"/>
              <w:spacing w:after="0" w:line="179" w:lineRule="exact"/>
              <w:rPr>
                <w:sz w:val="20"/>
                <w:szCs w:val="20"/>
                <w:color w:val="auto"/>
              </w:rPr>
            </w:pPr>
            <w:r>
              <w:rPr>
                <w:rFonts w:ascii="Times New Roman" w:cs="Times New Roman" w:eastAsia="Times New Roman" w:hAnsi="Times New Roman"/>
                <w:sz w:val="16"/>
                <w:szCs w:val="16"/>
                <w:color w:val="0000FF"/>
                <w:w w:val="74"/>
              </w:rPr>
              <w:t>41</w:t>
            </w:r>
          </w:p>
        </w:tc>
        <w:tc>
          <w:tcPr>
            <w:tcW w:w="20" w:type="dxa"/>
            <w:vAlign w:val="bottom"/>
          </w:tcPr>
          <w:p>
            <w:pPr>
              <w:spacing w:after="0"/>
              <w:rPr>
                <w:sz w:val="15"/>
                <w:szCs w:val="15"/>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1280" w:type="dxa"/>
            <w:vAlign w:val="bottom"/>
            <w:gridSpan w:val="2"/>
          </w:tcPr>
          <w:p>
            <w:pPr>
              <w:spacing w:after="0" w:line="179" w:lineRule="exact"/>
              <w:rPr>
                <w:sz w:val="20"/>
                <w:szCs w:val="20"/>
                <w:color w:val="auto"/>
              </w:rPr>
            </w:pPr>
            <w:r>
              <w:rPr>
                <w:rFonts w:ascii="Times New Roman" w:cs="Times New Roman" w:eastAsia="Times New Roman" w:hAnsi="Times New Roman"/>
                <w:sz w:val="16"/>
                <w:szCs w:val="16"/>
                <w:color w:val="auto"/>
              </w:rPr>
              <w:t>Item 1C.</w:t>
            </w:r>
          </w:p>
        </w:tc>
        <w:tc>
          <w:tcPr>
            <w:tcW w:w="880" w:type="dxa"/>
            <w:vAlign w:val="bottom"/>
            <w:gridSpan w:val="4"/>
          </w:tcPr>
          <w:p>
            <w:pPr>
              <w:spacing w:after="0" w:line="179" w:lineRule="exact"/>
              <w:rPr>
                <w:sz w:val="20"/>
                <w:szCs w:val="20"/>
                <w:color w:val="auto"/>
              </w:rPr>
            </w:pPr>
            <w:r>
              <w:rPr>
                <w:rFonts w:ascii="Times New Roman" w:cs="Times New Roman" w:eastAsia="Times New Roman" w:hAnsi="Times New Roman"/>
                <w:sz w:val="16"/>
                <w:szCs w:val="16"/>
                <w:color w:val="0000FF"/>
                <w:w w:val="95"/>
              </w:rPr>
              <w:t>Cybersecurity</w:t>
            </w:r>
          </w:p>
        </w:tc>
        <w:tc>
          <w:tcPr>
            <w:tcW w:w="900" w:type="dxa"/>
            <w:vAlign w:val="bottom"/>
            <w:gridSpan w:val="5"/>
          </w:tcPr>
          <w:p>
            <w:pPr>
              <w:spacing w:after="0"/>
              <w:rPr>
                <w:sz w:val="15"/>
                <w:szCs w:val="15"/>
                <w:color w:val="auto"/>
              </w:rPr>
            </w:pPr>
          </w:p>
        </w:tc>
        <w:tc>
          <w:tcPr>
            <w:tcW w:w="5860" w:type="dxa"/>
            <w:vAlign w:val="bottom"/>
            <w:gridSpan w:val="11"/>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gridSpan w:val="2"/>
          </w:tcPr>
          <w:p>
            <w:pPr>
              <w:jc w:val="center"/>
              <w:ind w:right="40"/>
              <w:spacing w:after="0" w:line="179" w:lineRule="exact"/>
              <w:rPr>
                <w:sz w:val="20"/>
                <w:szCs w:val="20"/>
                <w:color w:val="auto"/>
              </w:rPr>
            </w:pPr>
            <w:r>
              <w:rPr>
                <w:rFonts w:ascii="Times New Roman" w:cs="Times New Roman" w:eastAsia="Times New Roman" w:hAnsi="Times New Roman"/>
                <w:sz w:val="16"/>
                <w:szCs w:val="16"/>
                <w:color w:val="0000FF"/>
                <w:w w:val="74"/>
              </w:rPr>
              <w:t>41</w:t>
            </w:r>
          </w:p>
        </w:tc>
        <w:tc>
          <w:tcPr>
            <w:tcW w:w="20" w:type="dxa"/>
            <w:vAlign w:val="bottom"/>
          </w:tcPr>
          <w:p>
            <w:pPr>
              <w:spacing w:after="0"/>
              <w:rPr>
                <w:sz w:val="15"/>
                <w:szCs w:val="15"/>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1280" w:type="dxa"/>
            <w:vAlign w:val="bottom"/>
            <w:gridSpan w:val="2"/>
          </w:tcPr>
          <w:p>
            <w:pPr>
              <w:spacing w:after="0" w:line="179" w:lineRule="exact"/>
              <w:rPr>
                <w:sz w:val="20"/>
                <w:szCs w:val="20"/>
                <w:color w:val="auto"/>
              </w:rPr>
            </w:pPr>
            <w:r>
              <w:rPr>
                <w:rFonts w:ascii="Times New Roman" w:cs="Times New Roman" w:eastAsia="Times New Roman" w:hAnsi="Times New Roman"/>
                <w:sz w:val="16"/>
                <w:szCs w:val="16"/>
                <w:color w:val="auto"/>
              </w:rPr>
              <w:t>Item 2.</w:t>
            </w:r>
          </w:p>
        </w:tc>
        <w:tc>
          <w:tcPr>
            <w:tcW w:w="640" w:type="dxa"/>
            <w:vAlign w:val="bottom"/>
            <w:gridSpan w:val="2"/>
          </w:tcPr>
          <w:p>
            <w:pPr>
              <w:spacing w:after="0" w:line="179" w:lineRule="exact"/>
              <w:rPr>
                <w:sz w:val="20"/>
                <w:szCs w:val="20"/>
                <w:color w:val="auto"/>
              </w:rPr>
            </w:pPr>
            <w:r>
              <w:rPr>
                <w:rFonts w:ascii="Times New Roman" w:cs="Times New Roman" w:eastAsia="Times New Roman" w:hAnsi="Times New Roman"/>
                <w:sz w:val="16"/>
                <w:szCs w:val="16"/>
                <w:color w:val="0000FF"/>
                <w:w w:val="95"/>
              </w:rPr>
              <w:t>Properties</w:t>
            </w:r>
          </w:p>
        </w:tc>
        <w:tc>
          <w:tcPr>
            <w:tcW w:w="240" w:type="dxa"/>
            <w:vAlign w:val="bottom"/>
            <w:gridSpan w:val="2"/>
          </w:tcPr>
          <w:p>
            <w:pPr>
              <w:spacing w:after="0"/>
              <w:rPr>
                <w:sz w:val="15"/>
                <w:szCs w:val="15"/>
                <w:color w:val="auto"/>
              </w:rPr>
            </w:pPr>
          </w:p>
        </w:tc>
        <w:tc>
          <w:tcPr>
            <w:tcW w:w="6760" w:type="dxa"/>
            <w:vAlign w:val="bottom"/>
            <w:gridSpan w:val="16"/>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gridSpan w:val="2"/>
          </w:tcPr>
          <w:p>
            <w:pPr>
              <w:jc w:val="center"/>
              <w:ind w:right="40"/>
              <w:spacing w:after="0" w:line="179" w:lineRule="exact"/>
              <w:rPr>
                <w:sz w:val="20"/>
                <w:szCs w:val="20"/>
                <w:color w:val="auto"/>
              </w:rPr>
            </w:pPr>
            <w:r>
              <w:rPr>
                <w:rFonts w:ascii="Times New Roman" w:cs="Times New Roman" w:eastAsia="Times New Roman" w:hAnsi="Times New Roman"/>
                <w:sz w:val="16"/>
                <w:szCs w:val="16"/>
                <w:color w:val="0000FF"/>
                <w:w w:val="74"/>
              </w:rPr>
              <w:t>42</w:t>
            </w:r>
          </w:p>
        </w:tc>
        <w:tc>
          <w:tcPr>
            <w:tcW w:w="20" w:type="dxa"/>
            <w:vAlign w:val="bottom"/>
          </w:tcPr>
          <w:p>
            <w:pPr>
              <w:spacing w:after="0"/>
              <w:rPr>
                <w:sz w:val="15"/>
                <w:szCs w:val="15"/>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1280" w:type="dxa"/>
            <w:vAlign w:val="bottom"/>
            <w:gridSpan w:val="2"/>
          </w:tcPr>
          <w:p>
            <w:pPr>
              <w:spacing w:after="0" w:line="179" w:lineRule="exact"/>
              <w:rPr>
                <w:sz w:val="20"/>
                <w:szCs w:val="20"/>
                <w:color w:val="auto"/>
              </w:rPr>
            </w:pPr>
            <w:r>
              <w:rPr>
                <w:rFonts w:ascii="Times New Roman" w:cs="Times New Roman" w:eastAsia="Times New Roman" w:hAnsi="Times New Roman"/>
                <w:sz w:val="16"/>
                <w:szCs w:val="16"/>
                <w:color w:val="auto"/>
              </w:rPr>
              <w:t>Item 3.</w:t>
            </w:r>
          </w:p>
        </w:tc>
        <w:tc>
          <w:tcPr>
            <w:tcW w:w="1140" w:type="dxa"/>
            <w:vAlign w:val="bottom"/>
            <w:gridSpan w:val="5"/>
          </w:tcPr>
          <w:p>
            <w:pPr>
              <w:spacing w:after="0" w:line="179" w:lineRule="exact"/>
              <w:rPr>
                <w:sz w:val="20"/>
                <w:szCs w:val="20"/>
                <w:color w:val="auto"/>
              </w:rPr>
            </w:pPr>
            <w:r>
              <w:rPr>
                <w:rFonts w:ascii="Times New Roman" w:cs="Times New Roman" w:eastAsia="Times New Roman" w:hAnsi="Times New Roman"/>
                <w:sz w:val="16"/>
                <w:szCs w:val="16"/>
                <w:color w:val="0000FF"/>
                <w:w w:val="92"/>
              </w:rPr>
              <w:t>Legal Proceedings</w:t>
            </w:r>
          </w:p>
        </w:tc>
        <w:tc>
          <w:tcPr>
            <w:tcW w:w="6500" w:type="dxa"/>
            <w:vAlign w:val="bottom"/>
            <w:gridSpan w:val="15"/>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gridSpan w:val="2"/>
          </w:tcPr>
          <w:p>
            <w:pPr>
              <w:jc w:val="center"/>
              <w:ind w:right="40"/>
              <w:spacing w:after="0" w:line="179" w:lineRule="exact"/>
              <w:rPr>
                <w:sz w:val="20"/>
                <w:szCs w:val="20"/>
                <w:color w:val="auto"/>
              </w:rPr>
            </w:pPr>
            <w:r>
              <w:rPr>
                <w:rFonts w:ascii="Times New Roman" w:cs="Times New Roman" w:eastAsia="Times New Roman" w:hAnsi="Times New Roman"/>
                <w:sz w:val="16"/>
                <w:szCs w:val="16"/>
                <w:color w:val="0000FF"/>
                <w:w w:val="74"/>
              </w:rPr>
              <w:t>42</w:t>
            </w:r>
          </w:p>
        </w:tc>
        <w:tc>
          <w:tcPr>
            <w:tcW w:w="20" w:type="dxa"/>
            <w:vAlign w:val="bottom"/>
          </w:tcPr>
          <w:p>
            <w:pPr>
              <w:spacing w:after="0"/>
              <w:rPr>
                <w:sz w:val="15"/>
                <w:szCs w:val="15"/>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1280" w:type="dxa"/>
            <w:vAlign w:val="bottom"/>
            <w:gridSpan w:val="2"/>
          </w:tcPr>
          <w:p>
            <w:pPr>
              <w:spacing w:after="0" w:line="179" w:lineRule="exact"/>
              <w:rPr>
                <w:sz w:val="20"/>
                <w:szCs w:val="20"/>
                <w:color w:val="auto"/>
              </w:rPr>
            </w:pPr>
            <w:r>
              <w:rPr>
                <w:rFonts w:ascii="Times New Roman" w:cs="Times New Roman" w:eastAsia="Times New Roman" w:hAnsi="Times New Roman"/>
                <w:sz w:val="16"/>
                <w:szCs w:val="16"/>
                <w:color w:val="auto"/>
              </w:rPr>
              <w:t>Item 4.</w:t>
            </w:r>
          </w:p>
        </w:tc>
        <w:tc>
          <w:tcPr>
            <w:tcW w:w="7640" w:type="dxa"/>
            <w:vAlign w:val="bottom"/>
            <w:gridSpan w:val="20"/>
          </w:tcPr>
          <w:p>
            <w:pPr>
              <w:spacing w:after="0" w:line="179" w:lineRule="exact"/>
              <w:rPr>
                <w:sz w:val="20"/>
                <w:szCs w:val="20"/>
                <w:color w:val="auto"/>
              </w:rPr>
            </w:pPr>
            <w:r>
              <w:rPr>
                <w:rFonts w:ascii="Times New Roman" w:cs="Times New Roman" w:eastAsia="Times New Roman" w:hAnsi="Times New Roman"/>
                <w:sz w:val="16"/>
                <w:szCs w:val="16"/>
                <w:color w:val="0000FF"/>
              </w:rPr>
              <w:t>Mine Safety Disclosures</w:t>
            </w:r>
          </w:p>
        </w:tc>
        <w:tc>
          <w:tcPr>
            <w:tcW w:w="880" w:type="dxa"/>
            <w:vAlign w:val="bottom"/>
            <w:gridSpan w:val="3"/>
          </w:tcPr>
          <w:p>
            <w:pPr>
              <w:jc w:val="center"/>
              <w:ind w:left="563"/>
              <w:spacing w:after="0" w:line="179" w:lineRule="exact"/>
              <w:rPr>
                <w:sz w:val="20"/>
                <w:szCs w:val="20"/>
                <w:color w:val="auto"/>
              </w:rPr>
            </w:pPr>
            <w:r>
              <w:rPr>
                <w:rFonts w:ascii="Times New Roman" w:cs="Times New Roman" w:eastAsia="Times New Roman" w:hAnsi="Times New Roman"/>
                <w:sz w:val="16"/>
                <w:szCs w:val="16"/>
                <w:color w:val="0000FF"/>
                <w:w w:val="99"/>
              </w:rPr>
              <w:t>42</w:t>
            </w:r>
          </w:p>
        </w:tc>
        <w:tc>
          <w:tcPr>
            <w:tcW w:w="20" w:type="dxa"/>
            <w:vAlign w:val="bottom"/>
          </w:tcPr>
          <w:p>
            <w:pPr>
              <w:spacing w:after="0"/>
              <w:rPr>
                <w:sz w:val="15"/>
                <w:szCs w:val="15"/>
                <w:color w:val="auto"/>
              </w:rPr>
            </w:pPr>
          </w:p>
        </w:tc>
      </w:tr>
      <w:tr>
        <w:trPr>
          <w:trHeight w:val="209"/>
        </w:trPr>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PART II.</w:t>
            </w:r>
          </w:p>
        </w:tc>
        <w:tc>
          <w:tcPr>
            <w:tcW w:w="5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69"/>
        </w:trPr>
        <w:tc>
          <w:tcPr>
            <w:tcW w:w="128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Item 5.</w:t>
            </w:r>
          </w:p>
        </w:tc>
        <w:tc>
          <w:tcPr>
            <w:tcW w:w="7000" w:type="dxa"/>
            <w:vAlign w:val="bottom"/>
            <w:gridSpan w:val="19"/>
          </w:tcPr>
          <w:p>
            <w:pPr>
              <w:spacing w:after="0" w:line="168" w:lineRule="exact"/>
              <w:rPr>
                <w:sz w:val="20"/>
                <w:szCs w:val="20"/>
                <w:color w:val="auto"/>
              </w:rPr>
            </w:pPr>
            <w:r>
              <w:rPr>
                <w:rFonts w:ascii="Times New Roman" w:cs="Times New Roman" w:eastAsia="Times New Roman" w:hAnsi="Times New Roman"/>
                <w:sz w:val="16"/>
                <w:szCs w:val="16"/>
                <w:color w:val="0000FF"/>
                <w:w w:val="96"/>
              </w:rPr>
              <w:t>Market for Registrant’s Common Equity, Related Stockholder Matters and Issuer Purchases of Equity Securities</w:t>
            </w: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gridSpan w:val="2"/>
          </w:tcPr>
          <w:p>
            <w:pPr>
              <w:jc w:val="center"/>
              <w:ind w:right="40"/>
              <w:spacing w:after="0" w:line="168" w:lineRule="exact"/>
              <w:rPr>
                <w:sz w:val="20"/>
                <w:szCs w:val="20"/>
                <w:color w:val="auto"/>
              </w:rPr>
            </w:pPr>
            <w:r>
              <w:rPr>
                <w:rFonts w:ascii="Times New Roman" w:cs="Times New Roman" w:eastAsia="Times New Roman" w:hAnsi="Times New Roman"/>
                <w:sz w:val="16"/>
                <w:szCs w:val="16"/>
                <w:color w:val="0000FF"/>
                <w:w w:val="74"/>
              </w:rPr>
              <w:t>43</w:t>
            </w:r>
          </w:p>
        </w:tc>
        <w:tc>
          <w:tcPr>
            <w:tcW w:w="20" w:type="dxa"/>
            <w:vAlign w:val="bottom"/>
          </w:tcPr>
          <w:p>
            <w:pPr>
              <w:spacing w:after="0"/>
              <w:rPr>
                <w:sz w:val="14"/>
                <w:szCs w:val="14"/>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1280" w:type="dxa"/>
            <w:vAlign w:val="bottom"/>
            <w:gridSpan w:val="2"/>
          </w:tcPr>
          <w:p>
            <w:pPr>
              <w:spacing w:after="0" w:line="179" w:lineRule="exact"/>
              <w:rPr>
                <w:sz w:val="20"/>
                <w:szCs w:val="20"/>
                <w:color w:val="auto"/>
              </w:rPr>
            </w:pPr>
            <w:r>
              <w:rPr>
                <w:rFonts w:ascii="Times New Roman" w:cs="Times New Roman" w:eastAsia="Times New Roman" w:hAnsi="Times New Roman"/>
                <w:sz w:val="16"/>
                <w:szCs w:val="16"/>
                <w:color w:val="auto"/>
              </w:rPr>
              <w:t>Item 6.</w:t>
            </w:r>
          </w:p>
        </w:tc>
        <w:tc>
          <w:tcPr>
            <w:tcW w:w="7000" w:type="dxa"/>
            <w:vAlign w:val="bottom"/>
            <w:gridSpan w:val="19"/>
          </w:tcPr>
          <w:p>
            <w:pPr>
              <w:spacing w:after="0" w:line="179" w:lineRule="exact"/>
              <w:rPr>
                <w:sz w:val="20"/>
                <w:szCs w:val="20"/>
                <w:color w:val="auto"/>
              </w:rPr>
            </w:pPr>
            <w:r>
              <w:rPr>
                <w:rFonts w:ascii="Times New Roman" w:cs="Times New Roman" w:eastAsia="Times New Roman" w:hAnsi="Times New Roman"/>
                <w:sz w:val="16"/>
                <w:szCs w:val="16"/>
                <w:color w:val="0000FF"/>
              </w:rPr>
              <w:t>[Reserved.]</w:t>
            </w: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gridSpan w:val="2"/>
          </w:tcPr>
          <w:p>
            <w:pPr>
              <w:jc w:val="center"/>
              <w:ind w:right="40"/>
              <w:spacing w:after="0" w:line="179" w:lineRule="exact"/>
              <w:rPr>
                <w:sz w:val="20"/>
                <w:szCs w:val="20"/>
                <w:color w:val="auto"/>
              </w:rPr>
            </w:pPr>
            <w:r>
              <w:rPr>
                <w:rFonts w:ascii="Times New Roman" w:cs="Times New Roman" w:eastAsia="Times New Roman" w:hAnsi="Times New Roman"/>
                <w:sz w:val="16"/>
                <w:szCs w:val="16"/>
                <w:color w:val="0000FF"/>
                <w:w w:val="74"/>
              </w:rPr>
              <w:t>44</w:t>
            </w:r>
          </w:p>
        </w:tc>
        <w:tc>
          <w:tcPr>
            <w:tcW w:w="20" w:type="dxa"/>
            <w:vAlign w:val="bottom"/>
          </w:tcPr>
          <w:p>
            <w:pPr>
              <w:spacing w:after="0"/>
              <w:rPr>
                <w:sz w:val="15"/>
                <w:szCs w:val="15"/>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1280" w:type="dxa"/>
            <w:vAlign w:val="bottom"/>
            <w:gridSpan w:val="2"/>
          </w:tcPr>
          <w:p>
            <w:pPr>
              <w:spacing w:after="0" w:line="179" w:lineRule="exact"/>
              <w:rPr>
                <w:sz w:val="20"/>
                <w:szCs w:val="20"/>
                <w:color w:val="auto"/>
              </w:rPr>
            </w:pPr>
            <w:r>
              <w:rPr>
                <w:rFonts w:ascii="Times New Roman" w:cs="Times New Roman" w:eastAsia="Times New Roman" w:hAnsi="Times New Roman"/>
                <w:sz w:val="16"/>
                <w:szCs w:val="16"/>
                <w:color w:val="auto"/>
              </w:rPr>
              <w:t>Item 7.</w:t>
            </w:r>
          </w:p>
        </w:tc>
        <w:tc>
          <w:tcPr>
            <w:tcW w:w="7640" w:type="dxa"/>
            <w:vAlign w:val="bottom"/>
            <w:gridSpan w:val="20"/>
          </w:tcPr>
          <w:p>
            <w:pPr>
              <w:spacing w:after="0" w:line="179" w:lineRule="exact"/>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880" w:type="dxa"/>
            <w:vAlign w:val="bottom"/>
            <w:gridSpan w:val="3"/>
          </w:tcPr>
          <w:p>
            <w:pPr>
              <w:jc w:val="center"/>
              <w:ind w:left="563"/>
              <w:spacing w:after="0" w:line="179" w:lineRule="exact"/>
              <w:rPr>
                <w:sz w:val="20"/>
                <w:szCs w:val="20"/>
                <w:color w:val="auto"/>
              </w:rPr>
            </w:pPr>
            <w:r>
              <w:rPr>
                <w:rFonts w:ascii="Times New Roman" w:cs="Times New Roman" w:eastAsia="Times New Roman" w:hAnsi="Times New Roman"/>
                <w:sz w:val="16"/>
                <w:szCs w:val="16"/>
                <w:color w:val="0000FF"/>
                <w:w w:val="99"/>
              </w:rPr>
              <w:t>45</w:t>
            </w:r>
          </w:p>
        </w:tc>
        <w:tc>
          <w:tcPr>
            <w:tcW w:w="20" w:type="dxa"/>
            <w:vAlign w:val="bottom"/>
          </w:tcPr>
          <w:p>
            <w:pPr>
              <w:spacing w:after="0"/>
              <w:rPr>
                <w:sz w:val="15"/>
                <w:szCs w:val="15"/>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1280" w:type="dxa"/>
            <w:vAlign w:val="bottom"/>
            <w:gridSpan w:val="2"/>
          </w:tcPr>
          <w:p>
            <w:pPr>
              <w:spacing w:after="0" w:line="179" w:lineRule="exact"/>
              <w:rPr>
                <w:sz w:val="20"/>
                <w:szCs w:val="20"/>
                <w:color w:val="auto"/>
              </w:rPr>
            </w:pPr>
            <w:r>
              <w:rPr>
                <w:rFonts w:ascii="Times New Roman" w:cs="Times New Roman" w:eastAsia="Times New Roman" w:hAnsi="Times New Roman"/>
                <w:sz w:val="16"/>
                <w:szCs w:val="16"/>
                <w:color w:val="auto"/>
              </w:rPr>
              <w:t>Item 7A.</w:t>
            </w:r>
          </w:p>
        </w:tc>
        <w:tc>
          <w:tcPr>
            <w:tcW w:w="3780" w:type="dxa"/>
            <w:vAlign w:val="bottom"/>
            <w:gridSpan w:val="14"/>
          </w:tcPr>
          <w:p>
            <w:pPr>
              <w:spacing w:after="0" w:line="179" w:lineRule="exact"/>
              <w:rPr>
                <w:sz w:val="20"/>
                <w:szCs w:val="20"/>
                <w:color w:val="auto"/>
              </w:rPr>
            </w:pPr>
            <w:r>
              <w:rPr>
                <w:rFonts w:ascii="Times New Roman" w:cs="Times New Roman" w:eastAsia="Times New Roman" w:hAnsi="Times New Roman"/>
                <w:sz w:val="16"/>
                <w:szCs w:val="16"/>
                <w:color w:val="0000FF"/>
                <w:w w:val="97"/>
              </w:rPr>
              <w:t>Quantitative and Qualitative Disclosures About Market Risk</w:t>
            </w:r>
          </w:p>
        </w:tc>
        <w:tc>
          <w:tcPr>
            <w:tcW w:w="1800" w:type="dxa"/>
            <w:vAlign w:val="bottom"/>
            <w:gridSpan w:val="3"/>
          </w:tcPr>
          <w:p>
            <w:pPr>
              <w:spacing w:after="0"/>
              <w:rPr>
                <w:sz w:val="15"/>
                <w:szCs w:val="15"/>
                <w:color w:val="auto"/>
              </w:rPr>
            </w:pPr>
          </w:p>
        </w:tc>
        <w:tc>
          <w:tcPr>
            <w:tcW w:w="2060" w:type="dxa"/>
            <w:vAlign w:val="bottom"/>
            <w:gridSpan w:val="3"/>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gridSpan w:val="2"/>
          </w:tcPr>
          <w:p>
            <w:pPr>
              <w:jc w:val="center"/>
              <w:ind w:right="40"/>
              <w:spacing w:after="0" w:line="179" w:lineRule="exact"/>
              <w:rPr>
                <w:sz w:val="20"/>
                <w:szCs w:val="20"/>
                <w:color w:val="auto"/>
              </w:rPr>
            </w:pPr>
            <w:r>
              <w:rPr>
                <w:rFonts w:ascii="Times New Roman" w:cs="Times New Roman" w:eastAsia="Times New Roman" w:hAnsi="Times New Roman"/>
                <w:sz w:val="16"/>
                <w:szCs w:val="16"/>
                <w:color w:val="0000FF"/>
                <w:w w:val="74"/>
              </w:rPr>
              <w:t>67</w:t>
            </w:r>
          </w:p>
        </w:tc>
        <w:tc>
          <w:tcPr>
            <w:tcW w:w="20" w:type="dxa"/>
            <w:vAlign w:val="bottom"/>
          </w:tcPr>
          <w:p>
            <w:pPr>
              <w:spacing w:after="0"/>
              <w:rPr>
                <w:sz w:val="15"/>
                <w:szCs w:val="15"/>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1280" w:type="dxa"/>
            <w:vAlign w:val="bottom"/>
            <w:gridSpan w:val="2"/>
          </w:tcPr>
          <w:p>
            <w:pPr>
              <w:spacing w:after="0" w:line="179" w:lineRule="exact"/>
              <w:rPr>
                <w:sz w:val="20"/>
                <w:szCs w:val="20"/>
                <w:color w:val="auto"/>
              </w:rPr>
            </w:pPr>
            <w:r>
              <w:rPr>
                <w:rFonts w:ascii="Times New Roman" w:cs="Times New Roman" w:eastAsia="Times New Roman" w:hAnsi="Times New Roman"/>
                <w:sz w:val="16"/>
                <w:szCs w:val="16"/>
                <w:color w:val="auto"/>
              </w:rPr>
              <w:t>Item 8.</w:t>
            </w:r>
          </w:p>
        </w:tc>
        <w:tc>
          <w:tcPr>
            <w:tcW w:w="3780" w:type="dxa"/>
            <w:vAlign w:val="bottom"/>
            <w:gridSpan w:val="14"/>
          </w:tcPr>
          <w:p>
            <w:pPr>
              <w:spacing w:after="0" w:line="179" w:lineRule="exact"/>
              <w:rPr>
                <w:sz w:val="20"/>
                <w:szCs w:val="20"/>
                <w:color w:val="auto"/>
              </w:rPr>
            </w:pPr>
            <w:r>
              <w:rPr>
                <w:rFonts w:ascii="Times New Roman" w:cs="Times New Roman" w:eastAsia="Times New Roman" w:hAnsi="Times New Roman"/>
                <w:sz w:val="16"/>
                <w:szCs w:val="16"/>
                <w:color w:val="0000FF"/>
              </w:rPr>
              <w:t>Financial Statements and Supplementary Data</w:t>
            </w:r>
          </w:p>
        </w:tc>
        <w:tc>
          <w:tcPr>
            <w:tcW w:w="3860" w:type="dxa"/>
            <w:vAlign w:val="bottom"/>
            <w:gridSpan w:val="6"/>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gridSpan w:val="2"/>
          </w:tcPr>
          <w:p>
            <w:pPr>
              <w:jc w:val="center"/>
              <w:ind w:right="40"/>
              <w:spacing w:after="0" w:line="179" w:lineRule="exact"/>
              <w:rPr>
                <w:sz w:val="20"/>
                <w:szCs w:val="20"/>
                <w:color w:val="auto"/>
              </w:rPr>
            </w:pPr>
            <w:r>
              <w:rPr>
                <w:rFonts w:ascii="Times New Roman" w:cs="Times New Roman" w:eastAsia="Times New Roman" w:hAnsi="Times New Roman"/>
                <w:sz w:val="16"/>
                <w:szCs w:val="16"/>
                <w:color w:val="0000FF"/>
                <w:w w:val="74"/>
              </w:rPr>
              <w:t>68</w:t>
            </w:r>
          </w:p>
        </w:tc>
        <w:tc>
          <w:tcPr>
            <w:tcW w:w="20" w:type="dxa"/>
            <w:vAlign w:val="bottom"/>
          </w:tcPr>
          <w:p>
            <w:pPr>
              <w:spacing w:after="0"/>
              <w:rPr>
                <w:sz w:val="15"/>
                <w:szCs w:val="15"/>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1280" w:type="dxa"/>
            <w:vAlign w:val="bottom"/>
            <w:gridSpan w:val="2"/>
          </w:tcPr>
          <w:p>
            <w:pPr>
              <w:spacing w:after="0" w:line="179" w:lineRule="exact"/>
              <w:rPr>
                <w:sz w:val="20"/>
                <w:szCs w:val="20"/>
                <w:color w:val="auto"/>
              </w:rPr>
            </w:pPr>
            <w:r>
              <w:rPr>
                <w:rFonts w:ascii="Times New Roman" w:cs="Times New Roman" w:eastAsia="Times New Roman" w:hAnsi="Times New Roman"/>
                <w:sz w:val="16"/>
                <w:szCs w:val="16"/>
                <w:color w:val="auto"/>
              </w:rPr>
              <w:t>Item 9.</w:t>
            </w:r>
          </w:p>
        </w:tc>
        <w:tc>
          <w:tcPr>
            <w:tcW w:w="5580" w:type="dxa"/>
            <w:vAlign w:val="bottom"/>
            <w:gridSpan w:val="17"/>
          </w:tcPr>
          <w:p>
            <w:pPr>
              <w:spacing w:after="0" w:line="179" w:lineRule="exact"/>
              <w:rPr>
                <w:sz w:val="20"/>
                <w:szCs w:val="20"/>
                <w:color w:val="auto"/>
              </w:rPr>
            </w:pPr>
            <w:r>
              <w:rPr>
                <w:rFonts w:ascii="Times New Roman" w:cs="Times New Roman" w:eastAsia="Times New Roman" w:hAnsi="Times New Roman"/>
                <w:sz w:val="16"/>
                <w:szCs w:val="16"/>
                <w:color w:val="0000FF"/>
                <w:w w:val="96"/>
              </w:rPr>
              <w:t>Changes in and Disagreements with Accountants on Accounting and Financial Disclosure</w:t>
            </w:r>
          </w:p>
        </w:tc>
        <w:tc>
          <w:tcPr>
            <w:tcW w:w="2060" w:type="dxa"/>
            <w:vAlign w:val="bottom"/>
            <w:gridSpan w:val="3"/>
          </w:tcPr>
          <w:p>
            <w:pPr>
              <w:spacing w:after="0"/>
              <w:rPr>
                <w:sz w:val="15"/>
                <w:szCs w:val="15"/>
                <w:color w:val="auto"/>
              </w:rPr>
            </w:pPr>
          </w:p>
        </w:tc>
        <w:tc>
          <w:tcPr>
            <w:tcW w:w="880" w:type="dxa"/>
            <w:vAlign w:val="bottom"/>
            <w:gridSpan w:val="3"/>
          </w:tcPr>
          <w:p>
            <w:pPr>
              <w:jc w:val="center"/>
              <w:ind w:left="583"/>
              <w:spacing w:after="0" w:line="179" w:lineRule="exact"/>
              <w:rPr>
                <w:sz w:val="20"/>
                <w:szCs w:val="20"/>
                <w:color w:val="auto"/>
              </w:rPr>
            </w:pPr>
            <w:r>
              <w:rPr>
                <w:rFonts w:ascii="Times New Roman" w:cs="Times New Roman" w:eastAsia="Times New Roman" w:hAnsi="Times New Roman"/>
                <w:sz w:val="16"/>
                <w:szCs w:val="16"/>
                <w:color w:val="0000FF"/>
                <w:w w:val="91"/>
              </w:rPr>
              <w:t>115</w:t>
            </w:r>
          </w:p>
        </w:tc>
        <w:tc>
          <w:tcPr>
            <w:tcW w:w="20" w:type="dxa"/>
            <w:vAlign w:val="bottom"/>
          </w:tcPr>
          <w:p>
            <w:pPr>
              <w:spacing w:after="0"/>
              <w:rPr>
                <w:sz w:val="15"/>
                <w:szCs w:val="15"/>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1280" w:type="dxa"/>
            <w:vAlign w:val="bottom"/>
            <w:gridSpan w:val="2"/>
          </w:tcPr>
          <w:p>
            <w:pPr>
              <w:spacing w:after="0" w:line="179" w:lineRule="exact"/>
              <w:rPr>
                <w:sz w:val="20"/>
                <w:szCs w:val="20"/>
                <w:color w:val="auto"/>
              </w:rPr>
            </w:pPr>
            <w:r>
              <w:rPr>
                <w:rFonts w:ascii="Times New Roman" w:cs="Times New Roman" w:eastAsia="Times New Roman" w:hAnsi="Times New Roman"/>
                <w:sz w:val="16"/>
                <w:szCs w:val="16"/>
                <w:color w:val="auto"/>
              </w:rPr>
              <w:t>Item 9A.</w:t>
            </w:r>
          </w:p>
        </w:tc>
        <w:tc>
          <w:tcPr>
            <w:tcW w:w="1540" w:type="dxa"/>
            <w:vAlign w:val="bottom"/>
            <w:gridSpan w:val="7"/>
          </w:tcPr>
          <w:p>
            <w:pPr>
              <w:spacing w:after="0" w:line="179" w:lineRule="exact"/>
              <w:rPr>
                <w:sz w:val="20"/>
                <w:szCs w:val="20"/>
                <w:color w:val="auto"/>
              </w:rPr>
            </w:pPr>
            <w:r>
              <w:rPr>
                <w:rFonts w:ascii="Times New Roman" w:cs="Times New Roman" w:eastAsia="Times New Roman" w:hAnsi="Times New Roman"/>
                <w:sz w:val="16"/>
                <w:szCs w:val="16"/>
                <w:color w:val="0000FF"/>
                <w:w w:val="96"/>
              </w:rPr>
              <w:t>Controls and Procedures</w:t>
            </w:r>
          </w:p>
        </w:tc>
        <w:tc>
          <w:tcPr>
            <w:tcW w:w="4040" w:type="dxa"/>
            <w:vAlign w:val="bottom"/>
            <w:gridSpan w:val="10"/>
          </w:tcPr>
          <w:p>
            <w:pPr>
              <w:spacing w:after="0"/>
              <w:rPr>
                <w:sz w:val="15"/>
                <w:szCs w:val="15"/>
                <w:color w:val="auto"/>
              </w:rPr>
            </w:pPr>
          </w:p>
        </w:tc>
        <w:tc>
          <w:tcPr>
            <w:tcW w:w="2060" w:type="dxa"/>
            <w:vAlign w:val="bottom"/>
            <w:gridSpan w:val="3"/>
          </w:tcPr>
          <w:p>
            <w:pPr>
              <w:spacing w:after="0"/>
              <w:rPr>
                <w:sz w:val="15"/>
                <w:szCs w:val="15"/>
                <w:color w:val="auto"/>
              </w:rPr>
            </w:pPr>
          </w:p>
        </w:tc>
        <w:tc>
          <w:tcPr>
            <w:tcW w:w="880" w:type="dxa"/>
            <w:vAlign w:val="bottom"/>
            <w:gridSpan w:val="3"/>
          </w:tcPr>
          <w:p>
            <w:pPr>
              <w:jc w:val="center"/>
              <w:ind w:left="583"/>
              <w:spacing w:after="0" w:line="179" w:lineRule="exact"/>
              <w:rPr>
                <w:sz w:val="20"/>
                <w:szCs w:val="20"/>
                <w:color w:val="auto"/>
              </w:rPr>
            </w:pPr>
            <w:r>
              <w:rPr>
                <w:rFonts w:ascii="Times New Roman" w:cs="Times New Roman" w:eastAsia="Times New Roman" w:hAnsi="Times New Roman"/>
                <w:sz w:val="16"/>
                <w:szCs w:val="16"/>
                <w:color w:val="0000FF"/>
                <w:w w:val="91"/>
              </w:rPr>
              <w:t>116</w:t>
            </w:r>
          </w:p>
        </w:tc>
        <w:tc>
          <w:tcPr>
            <w:tcW w:w="20" w:type="dxa"/>
            <w:vAlign w:val="bottom"/>
          </w:tcPr>
          <w:p>
            <w:pPr>
              <w:spacing w:after="0"/>
              <w:rPr>
                <w:sz w:val="15"/>
                <w:szCs w:val="15"/>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1280" w:type="dxa"/>
            <w:vAlign w:val="bottom"/>
            <w:gridSpan w:val="2"/>
          </w:tcPr>
          <w:p>
            <w:pPr>
              <w:spacing w:after="0" w:line="179" w:lineRule="exact"/>
              <w:rPr>
                <w:sz w:val="20"/>
                <w:szCs w:val="20"/>
                <w:color w:val="auto"/>
              </w:rPr>
            </w:pPr>
            <w:r>
              <w:rPr>
                <w:rFonts w:ascii="Times New Roman" w:cs="Times New Roman" w:eastAsia="Times New Roman" w:hAnsi="Times New Roman"/>
                <w:sz w:val="16"/>
                <w:szCs w:val="16"/>
                <w:color w:val="auto"/>
              </w:rPr>
              <w:t>Item 9B.</w:t>
            </w:r>
          </w:p>
        </w:tc>
        <w:tc>
          <w:tcPr>
            <w:tcW w:w="1540" w:type="dxa"/>
            <w:vAlign w:val="bottom"/>
            <w:gridSpan w:val="7"/>
          </w:tcPr>
          <w:p>
            <w:pPr>
              <w:spacing w:after="0" w:line="179" w:lineRule="exact"/>
              <w:rPr>
                <w:sz w:val="20"/>
                <w:szCs w:val="20"/>
                <w:color w:val="auto"/>
              </w:rPr>
            </w:pPr>
            <w:r>
              <w:rPr>
                <w:rFonts w:ascii="Times New Roman" w:cs="Times New Roman" w:eastAsia="Times New Roman" w:hAnsi="Times New Roman"/>
                <w:sz w:val="16"/>
                <w:szCs w:val="16"/>
                <w:color w:val="0000FF"/>
              </w:rPr>
              <w:t>Other Information</w:t>
            </w:r>
          </w:p>
        </w:tc>
        <w:tc>
          <w:tcPr>
            <w:tcW w:w="6100" w:type="dxa"/>
            <w:vAlign w:val="bottom"/>
            <w:gridSpan w:val="13"/>
          </w:tcPr>
          <w:p>
            <w:pPr>
              <w:spacing w:after="0"/>
              <w:rPr>
                <w:sz w:val="15"/>
                <w:szCs w:val="15"/>
                <w:color w:val="auto"/>
              </w:rPr>
            </w:pPr>
          </w:p>
        </w:tc>
        <w:tc>
          <w:tcPr>
            <w:tcW w:w="880" w:type="dxa"/>
            <w:vAlign w:val="bottom"/>
            <w:gridSpan w:val="3"/>
          </w:tcPr>
          <w:p>
            <w:pPr>
              <w:jc w:val="center"/>
              <w:ind w:left="583"/>
              <w:spacing w:after="0" w:line="179" w:lineRule="exact"/>
              <w:rPr>
                <w:sz w:val="20"/>
                <w:szCs w:val="20"/>
                <w:color w:val="auto"/>
              </w:rPr>
            </w:pPr>
            <w:r>
              <w:rPr>
                <w:rFonts w:ascii="Times New Roman" w:cs="Times New Roman" w:eastAsia="Times New Roman" w:hAnsi="Times New Roman"/>
                <w:sz w:val="16"/>
                <w:szCs w:val="16"/>
                <w:color w:val="0000FF"/>
                <w:w w:val="91"/>
              </w:rPr>
              <w:t>117</w:t>
            </w:r>
          </w:p>
        </w:tc>
        <w:tc>
          <w:tcPr>
            <w:tcW w:w="20" w:type="dxa"/>
            <w:vAlign w:val="bottom"/>
          </w:tcPr>
          <w:p>
            <w:pPr>
              <w:spacing w:after="0"/>
              <w:rPr>
                <w:sz w:val="15"/>
                <w:szCs w:val="15"/>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40" w:type="dxa"/>
            <w:vAlign w:val="bottom"/>
            <w:gridSpan w:val="5"/>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1280" w:type="dxa"/>
            <w:vAlign w:val="bottom"/>
            <w:gridSpan w:val="2"/>
          </w:tcPr>
          <w:p>
            <w:pPr>
              <w:spacing w:after="0" w:line="179" w:lineRule="exact"/>
              <w:rPr>
                <w:sz w:val="20"/>
                <w:szCs w:val="20"/>
                <w:color w:val="auto"/>
              </w:rPr>
            </w:pPr>
            <w:r>
              <w:rPr>
                <w:rFonts w:ascii="Times New Roman" w:cs="Times New Roman" w:eastAsia="Times New Roman" w:hAnsi="Times New Roman"/>
                <w:sz w:val="16"/>
                <w:szCs w:val="16"/>
                <w:color w:val="auto"/>
              </w:rPr>
              <w:t>Item 9C.</w:t>
            </w:r>
          </w:p>
        </w:tc>
        <w:tc>
          <w:tcPr>
            <w:tcW w:w="7640" w:type="dxa"/>
            <w:vAlign w:val="bottom"/>
            <w:gridSpan w:val="20"/>
          </w:tcPr>
          <w:p>
            <w:pPr>
              <w:spacing w:after="0" w:line="179" w:lineRule="exact"/>
              <w:rPr>
                <w:sz w:val="20"/>
                <w:szCs w:val="20"/>
                <w:color w:val="auto"/>
              </w:rPr>
            </w:pPr>
            <w:r>
              <w:rPr>
                <w:rFonts w:ascii="Times New Roman" w:cs="Times New Roman" w:eastAsia="Times New Roman" w:hAnsi="Times New Roman"/>
                <w:sz w:val="16"/>
                <w:szCs w:val="16"/>
                <w:color w:val="0000FF"/>
              </w:rPr>
              <w:t>Disclosure Regarding Foreign Jurisdictions that Prevent Inspections</w:t>
            </w:r>
          </w:p>
        </w:tc>
        <w:tc>
          <w:tcPr>
            <w:tcW w:w="880" w:type="dxa"/>
            <w:vAlign w:val="bottom"/>
            <w:gridSpan w:val="3"/>
          </w:tcPr>
          <w:p>
            <w:pPr>
              <w:jc w:val="center"/>
              <w:ind w:left="583"/>
              <w:spacing w:after="0" w:line="179" w:lineRule="exact"/>
              <w:rPr>
                <w:sz w:val="20"/>
                <w:szCs w:val="20"/>
                <w:color w:val="auto"/>
              </w:rPr>
            </w:pPr>
            <w:r>
              <w:rPr>
                <w:rFonts w:ascii="Times New Roman" w:cs="Times New Roman" w:eastAsia="Times New Roman" w:hAnsi="Times New Roman"/>
                <w:sz w:val="16"/>
                <w:szCs w:val="16"/>
                <w:color w:val="0000FF"/>
                <w:w w:val="91"/>
              </w:rPr>
              <w:t>117</w:t>
            </w:r>
          </w:p>
        </w:tc>
        <w:tc>
          <w:tcPr>
            <w:tcW w:w="20" w:type="dxa"/>
            <w:vAlign w:val="bottom"/>
          </w:tcPr>
          <w:p>
            <w:pPr>
              <w:spacing w:after="0"/>
              <w:rPr>
                <w:sz w:val="15"/>
                <w:szCs w:val="15"/>
                <w:color w:val="auto"/>
              </w:rPr>
            </w:pPr>
          </w:p>
        </w:tc>
      </w:tr>
      <w:tr>
        <w:trPr>
          <w:trHeight w:val="209"/>
        </w:trPr>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PART III.</w:t>
            </w:r>
          </w:p>
        </w:tc>
        <w:tc>
          <w:tcPr>
            <w:tcW w:w="5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70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66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r>
      <w:tr>
        <w:trPr>
          <w:trHeight w:val="169"/>
        </w:trPr>
        <w:tc>
          <w:tcPr>
            <w:tcW w:w="128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Item 10.</w:t>
            </w:r>
          </w:p>
        </w:tc>
        <w:tc>
          <w:tcPr>
            <w:tcW w:w="7640" w:type="dxa"/>
            <w:vAlign w:val="bottom"/>
            <w:gridSpan w:val="20"/>
          </w:tcPr>
          <w:p>
            <w:pPr>
              <w:spacing w:after="0" w:line="168" w:lineRule="exact"/>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880" w:type="dxa"/>
            <w:vAlign w:val="bottom"/>
            <w:gridSpan w:val="3"/>
          </w:tcPr>
          <w:p>
            <w:pPr>
              <w:jc w:val="center"/>
              <w:ind w:left="583"/>
              <w:spacing w:after="0" w:line="168" w:lineRule="exact"/>
              <w:rPr>
                <w:sz w:val="20"/>
                <w:szCs w:val="20"/>
                <w:color w:val="auto"/>
              </w:rPr>
            </w:pPr>
            <w:r>
              <w:rPr>
                <w:rFonts w:ascii="Times New Roman" w:cs="Times New Roman" w:eastAsia="Times New Roman" w:hAnsi="Times New Roman"/>
                <w:sz w:val="16"/>
                <w:szCs w:val="16"/>
                <w:color w:val="0000FF"/>
                <w:w w:val="91"/>
              </w:rPr>
              <w:t>117</w:t>
            </w:r>
          </w:p>
        </w:tc>
        <w:tc>
          <w:tcPr>
            <w:tcW w:w="20" w:type="dxa"/>
            <w:vAlign w:val="bottom"/>
          </w:tcPr>
          <w:p>
            <w:pPr>
              <w:spacing w:after="0"/>
              <w:rPr>
                <w:sz w:val="14"/>
                <w:szCs w:val="14"/>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1280" w:type="dxa"/>
            <w:vAlign w:val="bottom"/>
            <w:gridSpan w:val="2"/>
          </w:tcPr>
          <w:p>
            <w:pPr>
              <w:spacing w:after="0" w:line="179" w:lineRule="exact"/>
              <w:rPr>
                <w:sz w:val="20"/>
                <w:szCs w:val="20"/>
                <w:color w:val="auto"/>
              </w:rPr>
            </w:pPr>
            <w:r>
              <w:rPr>
                <w:rFonts w:ascii="Times New Roman" w:cs="Times New Roman" w:eastAsia="Times New Roman" w:hAnsi="Times New Roman"/>
                <w:sz w:val="16"/>
                <w:szCs w:val="16"/>
                <w:color w:val="auto"/>
              </w:rPr>
              <w:t>Item 11.</w:t>
            </w:r>
          </w:p>
        </w:tc>
        <w:tc>
          <w:tcPr>
            <w:tcW w:w="3540" w:type="dxa"/>
            <w:vAlign w:val="bottom"/>
            <w:gridSpan w:val="13"/>
          </w:tcPr>
          <w:p>
            <w:pPr>
              <w:spacing w:after="0" w:line="179" w:lineRule="exact"/>
              <w:rPr>
                <w:sz w:val="20"/>
                <w:szCs w:val="20"/>
                <w:color w:val="auto"/>
              </w:rPr>
            </w:pPr>
            <w:r>
              <w:rPr>
                <w:rFonts w:ascii="Times New Roman" w:cs="Times New Roman" w:eastAsia="Times New Roman" w:hAnsi="Times New Roman"/>
                <w:sz w:val="16"/>
                <w:szCs w:val="16"/>
                <w:color w:val="0000FF"/>
              </w:rPr>
              <w:t>Executive Compensation</w:t>
            </w:r>
          </w:p>
        </w:tc>
        <w:tc>
          <w:tcPr>
            <w:tcW w:w="4100" w:type="dxa"/>
            <w:vAlign w:val="bottom"/>
            <w:gridSpan w:val="7"/>
          </w:tcPr>
          <w:p>
            <w:pPr>
              <w:spacing w:after="0"/>
              <w:rPr>
                <w:sz w:val="15"/>
                <w:szCs w:val="15"/>
                <w:color w:val="auto"/>
              </w:rPr>
            </w:pPr>
          </w:p>
        </w:tc>
        <w:tc>
          <w:tcPr>
            <w:tcW w:w="880" w:type="dxa"/>
            <w:vAlign w:val="bottom"/>
            <w:gridSpan w:val="3"/>
          </w:tcPr>
          <w:p>
            <w:pPr>
              <w:jc w:val="center"/>
              <w:ind w:left="583"/>
              <w:spacing w:after="0" w:line="179" w:lineRule="exact"/>
              <w:rPr>
                <w:sz w:val="20"/>
                <w:szCs w:val="20"/>
                <w:color w:val="auto"/>
              </w:rPr>
            </w:pPr>
            <w:r>
              <w:rPr>
                <w:rFonts w:ascii="Times New Roman" w:cs="Times New Roman" w:eastAsia="Times New Roman" w:hAnsi="Times New Roman"/>
                <w:sz w:val="16"/>
                <w:szCs w:val="16"/>
                <w:color w:val="0000FF"/>
                <w:w w:val="91"/>
              </w:rPr>
              <w:t>117</w:t>
            </w:r>
          </w:p>
        </w:tc>
        <w:tc>
          <w:tcPr>
            <w:tcW w:w="20" w:type="dxa"/>
            <w:vAlign w:val="bottom"/>
          </w:tcPr>
          <w:p>
            <w:pPr>
              <w:spacing w:after="0"/>
              <w:rPr>
                <w:sz w:val="15"/>
                <w:szCs w:val="15"/>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gridSpan w:val="6"/>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1280" w:type="dxa"/>
            <w:vAlign w:val="bottom"/>
            <w:gridSpan w:val="2"/>
          </w:tcPr>
          <w:p>
            <w:pPr>
              <w:spacing w:after="0" w:line="179" w:lineRule="exact"/>
              <w:rPr>
                <w:sz w:val="20"/>
                <w:szCs w:val="20"/>
                <w:color w:val="auto"/>
              </w:rPr>
            </w:pPr>
            <w:r>
              <w:rPr>
                <w:rFonts w:ascii="Times New Roman" w:cs="Times New Roman" w:eastAsia="Times New Roman" w:hAnsi="Times New Roman"/>
                <w:sz w:val="16"/>
                <w:szCs w:val="16"/>
                <w:color w:val="auto"/>
              </w:rPr>
              <w:t>Item 12.</w:t>
            </w:r>
          </w:p>
        </w:tc>
        <w:tc>
          <w:tcPr>
            <w:tcW w:w="6320" w:type="dxa"/>
            <w:vAlign w:val="bottom"/>
            <w:gridSpan w:val="18"/>
          </w:tcPr>
          <w:p>
            <w:pPr>
              <w:spacing w:after="0" w:line="179" w:lineRule="exact"/>
              <w:rPr>
                <w:sz w:val="20"/>
                <w:szCs w:val="20"/>
                <w:color w:val="auto"/>
              </w:rPr>
            </w:pPr>
            <w:r>
              <w:rPr>
                <w:rFonts w:ascii="Times New Roman" w:cs="Times New Roman" w:eastAsia="Times New Roman" w:hAnsi="Times New Roman"/>
                <w:sz w:val="16"/>
                <w:szCs w:val="16"/>
                <w:color w:val="0000FF"/>
                <w:w w:val="97"/>
              </w:rPr>
              <w:t>Security Ownership of Certain Beneficial Owners and Management and Related Stockholder Matters</w:t>
            </w:r>
          </w:p>
        </w:tc>
        <w:tc>
          <w:tcPr>
            <w:tcW w:w="1320" w:type="dxa"/>
            <w:vAlign w:val="bottom"/>
            <w:gridSpan w:val="2"/>
          </w:tcPr>
          <w:p>
            <w:pPr>
              <w:spacing w:after="0"/>
              <w:rPr>
                <w:sz w:val="15"/>
                <w:szCs w:val="15"/>
                <w:color w:val="auto"/>
              </w:rPr>
            </w:pPr>
          </w:p>
        </w:tc>
        <w:tc>
          <w:tcPr>
            <w:tcW w:w="880" w:type="dxa"/>
            <w:vAlign w:val="bottom"/>
            <w:gridSpan w:val="3"/>
          </w:tcPr>
          <w:p>
            <w:pPr>
              <w:jc w:val="center"/>
              <w:ind w:left="583"/>
              <w:spacing w:after="0" w:line="179" w:lineRule="exact"/>
              <w:rPr>
                <w:sz w:val="20"/>
                <w:szCs w:val="20"/>
                <w:color w:val="auto"/>
              </w:rPr>
            </w:pPr>
            <w:r>
              <w:rPr>
                <w:rFonts w:ascii="Times New Roman" w:cs="Times New Roman" w:eastAsia="Times New Roman" w:hAnsi="Times New Roman"/>
                <w:sz w:val="16"/>
                <w:szCs w:val="16"/>
                <w:color w:val="0000FF"/>
                <w:w w:val="91"/>
              </w:rPr>
              <w:t>117</w:t>
            </w:r>
          </w:p>
        </w:tc>
        <w:tc>
          <w:tcPr>
            <w:tcW w:w="20" w:type="dxa"/>
            <w:vAlign w:val="bottom"/>
          </w:tcPr>
          <w:p>
            <w:pPr>
              <w:spacing w:after="0"/>
              <w:rPr>
                <w:sz w:val="15"/>
                <w:szCs w:val="15"/>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gridSpan w:val="6"/>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1280" w:type="dxa"/>
            <w:vAlign w:val="bottom"/>
            <w:gridSpan w:val="2"/>
          </w:tcPr>
          <w:p>
            <w:pPr>
              <w:spacing w:after="0" w:line="179" w:lineRule="exact"/>
              <w:rPr>
                <w:sz w:val="20"/>
                <w:szCs w:val="20"/>
                <w:color w:val="auto"/>
              </w:rPr>
            </w:pPr>
            <w:r>
              <w:rPr>
                <w:rFonts w:ascii="Times New Roman" w:cs="Times New Roman" w:eastAsia="Times New Roman" w:hAnsi="Times New Roman"/>
                <w:sz w:val="16"/>
                <w:szCs w:val="16"/>
                <w:color w:val="auto"/>
              </w:rPr>
              <w:t>Item 13.</w:t>
            </w:r>
          </w:p>
        </w:tc>
        <w:tc>
          <w:tcPr>
            <w:tcW w:w="6320" w:type="dxa"/>
            <w:vAlign w:val="bottom"/>
            <w:gridSpan w:val="18"/>
          </w:tcPr>
          <w:p>
            <w:pPr>
              <w:spacing w:after="0" w:line="179" w:lineRule="exact"/>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1320" w:type="dxa"/>
            <w:vAlign w:val="bottom"/>
            <w:gridSpan w:val="2"/>
          </w:tcPr>
          <w:p>
            <w:pPr>
              <w:spacing w:after="0"/>
              <w:rPr>
                <w:sz w:val="15"/>
                <w:szCs w:val="15"/>
                <w:color w:val="auto"/>
              </w:rPr>
            </w:pPr>
          </w:p>
        </w:tc>
        <w:tc>
          <w:tcPr>
            <w:tcW w:w="880" w:type="dxa"/>
            <w:vAlign w:val="bottom"/>
            <w:gridSpan w:val="3"/>
          </w:tcPr>
          <w:p>
            <w:pPr>
              <w:jc w:val="center"/>
              <w:ind w:left="583"/>
              <w:spacing w:after="0" w:line="179" w:lineRule="exact"/>
              <w:rPr>
                <w:sz w:val="20"/>
                <w:szCs w:val="20"/>
                <w:color w:val="auto"/>
              </w:rPr>
            </w:pPr>
            <w:r>
              <w:rPr>
                <w:rFonts w:ascii="Times New Roman" w:cs="Times New Roman" w:eastAsia="Times New Roman" w:hAnsi="Times New Roman"/>
                <w:sz w:val="16"/>
                <w:szCs w:val="16"/>
                <w:color w:val="0000FF"/>
                <w:w w:val="91"/>
              </w:rPr>
              <w:t>118</w:t>
            </w:r>
          </w:p>
        </w:tc>
        <w:tc>
          <w:tcPr>
            <w:tcW w:w="20" w:type="dxa"/>
            <w:vAlign w:val="bottom"/>
          </w:tcPr>
          <w:p>
            <w:pPr>
              <w:spacing w:after="0"/>
              <w:rPr>
                <w:sz w:val="15"/>
                <w:szCs w:val="15"/>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1280" w:type="dxa"/>
            <w:vAlign w:val="bottom"/>
            <w:gridSpan w:val="2"/>
          </w:tcPr>
          <w:p>
            <w:pPr>
              <w:spacing w:after="0" w:line="179" w:lineRule="exact"/>
              <w:rPr>
                <w:sz w:val="20"/>
                <w:szCs w:val="20"/>
                <w:color w:val="auto"/>
              </w:rPr>
            </w:pPr>
            <w:r>
              <w:rPr>
                <w:rFonts w:ascii="Times New Roman" w:cs="Times New Roman" w:eastAsia="Times New Roman" w:hAnsi="Times New Roman"/>
                <w:sz w:val="16"/>
                <w:szCs w:val="16"/>
                <w:color w:val="auto"/>
              </w:rPr>
              <w:t>Item 14.</w:t>
            </w:r>
          </w:p>
        </w:tc>
        <w:tc>
          <w:tcPr>
            <w:tcW w:w="4720" w:type="dxa"/>
            <w:vAlign w:val="bottom"/>
            <w:gridSpan w:val="16"/>
          </w:tcPr>
          <w:p>
            <w:pPr>
              <w:spacing w:after="0" w:line="179" w:lineRule="exact"/>
              <w:rPr>
                <w:sz w:val="20"/>
                <w:szCs w:val="20"/>
                <w:color w:val="auto"/>
              </w:rPr>
            </w:pPr>
            <w:r>
              <w:rPr>
                <w:rFonts w:ascii="Times New Roman" w:cs="Times New Roman" w:eastAsia="Times New Roman" w:hAnsi="Times New Roman"/>
                <w:sz w:val="16"/>
                <w:szCs w:val="16"/>
                <w:color w:val="0000FF"/>
              </w:rPr>
              <w:t>Principal Accountant Fees and Services</w:t>
            </w:r>
          </w:p>
        </w:tc>
        <w:tc>
          <w:tcPr>
            <w:tcW w:w="2920" w:type="dxa"/>
            <w:vAlign w:val="bottom"/>
            <w:gridSpan w:val="4"/>
          </w:tcPr>
          <w:p>
            <w:pPr>
              <w:spacing w:after="0"/>
              <w:rPr>
                <w:sz w:val="15"/>
                <w:szCs w:val="15"/>
                <w:color w:val="auto"/>
              </w:rPr>
            </w:pPr>
          </w:p>
        </w:tc>
        <w:tc>
          <w:tcPr>
            <w:tcW w:w="880" w:type="dxa"/>
            <w:vAlign w:val="bottom"/>
            <w:gridSpan w:val="3"/>
          </w:tcPr>
          <w:p>
            <w:pPr>
              <w:jc w:val="center"/>
              <w:ind w:left="583"/>
              <w:spacing w:after="0" w:line="179" w:lineRule="exact"/>
              <w:rPr>
                <w:sz w:val="20"/>
                <w:szCs w:val="20"/>
                <w:color w:val="auto"/>
              </w:rPr>
            </w:pPr>
            <w:r>
              <w:rPr>
                <w:rFonts w:ascii="Times New Roman" w:cs="Times New Roman" w:eastAsia="Times New Roman" w:hAnsi="Times New Roman"/>
                <w:sz w:val="16"/>
                <w:szCs w:val="16"/>
                <w:color w:val="0000FF"/>
                <w:w w:val="91"/>
              </w:rPr>
              <w:t>118</w:t>
            </w:r>
          </w:p>
        </w:tc>
        <w:tc>
          <w:tcPr>
            <w:tcW w:w="20" w:type="dxa"/>
            <w:vAlign w:val="bottom"/>
          </w:tcPr>
          <w:p>
            <w:pPr>
              <w:spacing w:after="0"/>
              <w:rPr>
                <w:sz w:val="15"/>
                <w:szCs w:val="15"/>
                <w:color w:val="auto"/>
              </w:rPr>
            </w:pPr>
          </w:p>
        </w:tc>
      </w:tr>
      <w:tr>
        <w:trPr>
          <w:trHeight w:val="209"/>
        </w:trPr>
        <w:tc>
          <w:tcPr>
            <w:tcW w:w="1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PART IV.</w:t>
            </w:r>
          </w:p>
        </w:tc>
        <w:tc>
          <w:tcPr>
            <w:tcW w:w="5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700" w:type="dxa"/>
            <w:vAlign w:val="bottom"/>
            <w:tcBorders>
              <w:top w:val="single" w:sz="8" w:color="0000FF"/>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r>
      <w:tr>
        <w:trPr>
          <w:trHeight w:val="169"/>
        </w:trPr>
        <w:tc>
          <w:tcPr>
            <w:tcW w:w="128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color w:val="auto"/>
              </w:rPr>
              <w:t>Item 15.</w:t>
            </w:r>
          </w:p>
        </w:tc>
        <w:tc>
          <w:tcPr>
            <w:tcW w:w="2740" w:type="dxa"/>
            <w:vAlign w:val="bottom"/>
            <w:gridSpan w:val="11"/>
          </w:tcPr>
          <w:p>
            <w:pPr>
              <w:spacing w:after="0" w:line="168" w:lineRule="exact"/>
              <w:rPr>
                <w:sz w:val="20"/>
                <w:szCs w:val="20"/>
                <w:color w:val="auto"/>
              </w:rPr>
            </w:pPr>
            <w:r>
              <w:rPr>
                <w:rFonts w:ascii="Times New Roman" w:cs="Times New Roman" w:eastAsia="Times New Roman" w:hAnsi="Times New Roman"/>
                <w:sz w:val="16"/>
                <w:szCs w:val="16"/>
                <w:color w:val="0000FF"/>
                <w:w w:val="96"/>
              </w:rPr>
              <w:t>Exhibits and Financial Statement Schedules</w:t>
            </w:r>
          </w:p>
        </w:tc>
        <w:tc>
          <w:tcPr>
            <w:tcW w:w="4900" w:type="dxa"/>
            <w:vAlign w:val="bottom"/>
            <w:gridSpan w:val="9"/>
          </w:tcPr>
          <w:p>
            <w:pPr>
              <w:spacing w:after="0"/>
              <w:rPr>
                <w:sz w:val="14"/>
                <w:szCs w:val="14"/>
                <w:color w:val="auto"/>
              </w:rPr>
            </w:pPr>
          </w:p>
        </w:tc>
        <w:tc>
          <w:tcPr>
            <w:tcW w:w="880" w:type="dxa"/>
            <w:vAlign w:val="bottom"/>
            <w:gridSpan w:val="3"/>
          </w:tcPr>
          <w:p>
            <w:pPr>
              <w:jc w:val="center"/>
              <w:ind w:left="583"/>
              <w:spacing w:after="0" w:line="168" w:lineRule="exact"/>
              <w:rPr>
                <w:sz w:val="20"/>
                <w:szCs w:val="20"/>
                <w:color w:val="auto"/>
              </w:rPr>
            </w:pPr>
            <w:r>
              <w:rPr>
                <w:rFonts w:ascii="Times New Roman" w:cs="Times New Roman" w:eastAsia="Times New Roman" w:hAnsi="Times New Roman"/>
                <w:sz w:val="16"/>
                <w:szCs w:val="16"/>
                <w:color w:val="0000FF"/>
                <w:w w:val="91"/>
              </w:rPr>
              <w:t>118</w:t>
            </w:r>
          </w:p>
        </w:tc>
        <w:tc>
          <w:tcPr>
            <w:tcW w:w="20" w:type="dxa"/>
            <w:vAlign w:val="bottom"/>
          </w:tcPr>
          <w:p>
            <w:pPr>
              <w:spacing w:after="0"/>
              <w:rPr>
                <w:sz w:val="14"/>
                <w:szCs w:val="14"/>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40" w:type="dxa"/>
            <w:vAlign w:val="bottom"/>
            <w:gridSpan w:val="6"/>
            <w:shd w:val="clear" w:color="auto" w:fill="0000FF"/>
          </w:tcPr>
          <w:p>
            <w:pPr>
              <w:spacing w:after="0" w:line="20" w:lineRule="exact"/>
              <w:rPr>
                <w:sz w:val="1"/>
                <w:szCs w:val="1"/>
                <w:color w:val="auto"/>
              </w:rPr>
            </w:pPr>
          </w:p>
        </w:tc>
        <w:tc>
          <w:tcPr>
            <w:tcW w:w="1400" w:type="dxa"/>
            <w:vAlign w:val="bottom"/>
            <w:gridSpan w:val="5"/>
            <w:shd w:val="clear" w:color="auto" w:fill="0000FF"/>
          </w:tcPr>
          <w:p>
            <w:pPr>
              <w:spacing w:after="0" w:line="20" w:lineRule="exact"/>
              <w:rPr>
                <w:sz w:val="1"/>
                <w:szCs w:val="1"/>
                <w:color w:val="auto"/>
              </w:rPr>
            </w:pPr>
          </w:p>
        </w:tc>
        <w:tc>
          <w:tcPr>
            <w:tcW w:w="4900" w:type="dxa"/>
            <w:vAlign w:val="bottom"/>
            <w:gridSpan w:val="9"/>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1280" w:type="dxa"/>
            <w:vAlign w:val="bottom"/>
            <w:gridSpan w:val="2"/>
          </w:tcPr>
          <w:p>
            <w:pPr>
              <w:spacing w:after="0" w:line="179" w:lineRule="exact"/>
              <w:rPr>
                <w:sz w:val="20"/>
                <w:szCs w:val="20"/>
                <w:color w:val="auto"/>
              </w:rPr>
            </w:pPr>
            <w:r>
              <w:rPr>
                <w:rFonts w:ascii="Times New Roman" w:cs="Times New Roman" w:eastAsia="Times New Roman" w:hAnsi="Times New Roman"/>
                <w:sz w:val="16"/>
                <w:szCs w:val="16"/>
                <w:color w:val="auto"/>
              </w:rPr>
              <w:t>Item 16.</w:t>
            </w:r>
          </w:p>
        </w:tc>
        <w:tc>
          <w:tcPr>
            <w:tcW w:w="2740" w:type="dxa"/>
            <w:vAlign w:val="bottom"/>
            <w:gridSpan w:val="11"/>
          </w:tcPr>
          <w:p>
            <w:pPr>
              <w:spacing w:after="0" w:line="179" w:lineRule="exact"/>
              <w:rPr>
                <w:sz w:val="20"/>
                <w:szCs w:val="20"/>
                <w:color w:val="auto"/>
              </w:rPr>
            </w:pPr>
            <w:r>
              <w:rPr>
                <w:rFonts w:ascii="Times New Roman" w:cs="Times New Roman" w:eastAsia="Times New Roman" w:hAnsi="Times New Roman"/>
                <w:sz w:val="16"/>
                <w:szCs w:val="16"/>
                <w:color w:val="0000FF"/>
              </w:rPr>
              <w:t>Form 10-K Summary</w:t>
            </w:r>
          </w:p>
        </w:tc>
        <w:tc>
          <w:tcPr>
            <w:tcW w:w="4900" w:type="dxa"/>
            <w:vAlign w:val="bottom"/>
            <w:gridSpan w:val="9"/>
          </w:tcPr>
          <w:p>
            <w:pPr>
              <w:spacing w:after="0"/>
              <w:rPr>
                <w:sz w:val="15"/>
                <w:szCs w:val="15"/>
                <w:color w:val="auto"/>
              </w:rPr>
            </w:pPr>
          </w:p>
        </w:tc>
        <w:tc>
          <w:tcPr>
            <w:tcW w:w="880" w:type="dxa"/>
            <w:vAlign w:val="bottom"/>
            <w:gridSpan w:val="3"/>
          </w:tcPr>
          <w:p>
            <w:pPr>
              <w:jc w:val="center"/>
              <w:ind w:left="583"/>
              <w:spacing w:after="0" w:line="179" w:lineRule="exact"/>
              <w:rPr>
                <w:sz w:val="20"/>
                <w:szCs w:val="20"/>
                <w:color w:val="auto"/>
              </w:rPr>
            </w:pPr>
            <w:r>
              <w:rPr>
                <w:rFonts w:ascii="Times New Roman" w:cs="Times New Roman" w:eastAsia="Times New Roman" w:hAnsi="Times New Roman"/>
                <w:sz w:val="16"/>
                <w:szCs w:val="16"/>
                <w:color w:val="0000FF"/>
                <w:w w:val="91"/>
              </w:rPr>
              <w:t>118</w:t>
            </w:r>
          </w:p>
        </w:tc>
        <w:tc>
          <w:tcPr>
            <w:tcW w:w="20" w:type="dxa"/>
            <w:vAlign w:val="bottom"/>
          </w:tcPr>
          <w:p>
            <w:pPr>
              <w:spacing w:after="0"/>
              <w:rPr>
                <w:sz w:val="15"/>
                <w:szCs w:val="15"/>
                <w:color w:val="auto"/>
              </w:rPr>
            </w:pPr>
          </w:p>
        </w:tc>
      </w:tr>
      <w:tr>
        <w:trPr>
          <w:trHeight w:val="20"/>
        </w:trPr>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1280" w:type="dxa"/>
            <w:vAlign w:val="bottom"/>
            <w:gridSpan w:val="2"/>
          </w:tcPr>
          <w:p>
            <w:pPr>
              <w:spacing w:after="0" w:line="179" w:lineRule="exact"/>
              <w:rPr>
                <w:sz w:val="20"/>
                <w:szCs w:val="20"/>
                <w:color w:val="auto"/>
              </w:rPr>
            </w:pPr>
            <w:r>
              <w:rPr>
                <w:rFonts w:ascii="Times New Roman" w:cs="Times New Roman" w:eastAsia="Times New Roman" w:hAnsi="Times New Roman"/>
                <w:sz w:val="16"/>
                <w:szCs w:val="16"/>
                <w:color w:val="0000FF"/>
              </w:rPr>
              <w:t>Signatures</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gridSpan w:val="4"/>
          </w:tcPr>
          <w:p>
            <w:pPr>
              <w:jc w:val="center"/>
              <w:ind w:left="563"/>
              <w:spacing w:after="0" w:line="179" w:lineRule="exact"/>
              <w:rPr>
                <w:sz w:val="20"/>
                <w:szCs w:val="20"/>
                <w:color w:val="auto"/>
              </w:rPr>
            </w:pPr>
            <w:r>
              <w:rPr>
                <w:rFonts w:ascii="Times New Roman" w:cs="Times New Roman" w:eastAsia="Times New Roman" w:hAnsi="Times New Roman"/>
                <w:sz w:val="16"/>
                <w:szCs w:val="16"/>
                <w:color w:val="0000FF"/>
                <w:w w:val="91"/>
              </w:rPr>
              <w:t>122</w:t>
            </w:r>
          </w:p>
        </w:tc>
      </w:tr>
      <w:tr>
        <w:trPr>
          <w:trHeight w:val="20"/>
        </w:trPr>
        <w:tc>
          <w:tcPr>
            <w:tcW w:w="6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139"/>
          </w:cols>
          <w:pgMar w:left="320" w:top="1384" w:right="1440" w:bottom="1440" w:gutter="0" w:footer="0" w:header="0"/>
        </w:sectPr>
      </w:pPr>
    </w:p>
    <w:bookmarkStart w:id="3" w:name="page4"/>
    <w:bookmarkEnd w:id="3"/>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Summary Risk Factors</w:t>
      </w:r>
    </w:p>
    <w:p>
      <w:pPr>
        <w:spacing w:after="0" w:line="145" w:lineRule="exact"/>
        <w:rPr>
          <w:sz w:val="20"/>
          <w:szCs w:val="20"/>
          <w:color w:val="auto"/>
        </w:rPr>
      </w:pPr>
    </w:p>
    <w:p>
      <w:pPr>
        <w:jc w:val="both"/>
        <w:ind w:right="140"/>
        <w:spacing w:after="0" w:line="256" w:lineRule="auto"/>
        <w:rPr>
          <w:sz w:val="20"/>
          <w:szCs w:val="20"/>
          <w:color w:val="auto"/>
        </w:rPr>
      </w:pPr>
      <w:r>
        <w:rPr>
          <w:rFonts w:ascii="Times New Roman" w:cs="Times New Roman" w:eastAsia="Times New Roman" w:hAnsi="Times New Roman"/>
          <w:sz w:val="16"/>
          <w:szCs w:val="16"/>
          <w:color w:val="auto"/>
        </w:rPr>
        <w:t>The following is a summary of some of the risks, uncertainties, and assumptions that could materially adversely affect our business, financial position, results of operations, and cash flows. In particular, the following considerations, among others, may offset our competitive strengths or have a negative effect on our business strategy, which could cause a decline in the price of our securities. You should read this summary together with the more detailed description of each risk factor contained below.</w:t>
      </w:r>
    </w:p>
    <w:p>
      <w:pPr>
        <w:spacing w:after="0" w:line="113" w:lineRule="exact"/>
        <w:rPr>
          <w:sz w:val="20"/>
          <w:szCs w:val="20"/>
          <w:color w:val="auto"/>
        </w:rPr>
      </w:pPr>
    </w:p>
    <w:p>
      <w:pPr>
        <w:ind w:left="560" w:right="60" w:hanging="286"/>
        <w:spacing w:after="0" w:line="256" w:lineRule="auto"/>
        <w:tabs>
          <w:tab w:leader="none" w:pos="556" w:val="left"/>
        </w:tabs>
        <w:numPr>
          <w:ilvl w:val="0"/>
          <w:numId w:val="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Our business depends on our ability to attract new subscribers and to persuade existing subscribers to renew their subscription agreements with us and to purchase additional products and services from us. If we are unable to attract new subscribers, or continue to engage existing subscribers, our revenue and operating results may be adversely affected.</w:t>
      </w:r>
    </w:p>
    <w:p>
      <w:pPr>
        <w:spacing w:after="0" w:line="112" w:lineRule="exact"/>
        <w:rPr>
          <w:rFonts w:ascii="Times New Roman" w:cs="Times New Roman" w:eastAsia="Times New Roman" w:hAnsi="Times New Roman"/>
          <w:sz w:val="16"/>
          <w:szCs w:val="16"/>
          <w:b w:val="1"/>
          <w:bCs w:val="1"/>
          <w:i w:val="1"/>
          <w:iCs w:val="1"/>
          <w:color w:val="auto"/>
        </w:rPr>
      </w:pPr>
    </w:p>
    <w:p>
      <w:pPr>
        <w:ind w:left="560" w:right="60" w:hanging="286"/>
        <w:spacing w:after="0" w:line="268" w:lineRule="auto"/>
        <w:tabs>
          <w:tab w:leader="none" w:pos="556"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adequately market our products and services, or to monitor and manage our use of social media platforms as marketing tools, it could have a material adverse effect on our business, results of operations, and financial condition.</w:t>
      </w:r>
    </w:p>
    <w:p>
      <w:pPr>
        <w:spacing w:after="0" w:line="103" w:lineRule="exact"/>
        <w:rPr>
          <w:rFonts w:ascii="Times New Roman" w:cs="Times New Roman" w:eastAsia="Times New Roman" w:hAnsi="Times New Roman"/>
          <w:sz w:val="16"/>
          <w:szCs w:val="16"/>
          <w:color w:val="auto"/>
        </w:rPr>
      </w:pPr>
    </w:p>
    <w:p>
      <w:pPr>
        <w:ind w:left="560" w:hanging="286"/>
        <w:spacing w:after="0" w:line="341" w:lineRule="auto"/>
        <w:tabs>
          <w:tab w:leader="none" w:pos="5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maintain and protect our reputation for trustworthiness and independence may harm our business. In addition, in the event the reputation of any of our current or former directors, officers, key contributors, editors, or staff were harmed for any reason, our business, results of operations, and financial condition could suffer.</w:t>
      </w:r>
    </w:p>
    <w:p>
      <w:pPr>
        <w:spacing w:after="0" w:line="57" w:lineRule="exact"/>
        <w:rPr>
          <w:rFonts w:ascii="Times New Roman" w:cs="Times New Roman" w:eastAsia="Times New Roman" w:hAnsi="Times New Roman"/>
          <w:sz w:val="14"/>
          <w:szCs w:val="14"/>
          <w:color w:val="auto"/>
        </w:rPr>
      </w:pPr>
    </w:p>
    <w:p>
      <w:pPr>
        <w:ind w:left="560" w:hanging="286"/>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effectively manage our growth, our business, results of operations, and financial condition could be harmed.</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success depends on attracting, developing, and retaining capable management, editors, and other key personnel.</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success depends on our ability to respond to and adapt to changes in technology and consumer behavior.</w:t>
      </w:r>
    </w:p>
    <w:p>
      <w:pPr>
        <w:spacing w:after="0" w:line="143" w:lineRule="exact"/>
        <w:rPr>
          <w:rFonts w:ascii="Times New Roman" w:cs="Times New Roman" w:eastAsia="Times New Roman" w:hAnsi="Times New Roman"/>
          <w:sz w:val="16"/>
          <w:szCs w:val="16"/>
          <w:color w:val="auto"/>
        </w:rPr>
      </w:pPr>
    </w:p>
    <w:p>
      <w:pPr>
        <w:ind w:left="560" w:right="300" w:hanging="286"/>
        <w:spacing w:after="0" w:line="268" w:lineRule="auto"/>
        <w:tabs>
          <w:tab w:leader="none" w:pos="556"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are unable to successfully integrate acquisitions, identify and integrate future acquisitions, or dispose of assets and businesses, our results of operations could be adversely affected.</w:t>
      </w:r>
    </w:p>
    <w:p>
      <w:pPr>
        <w:spacing w:after="0" w:line="103" w:lineRule="exact"/>
        <w:rPr>
          <w:rFonts w:ascii="Times New Roman" w:cs="Times New Roman" w:eastAsia="Times New Roman" w:hAnsi="Times New Roman"/>
          <w:sz w:val="16"/>
          <w:szCs w:val="16"/>
          <w:color w:val="auto"/>
        </w:rPr>
      </w:pPr>
    </w:p>
    <w:p>
      <w:pPr>
        <w:ind w:left="560" w:right="460" w:hanging="286"/>
        <w:spacing w:after="0" w:line="268" w:lineRule="auto"/>
        <w:tabs>
          <w:tab w:leader="none" w:pos="556"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Because we recognize revenue from subscriptions for our services over the term of the subscription, downturns or upturns in new business may not be immediately reflected in our operating results.</w:t>
      </w:r>
    </w:p>
    <w:p>
      <w:pPr>
        <w:spacing w:after="0" w:line="103" w:lineRule="exact"/>
        <w:rPr>
          <w:rFonts w:ascii="Times New Roman" w:cs="Times New Roman" w:eastAsia="Times New Roman" w:hAnsi="Times New Roman"/>
          <w:sz w:val="16"/>
          <w:szCs w:val="16"/>
          <w:color w:val="auto"/>
        </w:rPr>
      </w:pPr>
    </w:p>
    <w:p>
      <w:pPr>
        <w:ind w:left="560" w:right="40" w:hanging="286"/>
        <w:spacing w:after="0" w:line="268" w:lineRule="auto"/>
        <w:tabs>
          <w:tab w:leader="none" w:pos="556"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business, products, and facilities are at risk of a number of material disruptive events that our operational risk management and business continuity programs may not be adequate to address.</w:t>
      </w:r>
    </w:p>
    <w:p>
      <w:pPr>
        <w:spacing w:after="0" w:line="10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Disruptions to our third-party technology providers and management systems could harm our business and lead to loss of subscribers.</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payment processing risk.</w:t>
      </w:r>
    </w:p>
    <w:p>
      <w:pPr>
        <w:spacing w:after="0" w:line="143" w:lineRule="exact"/>
        <w:rPr>
          <w:rFonts w:ascii="Times New Roman" w:cs="Times New Roman" w:eastAsia="Times New Roman" w:hAnsi="Times New Roman"/>
          <w:sz w:val="16"/>
          <w:szCs w:val="16"/>
          <w:color w:val="auto"/>
        </w:rPr>
      </w:pPr>
    </w:p>
    <w:p>
      <w:pPr>
        <w:ind w:left="560" w:right="280" w:hanging="286"/>
        <w:spacing w:after="0" w:line="268" w:lineRule="auto"/>
        <w:tabs>
          <w:tab w:leader="none" w:pos="556" w:val="left"/>
        </w:tabs>
        <w:numPr>
          <w:ilvl w:val="0"/>
          <w:numId w:val="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Failure to comply with laws and regulations or other regulatory action or investigations, including with respect to the federal and state securities laws, could adversely affect our business.</w:t>
      </w:r>
    </w:p>
    <w:p>
      <w:pPr>
        <w:spacing w:after="0" w:line="103" w:lineRule="exact"/>
        <w:rPr>
          <w:rFonts w:ascii="Times New Roman" w:cs="Times New Roman" w:eastAsia="Times New Roman" w:hAnsi="Times New Roman"/>
          <w:sz w:val="16"/>
          <w:szCs w:val="16"/>
          <w:b w:val="1"/>
          <w:bCs w:val="1"/>
          <w:i w:val="1"/>
          <w:iCs w:val="1"/>
          <w:color w:val="auto"/>
        </w:rPr>
      </w:pPr>
    </w:p>
    <w:p>
      <w:pPr>
        <w:ind w:left="560" w:hanging="286"/>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could face liability for the information and data we collect and distribute or the reports and other documents produced by our software products.</w:t>
      </w:r>
    </w:p>
    <w:p>
      <w:pPr>
        <w:spacing w:after="0" w:line="143" w:lineRule="exact"/>
        <w:rPr>
          <w:rFonts w:ascii="Times New Roman" w:cs="Times New Roman" w:eastAsia="Times New Roman" w:hAnsi="Times New Roman"/>
          <w:sz w:val="16"/>
          <w:szCs w:val="16"/>
          <w:color w:val="auto"/>
        </w:rPr>
      </w:pPr>
    </w:p>
    <w:p>
      <w:pPr>
        <w:ind w:left="560" w:right="540" w:hanging="286"/>
        <w:spacing w:after="0" w:line="341" w:lineRule="auto"/>
        <w:tabs>
          <w:tab w:leader="none" w:pos="55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database and network facilities, and those of our third-party service providers, could fail, become unavailable, or otherwise inadequate, and are subject to cybersecurity risks. Any failure of our internal security measures or breach of our privacy protections could cause us to lose subscribers and subject us to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 w:name="page5"/>
    <w:bookmarkEnd w:id="4"/>
    <w:p>
      <w:pPr>
        <w:ind w:left="560" w:right="200" w:hanging="286"/>
        <w:spacing w:after="0" w:line="268" w:lineRule="auto"/>
        <w:tabs>
          <w:tab w:leader="none" w:pos="556"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laws, regulations, and industry standards related to data privacy, data protection, and information security, including industry requirements such as the Payment Card Industry Data Security Standard. Our actual or perceived failure to comply with such obligations could harm our business.</w:t>
      </w:r>
    </w:p>
    <w:p>
      <w:pPr>
        <w:spacing w:after="0" w:line="103" w:lineRule="exact"/>
        <w:rPr>
          <w:rFonts w:ascii="Times New Roman" w:cs="Times New Roman" w:eastAsia="Times New Roman" w:hAnsi="Times New Roman"/>
          <w:sz w:val="16"/>
          <w:szCs w:val="16"/>
          <w:color w:val="auto"/>
        </w:rPr>
      </w:pPr>
    </w:p>
    <w:p>
      <w:pPr>
        <w:ind w:left="560" w:right="20" w:hanging="286"/>
        <w:spacing w:after="0" w:line="268" w:lineRule="auto"/>
        <w:tabs>
          <w:tab w:leader="none" w:pos="556"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our provision for income taxes or adverse outcomes resulting from examination of our income or other tax returns or changes in tax legislation could adversely affect our business, financial condition, and results of operations.</w:t>
      </w:r>
    </w:p>
    <w:p>
      <w:pPr>
        <w:spacing w:after="0" w:line="103" w:lineRule="exact"/>
        <w:rPr>
          <w:rFonts w:ascii="Times New Roman" w:cs="Times New Roman" w:eastAsia="Times New Roman" w:hAnsi="Times New Roman"/>
          <w:sz w:val="16"/>
          <w:szCs w:val="16"/>
          <w:color w:val="auto"/>
        </w:rPr>
      </w:pPr>
    </w:p>
    <w:p>
      <w:pPr>
        <w:ind w:left="560" w:right="340" w:hanging="286"/>
        <w:spacing w:after="0" w:line="256" w:lineRule="auto"/>
        <w:tabs>
          <w:tab w:leader="none" w:pos="556" w:val="left"/>
        </w:tabs>
        <w:numPr>
          <w:ilvl w:val="0"/>
          <w:numId w:val="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MarketWise, Inc.’s sole material asset is its interest in MarketWise, LLC, and, accordingly, it will depend on distributions from MarketWise, LLC to pay its taxes and expenses, including payments under the Tax Receivable Agreement. MarketWise, LLC’s ability to make such distributions may be subject to various limitations and restrictions.</w:t>
      </w:r>
    </w:p>
    <w:p>
      <w:pPr>
        <w:spacing w:after="0" w:line="112" w:lineRule="exact"/>
        <w:rPr>
          <w:rFonts w:ascii="Times New Roman" w:cs="Times New Roman" w:eastAsia="Times New Roman" w:hAnsi="Times New Roman"/>
          <w:sz w:val="16"/>
          <w:szCs w:val="16"/>
          <w:b w:val="1"/>
          <w:bCs w:val="1"/>
          <w:i w:val="1"/>
          <w:iCs w:val="1"/>
          <w:color w:val="auto"/>
        </w:rPr>
      </w:pPr>
    </w:p>
    <w:p>
      <w:pPr>
        <w:ind w:left="560" w:hanging="286"/>
        <w:spacing w:after="0" w:line="252" w:lineRule="auto"/>
        <w:tabs>
          <w:tab w:leader="none" w:pos="556"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Tax Receivable Agreement requires MarketWise, Inc. to make cash payments to the members of the MarketWise, LLC, other than MarketWise, Inc. (the “MarketWise Members”) in respect of certain tax benefits to which MarketWise, Inc. may become entitled, and no such payments will be made to any holders of our Class A common stock unless such holders are also MarketWise Members. The payments MarketWise, Inc. will be required to make under the Tax Receivable Agreement may be substantial.</w:t>
      </w:r>
    </w:p>
    <w:p>
      <w:pPr>
        <w:spacing w:after="0" w:line="115"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 MarketWise Members have significant influence over us, including control over decisions that require the approval of MarketWise, Inc. stockholders.</w:t>
      </w:r>
    </w:p>
    <w:p>
      <w:pPr>
        <w:spacing w:after="0" w:line="143" w:lineRule="exact"/>
        <w:rPr>
          <w:rFonts w:ascii="Times New Roman" w:cs="Times New Roman" w:eastAsia="Times New Roman" w:hAnsi="Times New Roman"/>
          <w:sz w:val="16"/>
          <w:szCs w:val="16"/>
          <w:b w:val="1"/>
          <w:bCs w:val="1"/>
          <w:i w:val="1"/>
          <w:iCs w:val="1"/>
          <w:color w:val="auto"/>
        </w:rPr>
      </w:pPr>
    </w:p>
    <w:p>
      <w:pPr>
        <w:ind w:left="560" w:right="400" w:hanging="286"/>
        <w:spacing w:after="0" w:line="268" w:lineRule="auto"/>
        <w:tabs>
          <w:tab w:leader="none" w:pos="556"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MarketWise Members have the right to have their LLC Units redeemed or exchanged into shares of Class A common stock, which, if exercised, will dilute your economic interest in MarketWise, Inc.</w:t>
      </w:r>
    </w:p>
    <w:p>
      <w:pPr>
        <w:spacing w:after="0" w:line="103" w:lineRule="exact"/>
        <w:rPr>
          <w:rFonts w:ascii="Times New Roman" w:cs="Times New Roman" w:eastAsia="Times New Roman" w:hAnsi="Times New Roman"/>
          <w:sz w:val="16"/>
          <w:szCs w:val="16"/>
          <w:color w:val="auto"/>
        </w:rPr>
      </w:pPr>
    </w:p>
    <w:p>
      <w:pPr>
        <w:ind w:left="560" w:right="100" w:hanging="286"/>
        <w:spacing w:after="0" w:line="256" w:lineRule="auto"/>
        <w:tabs>
          <w:tab w:leader="none" w:pos="556"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 certain circumstances, the Sponsor and certain members of our management team will be entitled to the Sponsor Earnout Shares (as defined below) and the Management Member Earnout Shares (as defined below), as applicable, which will increase the number of shares eligible for future resale in the public market and result in dilution to our stockholders.</w:t>
      </w:r>
    </w:p>
    <w:p>
      <w:pPr>
        <w:spacing w:after="0" w:line="112" w:lineRule="exact"/>
        <w:rPr>
          <w:rFonts w:ascii="Times New Roman" w:cs="Times New Roman" w:eastAsia="Times New Roman" w:hAnsi="Times New Roman"/>
          <w:sz w:val="16"/>
          <w:szCs w:val="16"/>
          <w:color w:val="auto"/>
        </w:rPr>
      </w:pPr>
    </w:p>
    <w:p>
      <w:pPr>
        <w:ind w:left="560" w:right="100" w:hanging="286"/>
        <w:spacing w:after="0" w:line="256" w:lineRule="auto"/>
        <w:tabs>
          <w:tab w:leader="none" w:pos="556"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identified material weaknesses in our internal control over financial reporting and may identify additional material weaknesses in the future that may cause us to fail to meet our reporting obligations or result in material misstatements of our financial statements. If we fail to remediate any material weaknesses or if we fail to establish and maintain effective control over financial reporting, our ability to accurately and timely report financial results could be adversely affected.</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CAUTIONARY STATEMENT REGARDING FORWARD-LOOKING STATEMENTS</w:t>
      </w:r>
    </w:p>
    <w:p>
      <w:pPr>
        <w:spacing w:after="0" w:line="356"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16"/>
          <w:szCs w:val="16"/>
          <w:color w:val="auto"/>
        </w:rPr>
        <w:t>This annual report on Form 10-K contains forward-looking statements within the meaning of federal securities law, and as such are not historical facts. This includes, without limitation, statements regarding our financial position and business strategy, and the plans and objectives of management for our future operations. Such statements can be identified by the fact that they do not relate strictly to historical or current facts. When used in this report,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report, including, but not limited to:</w:t>
      </w:r>
    </w:p>
    <w:p>
      <w:pPr>
        <w:spacing w:after="0" w:line="119" w:lineRule="exact"/>
        <w:rPr>
          <w:sz w:val="20"/>
          <w:szCs w:val="20"/>
          <w:color w:val="auto"/>
        </w:rPr>
      </w:pPr>
    </w:p>
    <w:p>
      <w:pPr>
        <w:ind w:left="560" w:right="100" w:hanging="286"/>
        <w:spacing w:after="0" w:line="268" w:lineRule="auto"/>
        <w:tabs>
          <w:tab w:leader="none" w:pos="556"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attract new subscribers and to persuade existing subscribers to renew their subscription agreements with us and to purchase additional products and services from us;</w:t>
      </w:r>
    </w:p>
    <w:p>
      <w:pPr>
        <w:spacing w:after="0" w:line="10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adequately market our products and services, and to develop additional products and product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386" w:right="359" w:bottom="1440" w:gutter="0" w:footer="0" w:header="0"/>
        </w:sectPr>
      </w:pPr>
    </w:p>
    <w:bookmarkStart w:id="5" w:name="page6"/>
    <w:bookmarkEnd w:id="5"/>
    <w:p>
      <w:pPr>
        <w:ind w:left="560" w:hanging="286"/>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manage our growth effectively, including through acquisitions;</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maintain and protect our reputation for trustworthiness and independence;</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attract, develop, and retain capable management, editors, and other key personnel;</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grow market share in our existing markets or any new markets we may enter;</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adverse or weakened conditions in the financial sector, global financial markets, and global economy;</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respond to and adapt to changes in technology and consumer behavior;</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successfully identify and integrate acquisitions, or dispose of assets and businesses;</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public securities’ potential liquidity and trading;</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the regulatory environment and complexities with compliance related to such environment;</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the COVID-19 pandemic or the future outbreak of any other highly infectious or contagious diseases;</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future capital needs;</w:t>
      </w:r>
    </w:p>
    <w:p>
      <w:pPr>
        <w:spacing w:after="0" w:line="143" w:lineRule="exact"/>
        <w:rPr>
          <w:rFonts w:ascii="Times New Roman" w:cs="Times New Roman" w:eastAsia="Times New Roman" w:hAnsi="Times New Roman"/>
          <w:sz w:val="16"/>
          <w:szCs w:val="16"/>
          <w:color w:val="auto"/>
        </w:rPr>
      </w:pPr>
    </w:p>
    <w:p>
      <w:pPr>
        <w:ind w:left="560" w:right="120" w:hanging="286"/>
        <w:spacing w:after="0" w:line="268" w:lineRule="auto"/>
        <w:tabs>
          <w:tab w:leader="none" w:pos="55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an effective system of internal control over financial reporting, and to address and remediate existing material weaknesses in our internal control over financial reporting;</w:t>
      </w:r>
    </w:p>
    <w:p>
      <w:pPr>
        <w:spacing w:after="0" w:line="10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and protect our intellectual property; and</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factors detailed under the section of this report entitled “Risk Factors.”</w:t>
      </w:r>
    </w:p>
    <w:p>
      <w:pPr>
        <w:spacing w:after="0" w:line="143"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4"/>
          <w:szCs w:val="14"/>
          <w:color w:val="auto"/>
        </w:rPr>
        <w:t>These forward-looking statements are based on information available as of the date of this report and current expectations, forecasts, and assumptions, and involve a number of judgments, risks, and uncertainties. Additionally, as a result of a number of known and unknown risks and uncertainties, our actual results or performance may be materially different from those expressed or implied by these forward-looking statements. Accordingly, forward-looking statements should not be relied upon as representing our views as of any subsequent date, and we do not undertake any obligation to update forward-looking statements for any reason, except as may be required under applicable securities laws.</w:t>
      </w:r>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PART I</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Business.</w:t>
      </w:r>
    </w:p>
    <w:p>
      <w:pPr>
        <w:spacing w:after="0" w:line="14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6"/>
          <w:szCs w:val="16"/>
          <w:color w:val="auto"/>
        </w:rPr>
        <w:t>We started in 1999 with the simple idea that, if we could publish intelligent, independent, insightful, and in-depth investment research and treat the subscriber the way we would want to be treated, then subscribers would renew their subscriptions and stay with us. That simple idea worked and has guided our decisions ever since.</w:t>
      </w:r>
    </w:p>
    <w:p>
      <w:pPr>
        <w:spacing w:after="0" w:line="104"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6"/>
          <w:szCs w:val="16"/>
          <w:color w:val="auto"/>
        </w:rPr>
        <w:t>Today, we are a leading multi-brand platform of subscription businesses that provides premium financial research, software, education, and tools for self-directed investors. We provide our subscribers with the research, education, and tools that they need to navigate the financial markets.</w:t>
      </w:r>
    </w:p>
    <w:p>
      <w:pPr>
        <w:spacing w:after="0" w:line="104" w:lineRule="exact"/>
        <w:rPr>
          <w:sz w:val="20"/>
          <w:szCs w:val="20"/>
          <w:color w:val="auto"/>
        </w:rPr>
      </w:pPr>
    </w:p>
    <w:p>
      <w:pPr>
        <w:ind w:right="480"/>
        <w:spacing w:after="0" w:line="256" w:lineRule="auto"/>
        <w:rPr>
          <w:sz w:val="20"/>
          <w:szCs w:val="20"/>
          <w:color w:val="auto"/>
        </w:rPr>
      </w:pPr>
      <w:r>
        <w:rPr>
          <w:rFonts w:ascii="Times New Roman" w:cs="Times New Roman" w:eastAsia="Times New Roman" w:hAnsi="Times New Roman"/>
          <w:sz w:val="16"/>
          <w:szCs w:val="16"/>
          <w:color w:val="auto"/>
        </w:rPr>
        <w:t>We have evolved significantly since our inception in 1999. Over the years, we have expanded our business into a comprehensive suite of investment research products and solutions. We now produce a diversified product portfolio from a variety of financial research brands such as Stansberry Research, Chaikin Analytics, InvestorPlace, and TradeSmith. Our entire investment research product portfolio is 100% digital and channel agnostic. We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120"/>
          </w:cols>
          <w:pgMar w:left="320" w:top="1386"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color w:val="auto"/>
        </w:rPr>
        <w:t>our research across a variety of platforms, including desktop, laptop, and mobile devices, including tablets and mobile phones.</w:t>
      </w:r>
    </w:p>
    <w:p>
      <w:pPr>
        <w:spacing w:after="0" w:line="143" w:lineRule="exact"/>
        <w:rPr>
          <w:sz w:val="20"/>
          <w:szCs w:val="20"/>
          <w:color w:val="auto"/>
        </w:rPr>
      </w:pPr>
    </w:p>
    <w:p>
      <w:pPr>
        <w:ind w:right="100"/>
        <w:spacing w:after="0" w:line="299" w:lineRule="auto"/>
        <w:rPr>
          <w:sz w:val="20"/>
          <w:szCs w:val="20"/>
          <w:color w:val="auto"/>
        </w:rPr>
      </w:pPr>
      <w:r>
        <w:rPr>
          <w:rFonts w:ascii="Times New Roman" w:cs="Times New Roman" w:eastAsia="Times New Roman" w:hAnsi="Times New Roman"/>
          <w:sz w:val="14"/>
          <w:szCs w:val="14"/>
          <w:color w:val="auto"/>
        </w:rPr>
        <w:t>As a result of the expansion of the business, we now have 79 editors and analysts covering a broad spectrum of investments, ranging from commodities to equities, to distressed debt and cryptocurrencies. We offer 37 free and 135 paid products on multiple platforms through our 11 primary customer-facing brands. This diversity of content has allowed our business to succeed and our subscription base to grow through the many economic cycles in our over 20-year history. We have an engaged subscriber base of approximately 737 thousand Paid Subscribers. We define Paid Subscribers as the total number of unique subscribers with at least one paid subscription at the end of a given period.</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Value Proposition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empower retail investors with institutional-quality research at a price point that is accessible.</w:t>
      </w:r>
    </w:p>
    <w:p>
      <w:pPr>
        <w:spacing w:after="0" w:line="145"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6"/>
          <w:szCs w:val="16"/>
          <w:color w:val="auto"/>
        </w:rPr>
        <w:t>Experienced analysts, with their own unique investment strategies and philosophies, lead our brands. As a result, we do not promote a single, unified view of the markets, but instead we publish a mosaic of opinions, recommendations, and strategies.</w:t>
      </w:r>
    </w:p>
    <w:p>
      <w:pPr>
        <w:spacing w:after="0" w:line="10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6"/>
          <w:szCs w:val="16"/>
          <w:color w:val="auto"/>
        </w:rPr>
        <w:t>This multi-brand approach gives our work far greater breadth, creating more diverse opportunities for our subscribers. Our brands are linked, however, by a continuous commitment to risk management and a contrarian approach to identifying investment opportunities.</w:t>
      </w:r>
    </w:p>
    <w:p>
      <w:pPr>
        <w:spacing w:after="0" w:line="104"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6"/>
          <w:szCs w:val="16"/>
          <w:color w:val="auto"/>
        </w:rPr>
        <w:t>Across all our brands, we focus on investments that are unloved, ignored, or unknown. Having an informed perspective in these situations gives our subscribers the best risk-to-reward opportunities.</w:t>
      </w:r>
    </w:p>
    <w:p>
      <w:pPr>
        <w:spacing w:after="0" w:line="10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6"/>
          <w:szCs w:val="16"/>
          <w:color w:val="auto"/>
        </w:rPr>
        <w:t>We recognize that self-directed investors do not have the same research budget and resources at their disposal as institutional investors do. So we strive to provide them with institutional quality research at affordable price points. Unlike traditional institutional research, our offerings are significantly less expensive and more accessible. They are designed to be less technical and therefore more easily understood by the subscribers who aren’t finance professionals. At the same time, our offerings have premium content that is highly actionable.</w:t>
      </w:r>
    </w:p>
    <w:p>
      <w:pPr>
        <w:spacing w:after="0" w:line="11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6"/>
          <w:szCs w:val="16"/>
          <w:color w:val="auto"/>
        </w:rPr>
        <w:t>We believe that if we publish research to help our subscribers succeed in the financial markets, they will progressively become better investors, renew their subscriptions, and become long-term customers. We have proven out this thesis throughout our over 20-year history. We have formed lifelong relationships with our subscribers by providing superior value through our offerings.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provide a comprehensive suite of research solutions.</w:t>
      </w:r>
    </w:p>
    <w:p>
      <w:pPr>
        <w:spacing w:after="0" w:line="145"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14"/>
          <w:szCs w:val="14"/>
          <w:color w:val="auto"/>
        </w:rPr>
        <w:t>Through 11 primary customer facing brands, we have 37 free products and 135 paid products. We cover various investment strategies, such as value investing, income, growth, commodities, cryptocurrencies, venture, crowdfunded investing, biotechnology, mutual funds, options, and trading. We find that our subscribers develop personal affinities for specific writers and certain investment styles, and specific brands. When we acquire brands or form joint ventures, which we engage in periodically, we typically maintain the existing brands because we want to avoid disrupting those relationships by interjecting a new company name or persona, since subscribers may not have any prior relationship with us. We sold one of our brands, Crowdability, Inc. (“Buttonwood Publishing”), a business we acquired in 2022 to a related party, during 2023 due to continuing losses.</w:t>
      </w:r>
    </w:p>
    <w:p>
      <w:pPr>
        <w:spacing w:after="0" w:line="90"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6"/>
          <w:szCs w:val="16"/>
          <w:color w:val="auto"/>
        </w:rPr>
        <w:t>We typically publish our research reports on a monthly basis, although some of our products publish more frequently. We offer our entire investment research product portfolio across a variety of media, including desktops, laptops, tablets, and mobile.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also offer financial software and analytical tools.</w:t>
      </w:r>
    </w:p>
    <w:p>
      <w:pPr>
        <w:spacing w:after="0" w:line="14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6"/>
          <w:szCs w:val="16"/>
          <w:color w:val="auto"/>
        </w:rPr>
        <w:t>We continue to expand our research portfolio with software and analytical tool solutions, which include the Chaikin Power Gauge, TradeStops and the Altimeter. Our software and analytical tool solutions represented 10% of our Billings on average from 2021 to 2023. Billings represents fee amounts invoiced to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7" w:name="page8"/>
    <w:bookmarkEnd w:id="7"/>
    <w:p>
      <w:pPr>
        <w:spacing w:after="0" w:line="252" w:lineRule="auto"/>
        <w:rPr>
          <w:sz w:val="20"/>
          <w:szCs w:val="20"/>
          <w:color w:val="auto"/>
        </w:rPr>
      </w:pPr>
      <w:r>
        <w:rPr>
          <w:rFonts w:ascii="Times New Roman" w:cs="Times New Roman" w:eastAsia="Times New Roman" w:hAnsi="Times New Roman"/>
          <w:sz w:val="16"/>
          <w:szCs w:val="16"/>
          <w:color w:val="auto"/>
        </w:rPr>
        <w:t>Our Chaikin Analytics brand offers a suite of stock research tools and portfolio management services that help investors pick winning stocks and drop losing stocks ahead of market shifts. Our TradeSmith brand provides a full suite of portfolio management software tools that enable individual investors to manage their portfolios using algorithms that have been back tested for results and designed to help investors manage their emotions. Our Altimetry brand offers a user-friendly database showing uniform, accounting-based financial summaries for more than 4,500 companies.</w:t>
      </w:r>
    </w:p>
    <w:p>
      <w:pPr>
        <w:spacing w:after="0" w:line="116" w:lineRule="exact"/>
        <w:rPr>
          <w:sz w:val="20"/>
          <w:szCs w:val="20"/>
          <w:color w:val="auto"/>
        </w:rPr>
      </w:pPr>
    </w:p>
    <w:p>
      <w:pPr>
        <w:jc w:val="both"/>
        <w:ind w:right="300"/>
        <w:spacing w:after="0" w:line="256" w:lineRule="auto"/>
        <w:rPr>
          <w:sz w:val="20"/>
          <w:szCs w:val="20"/>
          <w:color w:val="auto"/>
        </w:rPr>
      </w:pPr>
      <w:r>
        <w:rPr>
          <w:rFonts w:ascii="Times New Roman" w:cs="Times New Roman" w:eastAsia="Times New Roman" w:hAnsi="Times New Roman"/>
          <w:sz w:val="16"/>
          <w:szCs w:val="16"/>
          <w:color w:val="auto"/>
        </w:rPr>
        <w:t>We have developed screeners, monitors, portfolio management tools, and a set of proprietary indicators that produce a composite score to rank several thousand publicly traded companies in the United States. Our various digital research platforms integrate our content with public financial data in well-designed user interfaces to provide our users with valuable tools to easily consume our research, keep track of investments, import their portfolios and more.</w:t>
      </w:r>
    </w:p>
    <w:p>
      <w:pPr>
        <w:spacing w:after="0" w:line="113"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6"/>
          <w:szCs w:val="16"/>
          <w:color w:val="auto"/>
        </w:rPr>
        <w:t>Our product offerings reinforce each other and produce a strong flywheel effect across our organization. As we launch or add more products, we increase the tools available to our readers and the value we provide to our existing subscribers. This allows us to gather insights and feedback and helps us create new products and solutions.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Growth Strategy</w:t>
      </w:r>
    </w:p>
    <w:p>
      <w:pPr>
        <w:spacing w:after="0" w:line="145"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6"/>
          <w:szCs w:val="16"/>
          <w:color w:val="auto"/>
        </w:rPr>
        <w:t>We are committed to growing our business by deepening our relationship with existing customers and attracting new subscribers to our platform. We will also pursue strategic growth as opportunities arise. Here’s how we grow our business:</w:t>
      </w:r>
    </w:p>
    <w:p>
      <w:pPr>
        <w:spacing w:after="0" w:line="102"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Attract more subscribers</w:t>
      </w:r>
      <w:r>
        <w:rPr>
          <w:rFonts w:ascii="Times New Roman" w:cs="Times New Roman" w:eastAsia="Times New Roman" w:hAnsi="Times New Roman"/>
          <w:sz w:val="16"/>
          <w:szCs w:val="16"/>
          <w:color w:val="auto"/>
        </w:rPr>
        <w:t>. We typically acquire new subscribers through an omni-channel marketing strategy that includes display ads, email, external subscriber lists, and direct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mail, as well as television and radio at times. We primarily market in these channels through free-to-paid and direct-to-paid content.</w:t>
      </w:r>
    </w:p>
    <w:p>
      <w:pPr>
        <w:spacing w:after="0" w:line="101" w:lineRule="exact"/>
        <w:rPr>
          <w:sz w:val="20"/>
          <w:szCs w:val="20"/>
          <w:color w:val="auto"/>
        </w:rPr>
      </w:pPr>
    </w:p>
    <w:p>
      <w:pPr>
        <w:ind w:right="220"/>
        <w:spacing w:after="0" w:line="341" w:lineRule="auto"/>
        <w:rPr>
          <w:sz w:val="20"/>
          <w:szCs w:val="20"/>
          <w:color w:val="auto"/>
        </w:rPr>
      </w:pPr>
      <w:r>
        <w:rPr>
          <w:rFonts w:ascii="Times New Roman" w:cs="Times New Roman" w:eastAsia="Times New Roman" w:hAnsi="Times New Roman"/>
          <w:sz w:val="14"/>
          <w:szCs w:val="14"/>
          <w:color w:val="auto"/>
        </w:rPr>
        <w:t>We measure our customer-acquisition performance by a matrix of new customer counts and the cost to acquire customers. The mix of our marketing spend across these channels varies among our primary customer-facing brands and depends on how well individual marketing campaigns succeed, the nature of the product, and the type of offer.</w:t>
      </w:r>
    </w:p>
    <w:p>
      <w:pPr>
        <w:spacing w:after="0" w:line="5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6"/>
          <w:szCs w:val="16"/>
          <w:color w:val="auto"/>
        </w:rPr>
        <w:t>We have invested significant resources into our efforts around consumer marketing, including enterprise-wide customer relationship management (“CRM”) systems, the leveraging of artificial intelligence (“AI”) to analyze this data, and a robust database of customer information.</w:t>
      </w:r>
    </w:p>
    <w:p>
      <w:pPr>
        <w:spacing w:after="0" w:line="10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6"/>
          <w:szCs w:val="16"/>
          <w:color w:val="auto"/>
        </w:rPr>
        <w:t>In all of our marketing efforts, we collect and analyze customer response data by channel and effort, down to the individual advertisement in a marketing campaign. Using this data-driven and time-tested approach, we have developed proprietary practices for customer acquisition that we believe set us apart from other companies.</w:t>
      </w:r>
    </w:p>
    <w:p>
      <w:pPr>
        <w:spacing w:after="0" w:line="10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6"/>
          <w:szCs w:val="16"/>
          <w:color w:val="auto"/>
        </w:rPr>
        <w:t>As we develop our relationship with the customer, we collect information from our subscribers about what products they are purchasing, their customer experience, and any feedback they have on our free and paid products. We use this information to deepen the customer experience and present offers to our subscribers for other products that they are likely to find interesting and useful.</w:t>
      </w:r>
    </w:p>
    <w:p>
      <w:pPr>
        <w:spacing w:after="0" w:line="11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Deepen our relationship with our existing subscribers. </w:t>
      </w:r>
      <w:r>
        <w:rPr>
          <w:rFonts w:ascii="Times New Roman" w:cs="Times New Roman" w:eastAsia="Times New Roman" w:hAnsi="Times New Roman"/>
          <w:sz w:val="16"/>
          <w:szCs w:val="16"/>
          <w:color w:val="auto"/>
        </w:rPr>
        <w:t>In addition to our Paid Subscribers, all of our Free Subscribers have access to our extensive library of free and educational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content. We define Free Subscribers as unique subscribers who have subscribed to one of our free investment publications via a valid email address and continue to remain directly opted in, excluding any Paid Subscribers who also have free subscriptions. As our subscribers learn and gain confidence as investors, they understand the need to deploy diverse investment strategies for different market conditions and they explore our broad and diverse product offerings. They gain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color w:val="auto"/>
        </w:rPr>
        <w:t>understanding of the high quality of research that we strive to provide, and they tend to purchase additional research and software products.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Our free subscription products serve as a significant source of new Paid Subscribers.</w:t>
      </w:r>
    </w:p>
    <w:p>
      <w:pPr>
        <w:spacing w:after="0" w:line="143"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6"/>
          <w:szCs w:val="16"/>
          <w:color w:val="auto"/>
        </w:rPr>
        <w:t>We also offer members-only investing conferences where subscribers interact with our editors and analysts and can network with each other. We have a strong track record of cultivating these relationships with our subscribers, and we intend to continue that going forward.</w:t>
      </w:r>
    </w:p>
    <w:p>
      <w:pPr>
        <w:spacing w:after="0" w:line="10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 xml:space="preserve">Launch new products and target new markets. </w:t>
      </w:r>
      <w:r>
        <w:rPr>
          <w:rFonts w:ascii="Times New Roman" w:cs="Times New Roman" w:eastAsia="Times New Roman" w:hAnsi="Times New Roman"/>
          <w:sz w:val="16"/>
          <w:szCs w:val="16"/>
          <w:color w:val="auto"/>
        </w:rPr>
        <w:t>Over our greater than 20-year history, we have developed a breadth of products and services that are designed to educate, empower,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and entertain our subscribers and provide them with actionable investment ideas.</w:t>
      </w:r>
    </w:p>
    <w:p>
      <w:pPr>
        <w:spacing w:after="0" w:line="9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6"/>
          <w:szCs w:val="16"/>
          <w:color w:val="auto"/>
        </w:rPr>
        <w:t>We offer a wide array of paid subscription products, ranging from lower priced products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subscriptions that cost $100 annually) to more expensive products (</w:t>
      </w:r>
      <w:r>
        <w:rPr>
          <w:rFonts w:ascii="Times New Roman" w:cs="Times New Roman" w:eastAsia="Times New Roman" w:hAnsi="Times New Roman"/>
          <w:sz w:val="16"/>
          <w:szCs w:val="16"/>
          <w:i w:val="1"/>
          <w:iCs w:val="1"/>
          <w:color w:val="auto"/>
        </w:rPr>
        <w:t>e.g.</w:t>
      </w:r>
      <w:r>
        <w:rPr>
          <w:rFonts w:ascii="Times New Roman" w:cs="Times New Roman" w:eastAsia="Times New Roman" w:hAnsi="Times New Roman"/>
          <w:sz w:val="16"/>
          <w:szCs w:val="16"/>
          <w:color w:val="auto"/>
        </w:rPr>
        <w:t>, subscriptions that can cost up to $5,000 annually). The length of our subscriptions can vary from one year to what we refer to as “membership subscriptions,” where subscribers pay upfront for access to our specific products, and then only pay an annual maintenance fee ranging from $49 to $500 per year for the rest of their investing lives.</w:t>
      </w:r>
    </w:p>
    <w:p>
      <w:pPr>
        <w:spacing w:after="0" w:line="113"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6"/>
          <w:szCs w:val="16"/>
          <w:color w:val="auto"/>
        </w:rPr>
        <w:t>We have also developed various software applications that provide customers with algorithmic tools to search for trading ideas and manage portfolio risk. We will continue to enhance our value proposition and create additional selling opportunities through an expanded product portfolio.</w:t>
      </w:r>
    </w:p>
    <w:p>
      <w:pPr>
        <w:spacing w:after="0" w:line="102"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 xml:space="preserve">Selectively pursue strategic growth. </w:t>
      </w:r>
      <w:r>
        <w:rPr>
          <w:rFonts w:ascii="Times New Roman" w:cs="Times New Roman" w:eastAsia="Times New Roman" w:hAnsi="Times New Roman"/>
          <w:sz w:val="16"/>
          <w:szCs w:val="16"/>
          <w:color w:val="auto"/>
        </w:rPr>
        <w:t>Over the past ten years, we have developed several joint ventures and executed strategic acquisitions to accelerate our growth, as well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increase the value of our offerings to our subscribers.</w:t>
      </w:r>
    </w:p>
    <w:p>
      <w:pPr>
        <w:spacing w:after="0" w:line="101" w:lineRule="exact"/>
        <w:rPr>
          <w:sz w:val="20"/>
          <w:szCs w:val="20"/>
          <w:color w:val="auto"/>
        </w:rPr>
      </w:pPr>
    </w:p>
    <w:p>
      <w:pPr>
        <w:ind w:right="260"/>
        <w:spacing w:after="0" w:line="341" w:lineRule="auto"/>
        <w:rPr>
          <w:sz w:val="20"/>
          <w:szCs w:val="20"/>
          <w:color w:val="auto"/>
        </w:rPr>
      </w:pPr>
      <w:r>
        <w:rPr>
          <w:rFonts w:ascii="Times New Roman" w:cs="Times New Roman" w:eastAsia="Times New Roman" w:hAnsi="Times New Roman"/>
          <w:sz w:val="14"/>
          <w:szCs w:val="14"/>
          <w:color w:val="auto"/>
        </w:rPr>
        <w:t>We have a strong track record of driving growth and delivering value through the successful integration of acquisitions and joint ventures. We believe our large subscriber base, easy scalability, marketing expertise, technology-based platform, and integration capabilities provide opportunities for us to drive value-added growth through acquisitions.</w:t>
      </w:r>
    </w:p>
    <w:p>
      <w:pPr>
        <w:spacing w:after="0" w:line="57"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6"/>
          <w:szCs w:val="16"/>
          <w:color w:val="auto"/>
        </w:rPr>
        <w:t>We have also made key investments across our platform to create a repeatable, low-cost, and scalable business model. We have invested in business functions from marketing to technology which allow us to scale rapidly.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plan to continue investing in cutting-edge AI and advanced analytics-driven marketing tools to further optimize our marketing channels.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145"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6"/>
          <w:szCs w:val="16"/>
          <w:color w:val="auto"/>
        </w:rPr>
        <w:t>The market for investment research and financial information software is evolving and is highly fragmented. As the markets in which we operate continue to mature and new technologies and competitors enter those markets, we expect competition to intensify. Our competitor categories include:</w:t>
      </w:r>
    </w:p>
    <w:p>
      <w:pPr>
        <w:spacing w:after="0" w:line="104" w:lineRule="exact"/>
        <w:rPr>
          <w:sz w:val="20"/>
          <w:szCs w:val="20"/>
          <w:color w:val="auto"/>
        </w:rPr>
      </w:pPr>
    </w:p>
    <w:p>
      <w:pPr>
        <w:ind w:left="560" w:hanging="286"/>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free online financial news aggregators or customer content platforms, like Yahoo! Finance and Seeking Alpha;</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traditional financial news publishers, like the Wall Street Journal, Investor’s Business Daily, and Barron’s;</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consumer-focused online subscription businesses, such as The Motley Fool;</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institutional financial software providers, such as Bloomberg, FactSet, and IHS Markit;</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low-cost, “mom and pop” newsletter subscription services, and</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online investing tools, such as Atom Finance and Stocktwits.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386" w:right="359" w:bottom="1440" w:gutter="0" w:footer="0" w:header="0"/>
        </w:sectPr>
      </w:pPr>
    </w:p>
    <w:bookmarkStart w:id="9" w:name="page10"/>
    <w:bookmarkEnd w:id="9"/>
    <w:p>
      <w:pPr>
        <w:spacing w:after="0" w:line="253" w:lineRule="auto"/>
        <w:rPr>
          <w:sz w:val="20"/>
          <w:szCs w:val="20"/>
          <w:color w:val="auto"/>
        </w:rPr>
      </w:pPr>
      <w:r>
        <w:rPr>
          <w:rFonts w:ascii="Times New Roman" w:cs="Times New Roman" w:eastAsia="Times New Roman" w:hAnsi="Times New Roman"/>
          <w:sz w:val="16"/>
          <w:szCs w:val="16"/>
          <w:color w:val="auto"/>
        </w:rPr>
        <w:t>For additional information regarding the competitive environment in which we operate, see Item 1A. Risk Factors —</w:t>
      </w:r>
      <w:r>
        <w:rPr>
          <w:rFonts w:ascii="Times New Roman" w:cs="Times New Roman" w:eastAsia="Times New Roman" w:hAnsi="Times New Roman"/>
          <w:sz w:val="16"/>
          <w:szCs w:val="16"/>
          <w:i w:val="1"/>
          <w:iCs w:val="1"/>
          <w:color w:val="auto"/>
        </w:rPr>
        <w:t>“We face significant competition. Many of our competitors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potential competitors have larger customer bases, more established brand recognition, and greater financial, marketing, technological, and personnel resources than we do, which could put us at a competitive disadvantage. Additionally, some of our competitors and potential competitors are better capitalized than we are and able to obtain capital more easily, which could put us at a competitive disadvantage.”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Technology</w:t>
      </w:r>
    </w:p>
    <w:p>
      <w:pPr>
        <w:spacing w:after="0" w:line="14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6"/>
          <w:szCs w:val="16"/>
          <w:color w:val="auto"/>
        </w:rPr>
        <w:t>We use technology to run our business efficiently and to better serve our customers. Our technology combines three cloud-based systems: software-as-a-service (“SaaS”); platform-as-a-service (“PaaS”); and infrastructure-as-a-service (“IaaS”).</w:t>
      </w:r>
    </w:p>
    <w:p>
      <w:pPr>
        <w:spacing w:after="0" w:line="104"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6"/>
          <w:szCs w:val="16"/>
          <w:color w:val="auto"/>
        </w:rPr>
        <w:t>While we have changed providers in the past and may do so in the future, we currently use top-tier, industry leading service providers for our CRM and marketing, email delivery, subscription billing, data warehouse, and for our data center.</w:t>
      </w:r>
    </w:p>
    <w:p>
      <w:pPr>
        <w:spacing w:after="0" w:line="104"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6"/>
          <w:szCs w:val="16"/>
          <w:color w:val="auto"/>
        </w:rPr>
        <w:t>Our infrastructure is highly scalable and allows us to serve all of our subscribers simultaneously and consistently. Our technology architecture is scalable based on overall traffic and capacity. As a result, we do not believe that growth in the number of subscribers hinders or slows down our platform.</w:t>
      </w:r>
    </w:p>
    <w:p>
      <w:pPr>
        <w:spacing w:after="0" w:line="104"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6"/>
          <w:szCs w:val="16"/>
          <w:color w:val="auto"/>
        </w:rPr>
        <w:t>We also employ data redundancy solutions on the cloud to reduce the possibility that our customer data will be lost and to ensure that our platform will not experience material downtime. We apply industry-standard data security measures to protect against potential vulnerabilities in our technology.</w:t>
      </w:r>
    </w:p>
    <w:p>
      <w:pPr>
        <w:spacing w:after="0" w:line="10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6"/>
          <w:szCs w:val="16"/>
          <w:color w:val="auto"/>
        </w:rPr>
        <w:t>We have invested heavily in providing a reliable and secure global platform and infrastructure. Our investments in technology, including engineers, online security, customer privacy, reliable infrastructure, and data science capabilities, enable us to efficiently innovate and deliver solutions to our customers. Our cloud platform allows our developers to build and deploy in a lean and agile fashion with a focus on quality and solution adoption.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continue to build out our AI tools and predictive analytics capacity through identification of additional business cases and additional data features.</w:t>
      </w:r>
    </w:p>
    <w:p>
      <w:pPr>
        <w:spacing w:after="0" w:line="143"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6"/>
          <w:szCs w:val="16"/>
          <w:color w:val="auto"/>
        </w:rPr>
        <w:t>Our data center is cloud-based, and through this platform we have been able to integrate the various SaaS and PaaS applications within our technology ecosystem and ensure that we have high availability and redundancy with business continuity in mind in an auto-scaling architecture.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Human Capital Resources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2023, we had 584 total employees across all of our businesses, of which 581 are full-time. Our employees and independent contractors work from our U.S.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offices or remote locations. None of our employees are represented by a labor organization or are party to any collective bargaining arrangement.</w:t>
      </w:r>
    </w:p>
    <w:p>
      <w:pPr>
        <w:spacing w:after="0" w:line="128"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6"/>
          <w:szCs w:val="16"/>
          <w:color w:val="auto"/>
        </w:rPr>
        <w:t>We seek to attract, engage, and retain top talent through competitive compensation and benefit programs, and by fostering a culture of high performance, creativity and idea exchange as well as inviting diverse perspectives that will enable our employees to thrive and be successful.</w:t>
      </w:r>
    </w:p>
    <w:p>
      <w:pPr>
        <w:spacing w:after="0" w:line="104"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6"/>
          <w:szCs w:val="16"/>
          <w:color w:val="auto"/>
        </w:rPr>
        <w:t>Our compensation programs include both fixed and variable components, an incentive award plan providing for equity grants, and an employee stock purchase plan, all of which we believe incentivizes our employees to perform at high levels, helps them establish long-term financial security, and encourages them to remain with us.</w:t>
      </w:r>
    </w:p>
    <w:p>
      <w:pPr>
        <w:spacing w:after="0" w:line="104"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6"/>
          <w:szCs w:val="16"/>
          <w:color w:val="auto"/>
        </w:rPr>
        <w:t>Our benefits package includes health and welfare plans that provide medical, dental, and vision coverage, health savings accounts, medical and dependent care flexible spending accounts, life insurance, disability insurance, 401(k) savings plan with a company match, paid time off and other assistance, fitness and wellness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38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color w:val="auto"/>
        </w:rPr>
        <w:t>Intellectual Property</w:t>
      </w:r>
    </w:p>
    <w:p>
      <w:pPr>
        <w:spacing w:after="0" w:line="14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 xml:space="preserve">We rely on a combination of trademark and copyright to protect our intellectual property. We have registered certain of our trademarks and service marks in the United States with the U.S. Patent and Trademark Office and in Canada and China, and have registered copyrights on certain publications. In addition, we have registered our domain names, including </w:t>
      </w:r>
      <w:r>
        <w:rPr>
          <w:rFonts w:ascii="Times New Roman" w:cs="Times New Roman" w:eastAsia="Times New Roman" w:hAnsi="Times New Roman"/>
          <w:sz w:val="16"/>
          <w:szCs w:val="16"/>
          <w:u w:val="single" w:color="auto"/>
          <w:color w:val="0E32E1"/>
        </w:rPr>
        <w:t>MarketWise.com</w:t>
      </w:r>
      <w:r>
        <w:rPr>
          <w:rFonts w:ascii="Times New Roman" w:cs="Times New Roman" w:eastAsia="Times New Roman" w:hAnsi="Times New Roman"/>
          <w:sz w:val="16"/>
          <w:szCs w:val="16"/>
          <w:color w:val="auto"/>
        </w:rPr>
        <w:t>, with MarkMonitor. We believe the names and marks associated with our brands are of significant value and are important to our business. Accordingly, as a general policy, we monitor the use of our marks and vigorously oppose any unauthorized use of the marks. We do not hold any patents.</w:t>
      </w:r>
    </w:p>
    <w:p>
      <w:pPr>
        <w:spacing w:after="0" w:line="116"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6"/>
          <w:szCs w:val="16"/>
          <w:color w:val="auto"/>
        </w:rPr>
        <w:t>We seek to control access to and distribution of our proprietary information. We enter into confidentiality, nondisclosure, and non-interference agreements with our employees, consultants, customers, and vendors that generally provide that any confidential or proprietary information developed by us or on our behalf be kept confidential, and we limit access to our confidential and proprietary information to a “need to know” basis. In the normal course of business, we provide our intellectual property to third parties through licensing or restricted use agreements. In addition, our internal policies seek to protect our intellectual property against misappropriation, infringement, and unfair competition. We intend to pursue additional intellectual property protection to the extent we believe it would be beneficial and cost effective.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Available Information</w:t>
      </w:r>
    </w:p>
    <w:p>
      <w:pPr>
        <w:spacing w:after="0" w:line="145" w:lineRule="exact"/>
        <w:rPr>
          <w:sz w:val="20"/>
          <w:szCs w:val="20"/>
          <w:color w:val="auto"/>
        </w:rPr>
      </w:pPr>
    </w:p>
    <w:p>
      <w:pPr>
        <w:ind w:firstLine="351"/>
        <w:spacing w:after="0" w:line="250" w:lineRule="auto"/>
        <w:rPr>
          <w:sz w:val="20"/>
          <w:szCs w:val="20"/>
          <w:color w:val="auto"/>
        </w:rPr>
      </w:pPr>
      <w:r>
        <w:rPr>
          <w:rFonts w:ascii="Times New Roman" w:cs="Times New Roman" w:eastAsia="Times New Roman" w:hAnsi="Times New Roman"/>
          <w:sz w:val="16"/>
          <w:szCs w:val="16"/>
          <w:color w:val="auto"/>
        </w:rPr>
        <w:t xml:space="preserve">Our website address is </w:t>
      </w:r>
      <w:r>
        <w:rPr>
          <w:rFonts w:ascii="Times New Roman" w:cs="Times New Roman" w:eastAsia="Times New Roman" w:hAnsi="Times New Roman"/>
          <w:sz w:val="16"/>
          <w:szCs w:val="16"/>
          <w:u w:val="single" w:color="auto"/>
          <w:color w:val="0E32E1"/>
        </w:rPr>
        <w:t>MarketWise.com</w:t>
      </w:r>
      <w:r>
        <w:rPr>
          <w:rFonts w:ascii="Times New Roman" w:cs="Times New Roman" w:eastAsia="Times New Roman" w:hAnsi="Times New Roman"/>
          <w:sz w:val="16"/>
          <w:szCs w:val="16"/>
          <w:color w:val="auto"/>
        </w:rPr>
        <w:t xml:space="preserve">. The information contained on, or that can be accessed through, our website is deemed not to be incorporated in this Annual Report on Form 10-K or to be part of this Annual Report on Form 10-K or any other report filed with the U.S. Securities and Exchange Commission (“SEC”). Our Annual Report on Form 10-K, Quarterly Reports on Form 10-Q and Current Reports on Form 8-K, as well as any amendments to those reports, are available free of charge through our website as soon as reasonably practicable after we file them with, or furnish them to, the SEC. The SEC maintains a website at </w:t>
      </w:r>
      <w:r>
        <w:rPr>
          <w:rFonts w:ascii="Times New Roman" w:cs="Times New Roman" w:eastAsia="Times New Roman" w:hAnsi="Times New Roman"/>
          <w:sz w:val="16"/>
          <w:szCs w:val="16"/>
          <w:u w:val="single" w:color="auto"/>
          <w:color w:val="0E32E1"/>
        </w:rPr>
        <w:t>www.sec.gov</w:t>
      </w:r>
      <w:r>
        <w:rPr>
          <w:rFonts w:ascii="Times New Roman" w:cs="Times New Roman" w:eastAsia="Times New Roman" w:hAnsi="Times New Roman"/>
          <w:sz w:val="16"/>
          <w:szCs w:val="16"/>
          <w:color w:val="auto"/>
        </w:rPr>
        <w:t xml:space="preserve"> that contains reports, proxy statements, and other information regarding SEC registrants, including MarketWise,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384"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color w:val="auto"/>
        </w:rPr>
        <w:t>Item 1A. Risk Factors.</w:t>
      </w:r>
    </w:p>
    <w:p>
      <w:pPr>
        <w:spacing w:after="0" w:line="14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6"/>
          <w:szCs w:val="16"/>
          <w:i w:val="1"/>
          <w:iCs w:val="1"/>
          <w:color w:val="auto"/>
        </w:rPr>
        <w:t>The risks described below could have a material adverse impact on our business, financial condition, or operating results. Although it is not possible to predict or identify all such risks and uncertainties, they may include, but are not limited to, the factors discussed below. The risks and uncertainties described below are not the only ones we face. Additional risks and uncertainties that we are unaware of, or that we currently believe are not material, may also become important factors that adversely affect our business or results of operations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Business and Industry</w:t>
      </w:r>
    </w:p>
    <w:p>
      <w:pPr>
        <w:spacing w:after="0" w:line="143" w:lineRule="exact"/>
        <w:rPr>
          <w:sz w:val="20"/>
          <w:szCs w:val="20"/>
          <w:color w:val="auto"/>
        </w:rPr>
      </w:pPr>
    </w:p>
    <w:p>
      <w:pPr>
        <w:ind w:right="220"/>
        <w:spacing w:after="0" w:line="344" w:lineRule="auto"/>
        <w:rPr>
          <w:sz w:val="20"/>
          <w:szCs w:val="20"/>
          <w:color w:val="auto"/>
        </w:rPr>
      </w:pPr>
      <w:r>
        <w:rPr>
          <w:rFonts w:ascii="Times New Roman" w:cs="Times New Roman" w:eastAsia="Times New Roman" w:hAnsi="Times New Roman"/>
          <w:sz w:val="14"/>
          <w:szCs w:val="14"/>
          <w:b w:val="1"/>
          <w:bCs w:val="1"/>
          <w:i w:val="1"/>
          <w:iCs w:val="1"/>
          <w:color w:val="auto"/>
        </w:rPr>
        <w:t>Our business depends on our ability to attract new subscribers and to persuade existing subscribers to renew their subscriptions with us and to purchase additional products and services from us. If we are unable to attract new subscribers, or continue to engage existing subscribers, our revenue and operating results may be adversely affected.</w:t>
      </w:r>
    </w:p>
    <w:p>
      <w:pPr>
        <w:spacing w:after="0" w:line="5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To increase our revenue and maintain profitability, we must attract new subscribers and retain and expand the subscriptions of existing subscribers. Our ability to successfully attract and retain subscribers depends in part on the quality of the content, including the performance of the investment research we publish. To the extent the performance of such research fails to meet or exceed the expectations of our subscribers or the performance of relevant benchmarks, our ability to attract new subscribers or retain existing subscribers to such services will be adversely affected.</w:t>
      </w:r>
    </w:p>
    <w:p>
      <w:pPr>
        <w:spacing w:after="0" w:line="116"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14"/>
          <w:szCs w:val="14"/>
          <w:color w:val="auto"/>
        </w:rPr>
        <w:t>A substantial amount of our revenue is typically generated from existing subscribers renewing their subscriptions. Our subscribers have no obligation to renew their subscriptions for products after the expiration of the subscription period, which is typically one year, and in the normal course of business some subscribers have elected not to renew their subscriptions. In addition, our subscribers may renew for lower subscription amounts or for shorter contract lengths. We may not accurately predict renewal rates for our subscribers, and our renewal rates may decline or fluctuate as a result of a number of factors, including subscriber engagement and product utilization levels, quality of our content, price changes, expiration of temporary product promotions, number of products or services used by our subscribers, customer satisfaction or dissatisfaction with our products or services, pricing or capabilities of the products and services offered by our competitors, increased competition, reduction in customer spending levels, changes in our renewal policies or practices for subscribers, and deteriorating general economic conditions. We must continually add more new subscribers than the number of subscribers who do not renew their subscriptions to grow our business beyond our current subscriber base, which may involve significantly higher marketing expenses. If our subscribers do not renew their subscriptions, buy additional content, or maintain or increase the amount they spend with us, our revenue will decline and our business will suffer.</w:t>
      </w:r>
    </w:p>
    <w:p>
      <w:pPr>
        <w:spacing w:after="0" w:line="28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Our success also depends on our ability to sell additional products, more subscriptions, or higher-priced and premium editions of our products and services to our current subscribers, which requires increasingly sophisticated and costly sales efforts. We seek to expand existing subscriptions by deepening customer engagement through new touchpoints and expanding our portfolio of tools and products for purchase. The rate at which our existing subscribers purchase new or enhanced services depends on a number of factors, including the quality of our content, general economic conditions, the level of interest and investment in individual stocks and other self-directed investment vehicles versus index funds, exchange-traded funds and other passive investment vehicles, number of products or services used by our subscribers, customer satisfaction or dissatisfaction with our products or services, pricing or capabilities of the products and services offered by our competitors, increased competition, reduction in customer spending levels, and our subscribers’ receptiveness to higher-priced and premium tools and products.</w:t>
      </w:r>
    </w:p>
    <w:p>
      <w:pPr>
        <w:spacing w:after="0" w:line="119"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6"/>
          <w:szCs w:val="16"/>
          <w:color w:val="auto"/>
        </w:rPr>
        <w:t>Many of our subscribers initially register for subscriptions to our free products and services. We strive to demonstrate the value of our free products to our subscribers, thereby encouraging them to convert to paying subscribers. As of December 31, 2023, we had over 17 million total subscribers, of which approximately 737 thousand were paying subscribers. The actual number of unique subscribers may be lower than we report as one person could count as multiple, active subscribers or paying subscribers. As a result, we may have fewer unique subscribers that we may be able to convert, upsell or cross-sell. Our inability to determine the number of our unique subscribers is a limitation in the data that we measure and may adversely affect our understanding of certain aspects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384" w:right="339" w:bottom="1440" w:gutter="0" w:footer="0" w:header="0"/>
        </w:sectPr>
      </w:pPr>
    </w:p>
    <w:bookmarkStart w:id="12" w:name="page13"/>
    <w:bookmarkEnd w:id="12"/>
    <w:p>
      <w:pPr>
        <w:ind w:right="300"/>
        <w:spacing w:after="0" w:line="268" w:lineRule="auto"/>
        <w:rPr>
          <w:sz w:val="20"/>
          <w:szCs w:val="20"/>
          <w:color w:val="auto"/>
        </w:rPr>
      </w:pPr>
      <w:r>
        <w:rPr>
          <w:rFonts w:ascii="Times New Roman" w:cs="Times New Roman" w:eastAsia="Times New Roman" w:hAnsi="Times New Roman"/>
          <w:sz w:val="16"/>
          <w:szCs w:val="16"/>
          <w:color w:val="auto"/>
        </w:rPr>
        <w:t>of our business and make it more challenging to manage our business. Most of our active subscribers never convert to a paying subscribers, and if we are unable to convert free subscribers to paying subscribers, our business, results of operations and financial condition could suffer.</w:t>
      </w:r>
    </w:p>
    <w:p>
      <w:pPr>
        <w:spacing w:after="0" w:line="102"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If we fail to adequately market our products and services, or to monitor and manage our use of social media platforms as marketing tools, it could have a material adverse effect on our business, results of operations, and financial condition.</w:t>
      </w:r>
    </w:p>
    <w:p>
      <w:pPr>
        <w:spacing w:after="0" w:line="10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Our marketing efforts are designed to identify and attract prospective subscribers primarily within our target market and ultimately convert them into long term subscribers. We also employ marketing to promote our content, drive conversation about our content and services, and promote visits by our subscribers. We utilize a broad mix of marketing programs and platforms, including social media sites, to promote our services and content to current and prospective subscribers.</w:t>
      </w:r>
    </w:p>
    <w:p>
      <w:pPr>
        <w:spacing w:after="0" w:line="11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6"/>
          <w:szCs w:val="16"/>
          <w:color w:val="auto"/>
        </w:rPr>
        <w:t>In order to successfully reach a larger number of prospective subscribers and attract new subscribers, we must continually assess the manner and platforms on which we are marketing our products and services. Rapid changes in technology and the ways in which people are reached can make this process more difficult. If we are unable to effectively and efficiently market our products and services, our business, results of operations, and financial condition may be adversely affected.</w:t>
      </w:r>
    </w:p>
    <w:p>
      <w:pPr>
        <w:spacing w:after="0" w:line="113"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6"/>
          <w:szCs w:val="16"/>
          <w:color w:val="auto"/>
        </w:rPr>
        <w:t>For example, historically one of our primary means of communicating with our subscribers and keeping them engaged with our products has been via email communication. Our ability to communicate via email enables us to keep our subscribers updated on new products and present discount and promotional offers, among other things. As consumer habits evolve in the era of web-enabled mobile devices and messaging/social networking apps, email use, particularly among the younger demographic, has declined. In addition, deliverability and other restrictions imposed by third-party email providers and/or applicable law have limited our ability to send emails to our current or prospective subscribers. While we continually work to find new means of communicating and connecting with our subscribers, there is no assurance that such alternative means of communication will be effective. Any failure to develop or take advantage of new means of communication or limitations on those means of communications imposed by laws, device manufacturers, or other sources could have an adverse effect on our business, financial condition, and results of operations.</w:t>
      </w:r>
    </w:p>
    <w:p>
      <w:pPr>
        <w:spacing w:after="0" w:line="11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We may also limit or discontinue use or support of certain marketing sources or activities if advertising costs increase or if we become concerned by perceptions that certain marketing platforms or practices are intrusive or damaging to our brand. If available marketing channels are restricted, our ability to engage with and attract subscribers may be adversely affected. In addition, companies that promote our services or permit us to use their marketing platforms may decide that their relationship with us negatively impacts their business, or they may make business decisions that negatively impact us. For example, if a company that currently promotes our business decides to compete directly with us, enter a similar business, deny us access to its platform, or exclusively support our competitors, we may no longer have access to their marketing channels.</w:t>
      </w:r>
    </w:p>
    <w:p>
      <w:pPr>
        <w:spacing w:after="0" w:line="118"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6"/>
          <w:szCs w:val="16"/>
          <w:color w:val="auto"/>
        </w:rPr>
        <w:t>If we are unable to cost-effectively use social media platforms or ad networks as marketing tools, our ability to acquire new subscribers and our financial condition may suffer. Unauthorized or inappropriate use of our social media channels could result in harmful publicity or negative customer experiences, which could have an adverse impact on the effectiveness of our marketing in these channels. In addition, substantial negative commentary by others on social media platforms could have an adverse impact on our ability to successfully connect with consumers.</w:t>
      </w:r>
    </w:p>
    <w:p>
      <w:pPr>
        <w:spacing w:after="0" w:line="11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6"/>
          <w:szCs w:val="16"/>
          <w:color w:val="auto"/>
        </w:rPr>
        <w:t>There are extensive and rapidly evolving regulations governing our ability to market to subscribers, whether via post, email, or social media platforms, and our marketing is subject to the rules and regulations of the U.S. Federal Trade Commission (the “FTC”) and state consumer protection agencies. We have received regulatory inquiries from state consumer protection agencies and could be the subject of further regulatory inquiry in the future. The failure by us, our employees, or third parties acting at our direction to comply with applicable laws and regulations could subject us to regulatory investigations, lawsuits, including class actions, liability, fines, or other penalties and could result in a material adverse effect on our business, results of operations, and financial condition. In addition,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13" w:name="page14"/>
    <w:bookmarkEnd w:id="13"/>
    <w:p>
      <w:pPr>
        <w:ind w:right="160"/>
        <w:spacing w:after="0" w:line="268" w:lineRule="auto"/>
        <w:rPr>
          <w:sz w:val="20"/>
          <w:szCs w:val="20"/>
          <w:color w:val="auto"/>
        </w:rPr>
      </w:pPr>
      <w:r>
        <w:rPr>
          <w:rFonts w:ascii="Times New Roman" w:cs="Times New Roman" w:eastAsia="Times New Roman" w:hAnsi="Times New Roman"/>
          <w:sz w:val="16"/>
          <w:szCs w:val="16"/>
          <w:color w:val="auto"/>
        </w:rPr>
        <w:t>increase in the use of social media platforms for product promotion and marketing may cause an increase in our burden to monitor compliance of such platforms, and increase the risk that such materials could contain problematic product or marketing claims in violation of applicable regulations.</w:t>
      </w:r>
    </w:p>
    <w:p>
      <w:pPr>
        <w:spacing w:after="0" w:line="104"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6"/>
          <w:szCs w:val="16"/>
          <w:color w:val="auto"/>
        </w:rPr>
        <w:t>To the extent we promote our content inefficiently or ineffectively, we may not be able to obtain expected subscriber acquisition and retention benefits, and our business, results of operations, and financial condition may be adversely affected.</w:t>
      </w:r>
    </w:p>
    <w:p>
      <w:pPr>
        <w:spacing w:after="0" w:line="102" w:lineRule="exact"/>
        <w:rPr>
          <w:sz w:val="20"/>
          <w:szCs w:val="20"/>
          <w:color w:val="auto"/>
        </w:rPr>
      </w:pPr>
    </w:p>
    <w:p>
      <w:pPr>
        <w:ind w:right="20"/>
        <w:spacing w:after="0" w:line="344" w:lineRule="auto"/>
        <w:rPr>
          <w:sz w:val="20"/>
          <w:szCs w:val="20"/>
          <w:color w:val="auto"/>
        </w:rPr>
      </w:pPr>
      <w:r>
        <w:rPr>
          <w:rFonts w:ascii="Times New Roman" w:cs="Times New Roman" w:eastAsia="Times New Roman" w:hAnsi="Times New Roman"/>
          <w:sz w:val="14"/>
          <w:szCs w:val="14"/>
          <w:b w:val="1"/>
          <w:bCs w:val="1"/>
          <w:i w:val="1"/>
          <w:iCs w:val="1"/>
          <w:color w:val="auto"/>
        </w:rPr>
        <w:t>Failure to maintain and protect our reputation for trustworthiness and independence may harm our business. In addition, our business, results of operations, and financial condition could suffer from attacks on the reputation of any of our current or former directors, officers, key contributors, editors, or editorial staff were harmed for any reason.</w:t>
      </w:r>
    </w:p>
    <w:p>
      <w:pPr>
        <w:spacing w:after="0" w:line="55"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6"/>
          <w:szCs w:val="16"/>
          <w:color w:val="auto"/>
        </w:rPr>
        <w:t xml:space="preserve">We believe our portfolio of brands are highly regarded because of the integrity of their editorial content. Independence is at the core of our brands and business, and we believe that our reputation and the reputation of our brands is one of our greatest corporate assets. Importantly, we believe that one of our greatest competitive advantages is the loyalty that we have gained from our subscribers as a direct result of our brand, reputation for integrity, and ability to deliver high-quality products and services. To protect our brands, our corporate policies, codes of conduct, and workplace culture demand that all of our content providers, whether employees or outside contributors, adhere to rigorous standards of integrity and independence, including guidelines that are designed to prevent any actual, potential, or perceived conflict of interest, and to comply with all applicable laws, including securities laws. The occurrence of events such as our misreporting a market event, the non-disclosure of a security ownership position by one or more of our content providers, the manipulation of a security by one or more of our content providers, or any other breach of our compliance policies could harm our reputation for trustworthiness and reduce our subscriber base. Our content providers have not always lived up to our rigorous standards of integrity and independence and have breached our compliance policies, which may impact our reputation for trustworthiness and independence, and may have an adverse effect on our business, results or operations, and financial condition. For example, in February 2024, we terminated a content provider for violations of our corporate policies and announced a wind-down of the operations of Legacy Research. See </w:t>
      </w:r>
      <w:r>
        <w:rPr>
          <w:rFonts w:ascii="Times New Roman" w:cs="Times New Roman" w:eastAsia="Times New Roman" w:hAnsi="Times New Roman"/>
          <w:sz w:val="16"/>
          <w:szCs w:val="16"/>
          <w:i w:val="1"/>
          <w:iCs w:val="1"/>
          <w:color w:val="auto"/>
        </w:rPr>
        <w:t>Note 18 –</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Subsequent Events </w:t>
      </w:r>
      <w:r>
        <w:rPr>
          <w:rFonts w:ascii="Times New Roman" w:cs="Times New Roman" w:eastAsia="Times New Roman" w:hAnsi="Times New Roman"/>
          <w:sz w:val="16"/>
          <w:szCs w:val="16"/>
          <w:color w:val="auto"/>
        </w:rPr>
        <w:t>to our consolidated financial statements included elsewhere in this annual report.</w:t>
      </w:r>
    </w:p>
    <w:p>
      <w:pPr>
        <w:spacing w:after="0" w:line="12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In the event the reputation of any of our current or former directors, officers, key contributors, editors, or staff were harmed for any reason, we could suffer as a result of our association with such individual, including if the quantity or value of future services we received from the individual was diminished. In particular, we and our operating brands depend heavily on the ideas and reputation of their editors and editorial teams, and often name products and operating companies after members of those editorial teams. Our editors and editorial team members have, in the past been, and continue to be, the subject of regulatory actions, accusations, claims, investigations, lawsuits, and/or settlements, which may have or may continue to have a negative impact on our reputation, subscriber base, and financial results. For example, in February 2024, a former employee was charged by the U.S. Attorney’s Office for the Central District of California with touting securities for undisclosed compensation and conspiracy to tout securities for undisclosed compensation, following 2022 charges brought by the SEC against the same individual. Furthermore, if, at any point in the future, any editors, contributors, or other personnel associated with our, our products, or brands, or businesses that we may acquire become the subject of regulatory actions, accusations, claims, investigations, lawsuits, or settlements, any such action may have a negative impact on our reputation, subscriber base, and financial results. These risks apply to our editors, contributors, or other personnel of us that are currently part of our organization, as well as any such people that were part of our organization in the past or become part of our organization in the future, whether by acquisition or otherwise. In addition, any failures by us to continue to effectively instill in our employees the expectation of independence and integrity may devalue our reputation over time. Our reputation may also be harmed by factors beyond our control, such as adverse news reports about our products and services, negative publicity about the investment newsletter industry generally, or negative publicity about key personnel associated with our business. These events could materially adversely affect our business, results of operations, and financial condition.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If we fail to effectively manage our growth, our business, results of operations, and financial condition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386" w:right="319" w:bottom="1440" w:gutter="0" w:footer="0" w:header="0"/>
        </w:sectPr>
      </w:pPr>
    </w:p>
    <w:bookmarkStart w:id="14" w:name="page15"/>
    <w:bookmarkEnd w:id="14"/>
    <w:p>
      <w:pPr>
        <w:ind w:right="40"/>
        <w:spacing w:after="0" w:line="248" w:lineRule="auto"/>
        <w:rPr>
          <w:sz w:val="20"/>
          <w:szCs w:val="20"/>
          <w:color w:val="auto"/>
        </w:rPr>
      </w:pPr>
      <w:r>
        <w:rPr>
          <w:rFonts w:ascii="Times New Roman" w:cs="Times New Roman" w:eastAsia="Times New Roman" w:hAnsi="Times New Roman"/>
          <w:sz w:val="16"/>
          <w:szCs w:val="16"/>
          <w:color w:val="auto"/>
        </w:rPr>
        <w:t>The scope and complexity of our business have increased significantly in recent years. The growth and expansion of our business creates significant challenges for our management, operational, and financial resources. In the event of growth of our operations or the number of our third-party relationships, our information technology systems and our internal controls and procedures may not be adequate to support our operations. To effectively manage our growth, we must continue to improve our operational, financial, and management processes and systems and to effectively expand, train, and manage our employee base. If our organization experiences growth or we are required to implement more complex organizational management structures, we may find it increasingly difficult to maintain the benefits of our corporate culture, including our ability to quickly develop and launch new and innovative products and solutions. This could negatively affect our business performance.</w:t>
      </w:r>
    </w:p>
    <w:p>
      <w:pPr>
        <w:spacing w:after="0" w:line="122"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6"/>
          <w:szCs w:val="16"/>
          <w:color w:val="auto"/>
        </w:rPr>
        <w:t>If we experience growth in our operations, we will experience significant demands on our management and our operational and financial infrastructure. We must effectively integrate, develop, and motivate new employees, and we must maintain the beneficial aspects of our corporate culture.</w:t>
      </w:r>
    </w:p>
    <w:p>
      <w:pPr>
        <w:spacing w:after="0" w:line="104"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6"/>
          <w:szCs w:val="16"/>
          <w:color w:val="auto"/>
        </w:rPr>
        <w:t>In addition, our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effectively manage our growth, our efficiency, ability to meet our forecasts, and employee morale, productivity, and retention could suffer, and our business, results of operations, and financial condition could be adversely affected.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future success depends on attracting, developing, and retaining capable management, editors, and other key personnel.</w:t>
      </w:r>
    </w:p>
    <w:p>
      <w:pPr>
        <w:spacing w:after="0" w:line="14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6"/>
          <w:szCs w:val="16"/>
          <w:color w:val="auto"/>
        </w:rPr>
        <w:t>Our ability to compete in the marketplace depends upon our ability to recruit and retain key employees, including executives to operate our business, technology personnel to run our publishing, commerce, communications, video, and other systems, direct marketers to sell subscriptions, and salespersons to sell our subscriptions, and financial editors and analysts to fulfill our editorial products.</w:t>
      </w:r>
    </w:p>
    <w:p>
      <w:pPr>
        <w:spacing w:after="0" w:line="113"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6"/>
          <w:szCs w:val="16"/>
          <w:color w:val="auto"/>
        </w:rPr>
        <w:t>Several of our employees are bound by agreements containing non-competition provisions. There are rapidly evolving laws governing the effectiveness and usage of non-competition provisions. There can be no assurances that these arrangements with key employees will provide adequate protections to us or will not result in management changes that would have material adverse impact on us. In addition, we may incur increased costs to continue to compensate our key executives, as well as other employees, through competitive salaries, stock ownership, and bonus plans. Nevertheless, we can make no assurances that these programs will allow us to retain our management or key employees or hire new employees. The loss of one or more of our key employees, or our inability to attract experienced and qualified replacements, could materially adversely affect our business, results of operations, and financial condition.</w:t>
      </w:r>
    </w:p>
    <w:p>
      <w:pPr>
        <w:spacing w:after="0" w:line="12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In addition, some of our products, particularly our editorial products, reflect the talents, efforts, personalities, investing skills, portfolio returns, and reputations of their respective editors and analysts. As a result, the services of these key editors and analysts form an essential element of our revenue. There is a limited pool of editors and analysts who have the requisite personality, skills, training, and education necessary to meet our standard for our editorial products. We compete with many businesses and organizations that are seeking skilled individuals, particularly those with experience in the financial industry and those with degrees in technical fields, who are particularly critical to our editorial products. Competition for such professionals can be intense, as other companies seek to enhance their positions in the markets we serve.</w:t>
      </w:r>
    </w:p>
    <w:p>
      <w:pPr>
        <w:spacing w:after="0" w:line="118"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6"/>
          <w:szCs w:val="16"/>
          <w:color w:val="auto"/>
        </w:rPr>
        <w:t>If we are unable to retain key editors and analysts, or should we lose the services of one or more of them to death, disability, loss of reputation, or any other reason, or should their popularity diminish or their investing returns and investing ideas fail to meet or exceed benchmarks and investor expectations, we may fail to attract new editors and analysts acceptable to our subscribers. Therefore, the loss of services of one or more of our key editors and analysts could have a material adverse effect on our business, results of operations, and financial condition.</w:t>
      </w:r>
    </w:p>
    <w:p>
      <w:pPr>
        <w:spacing w:after="0" w:line="114"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We face significant competition. Many of our competitors and potential competitors have larger customer bases, more established brand recognition, and greater financial, marketing, technological, and personnel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386" w:right="359" w:bottom="1440" w:gutter="0" w:footer="0" w:header="0"/>
        </w:sectPr>
      </w:pPr>
    </w:p>
    <w:bookmarkStart w:id="15" w:name="page16"/>
    <w:bookmarkEnd w:id="15"/>
    <w:p>
      <w:pPr>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than we do, which could put us at a competitive disadvantage. Additionally, some of our competitors and potential competitors are better capitalized than we are and are able to obtain capital more easily, which could put us at a competitive disadvantage.</w:t>
      </w:r>
    </w:p>
    <w:p>
      <w:pPr>
        <w:spacing w:after="0" w:line="101" w:lineRule="exact"/>
        <w:rPr>
          <w:sz w:val="20"/>
          <w:szCs w:val="20"/>
          <w:color w:val="auto"/>
        </w:rPr>
      </w:pPr>
    </w:p>
    <w:p>
      <w:pPr>
        <w:ind w:right="220"/>
        <w:spacing w:after="0" w:line="299" w:lineRule="auto"/>
        <w:rPr>
          <w:sz w:val="20"/>
          <w:szCs w:val="20"/>
          <w:color w:val="auto"/>
        </w:rPr>
      </w:pPr>
      <w:r>
        <w:rPr>
          <w:rFonts w:ascii="Times New Roman" w:cs="Times New Roman" w:eastAsia="Times New Roman" w:hAnsi="Times New Roman"/>
          <w:sz w:val="14"/>
          <w:szCs w:val="14"/>
          <w:color w:val="auto"/>
        </w:rPr>
        <w:t>We experience intense competition across all markets for our products, with competitors ranging in size from smaller, specialized publishers to multimillion-dollar corporations. Many of our competitors have larger customer bases, more established name recognition, a greater market share, and larger financial, marketing, technological, and personnel resources than we do. In general, there are few barriers to entry into our industry, and we expect to face additional competition from new entrants into the financial publishing industry. In particular, our services face intense competition from other providers of business, personal finance, and investing content, including:</w:t>
      </w:r>
    </w:p>
    <w:p>
      <w:pPr>
        <w:spacing w:after="0" w:line="86" w:lineRule="exact"/>
        <w:rPr>
          <w:sz w:val="20"/>
          <w:szCs w:val="20"/>
          <w:color w:val="auto"/>
        </w:rPr>
      </w:pPr>
    </w:p>
    <w:p>
      <w:pPr>
        <w:ind w:left="560" w:hanging="286"/>
        <w:spacing w:after="0"/>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free online financial news aggregators and content providers, like Yahoo! Finance and Seeking Alpha;</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traditional financial news publishers, like The Wall Street Journal, Investor’s Business Daily, and Barron’s;</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consumer-focused online subscription businesses, such as The Motley Fool;</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social media networks, subscription networks, and content platforms, like X, Reddit and Substack; and</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institutional financial software providers, such as Bloomberg, FactSet, and IHS Markit.</w:t>
      </w:r>
    </w:p>
    <w:p>
      <w:pPr>
        <w:spacing w:after="0" w:line="143"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16"/>
          <w:szCs w:val="16"/>
          <w:color w:val="auto"/>
        </w:rPr>
        <w:t>Our ability to compete successfully depends on many factors, including the quality, originality, timeliness, insightfulness, and trustworthiness of our content and that of our competitors, the popularity and performance of our contributors, the success of our recommendations and research, our ability to introduce products and services that keep pace with new investing trends, our ability to adopt and deploy new technologies for running our business, the ease of use of services developed by us or our competitors, and the effectiveness of our sales and marketing efforts. Future competitive pressure may result in price reductions, lower sales volumes, reduced margins, or loss of market share, any of which could materially adversely affect our business, results of operations, and financial condition. Accordingly, we cannot guarantee that we will be able to compete effectively with our current or future competitors or that this competition will not significantly harm our business.</w:t>
      </w:r>
    </w:p>
    <w:p>
      <w:pPr>
        <w:spacing w:after="0" w:line="122"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Additionally, advances in technology have reduced the cost of production and online distribution of print, audio, and video content, including content like podcasts, which has reduced and/or removed barriers for market entry to providers of both free and paid content. While most of our platforms do not rely on ad-sponsored content, many of our competitors offer ad-sponsored content that enables them to deliver content for low, or no, subscription costs. We compete with these other publications and services for customers, employees, and contributors. In addition, media technologies and platforms are rapidly evolving, and the technologies and platforms through which data is consumed can shift quickly. Certain of our competitors may be better situated to quickly take advantage of consumer preference for new technologies and platforms, and the economics of distributing content through the use of new technologies and platforms may be materially different from the economics of distributing content through our current platforms. If we fail to offer our content in the manner or on the platforms in which our audience desires to consume it, or if we do not have offerings that are as compelling and/or cost effective as those of our competitors, our business, results of operations, and financial condition may be materially adversely affected.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Adverse or weakened conditions in the financial sector, global financial markets, and global economy may impact our results.</w:t>
      </w:r>
    </w:p>
    <w:p>
      <w:pPr>
        <w:spacing w:after="0" w:line="145"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6"/>
          <w:szCs w:val="16"/>
          <w:color w:val="auto"/>
        </w:rPr>
        <w:t>Our business results are partly driven by factors outside of our control, including general economic and financial market trends. Any unfavorable changes in the environment in which we operate could cause a corresponding negative effect on our business results, as they may cause customers to become particularly cautious about capital and data content expenditures. As a result, we may experience lower revenue, cash flow, and other financial results in the event of a market downturn. In addition, global macroeconomic conditions and U.S. financial markets remain vulnerable to potential risks posed by exogenous shocks, which could include, among other things, political and financial uncertainty in the United States and Europe, concerns about China’s economy, complications involving terrorism, armed conflicts, civil unrest around the world, or other challenges to global trade or travel, such as the effect on the global economy posed by the COVID-19 pandemic.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384" w:right="359" w:bottom="1440" w:gutter="0" w:footer="0" w:header="0"/>
        </w:sectPr>
      </w:pPr>
    </w:p>
    <w:bookmarkStart w:id="16" w:name="page17"/>
    <w:bookmarkEnd w:id="16"/>
    <w:p>
      <w:pPr>
        <w:ind w:right="60"/>
        <w:spacing w:after="0" w:line="268" w:lineRule="auto"/>
        <w:rPr>
          <w:sz w:val="20"/>
          <w:szCs w:val="20"/>
          <w:color w:val="auto"/>
        </w:rPr>
      </w:pPr>
      <w:r>
        <w:rPr>
          <w:rFonts w:ascii="Times New Roman" w:cs="Times New Roman" w:eastAsia="Times New Roman" w:hAnsi="Times New Roman"/>
          <w:sz w:val="16"/>
          <w:szCs w:val="16"/>
          <w:color w:val="auto"/>
        </w:rPr>
        <w:t>Furthermore, our average customers are people at or approaching retirement age who may be particularly vulnerable during economic downturns. Therefore, a prolonged period of contraction in the global economy could adversely affect our business, results of operation, and financial condition.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success depends on our ability to respond to and adapt to changes in technology and consumer behavior.</w:t>
      </w:r>
    </w:p>
    <w:p>
      <w:pPr>
        <w:spacing w:after="0" w:line="14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We believe the technology landscape has been changing at an accelerating rate over the past several years. Advances in technology have led to an increasing number of methods for delivery of content and have resulted in a wide variety of consumer demands and expectations, which are also rapidly evolving. The increasing number of digital media options available on the Internet, through social networking tools and through mobile and other devices distributing content, is expanding consumer choice significantly. In addition, there has been an increasing focus on technology not merely supplying additional tools for users, but also offering solutions to specific customer problems. Given a multitude of media choices and a dramatic increase in accessible information, consumers may place greater value on when, where, how, and at what price they consume digital content. If we are unable to exploit new and existing technologies to distinguish our products and services from those of our competitors or adapt to new distribution methods that provide optimal user experiences, our business, results of operations, and financial condition may be adversely affected. In addition, our reputation could suffer if we are perceived as not moving quickly enough to meet the changing needs of investors.</w:t>
      </w:r>
    </w:p>
    <w:p>
      <w:pPr>
        <w:spacing w:after="0" w:line="12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6"/>
          <w:szCs w:val="16"/>
          <w:color w:val="auto"/>
        </w:rPr>
        <w:t>Our future success will continue to depend upon our ability to identify and develop new products and enhancements that address the future needs of our target markets and respond to their changing standards and practices. We may not be successful in developing, introducing, marketing, licensing, and implementing new products and enhancements on a timely and cost-effective basis or without impacting the performance, stability, security, or efficiency of existing products and customer systems. Further, any new products and enhancements may not adequately meet the needs of our target markets. Our failure or inability to anticipate and respond to changes in the marketplace, including competitor and supplier developments, may also adversely affect our business, operations, and growth.</w:t>
      </w:r>
    </w:p>
    <w:p>
      <w:pPr>
        <w:spacing w:after="0" w:line="118"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6"/>
          <w:szCs w:val="16"/>
          <w:color w:val="auto"/>
        </w:rPr>
        <w:t>As technology continues to evolve, the expenditures necessary to integrate new technology into our products and services could be substantial, and we may incur additional operating expenses if such integration projects take longer than anticipated. Other companies employing new technologies before we are able to do so could aggressively compete with our business. If we are not successful in responding to changes in technology and consumer behavior, we may lose new business opportunities or potential renewals or upgrades from existing subscribers and our business, financial condition, and prospects may be adversely affected.</w:t>
      </w:r>
    </w:p>
    <w:p>
      <w:pPr>
        <w:spacing w:after="0" w:line="114" w:lineRule="exact"/>
        <w:rPr>
          <w:sz w:val="20"/>
          <w:szCs w:val="20"/>
          <w:color w:val="auto"/>
        </w:rPr>
      </w:pPr>
    </w:p>
    <w:p>
      <w:pPr>
        <w:ind w:right="560"/>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successfully integrate acquisitions, identify and integrate future acquisitions, or dispose of assets and businesses, our results of operations could be adversely affected.</w:t>
      </w:r>
    </w:p>
    <w:p>
      <w:pPr>
        <w:spacing w:after="0" w:line="10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As a part of our strategic plan, we have acquired businesses and we intend to continue to pursue selective acquisitions to support our business strategy. These acquisitions involve a number of risks and challenges, some of which have caused, and any of which could cause, significant operating inefficiencies and adversely affect our growth and profitability. Such risks and challenges include:</w:t>
      </w:r>
    </w:p>
    <w:p>
      <w:pPr>
        <w:spacing w:after="0" w:line="113" w:lineRule="exact"/>
        <w:rPr>
          <w:sz w:val="20"/>
          <w:szCs w:val="20"/>
          <w:color w:val="auto"/>
        </w:rPr>
      </w:pPr>
    </w:p>
    <w:p>
      <w:pPr>
        <w:ind w:left="560" w:hanging="286"/>
        <w:spacing w:after="0"/>
        <w:tabs>
          <w:tab w:leader="none" w:pos="5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underperformance relative to our expectations and the price paid for the acquisition;</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unanticipated demands on our management and operational resources;</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improve scalability;</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difficulty in integrating personnel, operations, and systems;</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retention of customers of the combined businesses;</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inability to maintain relationships with key customers, suppliers, and partners of an acquired business;</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assumption of contingent liabilities;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386" w:right="359" w:bottom="1440" w:gutter="0" w:footer="0" w:header="0"/>
        </w:sectPr>
      </w:pPr>
    </w:p>
    <w:bookmarkStart w:id="17" w:name="page18"/>
    <w:bookmarkEnd w:id="17"/>
    <w:p>
      <w:pPr>
        <w:ind w:left="560" w:hanging="286"/>
        <w:spacing w:after="0"/>
        <w:tabs>
          <w:tab w:leader="none" w:pos="5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acquisition-related earnings charges.</w:t>
      </w:r>
    </w:p>
    <w:p>
      <w:pPr>
        <w:spacing w:after="0" w:line="143"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6"/>
          <w:szCs w:val="16"/>
          <w:color w:val="auto"/>
        </w:rPr>
        <w:t>The benefits of an acquisition or an investment may take considerable time to develop, and certain acquisitions have not advanced our business strategy and have fallen short of expected return on investment targets. We have recorded impairment charges because our acquisitions were not successful and may record future impairment charges related to unsuccessful acquisitions. Our ability to continue to make acquisitions will depend upon our success at identifying suitable targets at acceptable prices, which requires substantial judgment in assessing their values, strengths, weaknesses, liabilities, and potential profitability, as well as the availability of capital.</w:t>
      </w:r>
    </w:p>
    <w:p>
      <w:pPr>
        <w:spacing w:after="0" w:line="116"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6"/>
          <w:szCs w:val="16"/>
          <w:color w:val="auto"/>
        </w:rPr>
        <w:t>We expect to continue making acquisitions and establishing investments and joint ventures as part of our long-term business strategy. Acquisitions, investments, and joint ventures involve a number of risks. They are time-consuming and may divert management’s attention from day-to-day operations, particularly if numerous acquisitions or joint ventures are in process at the same time. Financing an acquisition could result in dilution from issuing equity securities, reduce our financial flexibility because of reductions in our cash balance, or result in a weaker balance sheet from incurring additional debt.</w:t>
      </w:r>
    </w:p>
    <w:p>
      <w:pPr>
        <w:spacing w:after="0" w:line="114"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Because we recognize revenue from subscriptions for our services over the term of the subscription, downturns or upturns in new business may not be immediately reflected in our operating results.</w:t>
      </w:r>
    </w:p>
    <w:p>
      <w:pPr>
        <w:spacing w:after="0" w:line="101" w:lineRule="exact"/>
        <w:rPr>
          <w:sz w:val="20"/>
          <w:szCs w:val="20"/>
          <w:color w:val="auto"/>
        </w:rPr>
      </w:pPr>
    </w:p>
    <w:p>
      <w:pPr>
        <w:ind w:right="120"/>
        <w:spacing w:after="0" w:line="247" w:lineRule="auto"/>
        <w:rPr>
          <w:sz w:val="20"/>
          <w:szCs w:val="20"/>
          <w:color w:val="auto"/>
        </w:rPr>
      </w:pPr>
      <w:r>
        <w:rPr>
          <w:rFonts w:ascii="Times New Roman" w:cs="Times New Roman" w:eastAsia="Times New Roman" w:hAnsi="Times New Roman"/>
          <w:sz w:val="16"/>
          <w:szCs w:val="16"/>
          <w:color w:val="auto"/>
        </w:rPr>
        <w:t>We generally recognize revenue from subscribers ratably over the terms of their subscription agreements, which are typically one year, although we also offer our services for a term of one month, and multiple years. As a result, most of the revenue we report in each period is the result of subscription agreements entered into during prior periods. Consequently, a decline in new or renewed subscriptions in any one period may not be reflected in our revenue results for that period. However, any such decline will negatively affect our revenue in future periods. Accordingly, the effect of significant downturns in sales, our failure to achieve internal sales targets, a decline in the market acceptance of our services, or potential decreases in our retention rate may not be fully reflected in our operating results until future periods. Our subscription model also makes it difficult for us to rapidly increase our revenue through additional sales in any period, as revenue from additional sales must be recognized over the applicable subscription term. By contrast, a significant portion of our operating costs are expensed as incurred, which occurs as soon as a subscriber purchases a product. As a result, an increase in subscribers could result in recognition of more costs than revenue in the earlier portion of the subscription term. We may not attain sufficient revenue to maintain positive cash flow from operations or achieve profitability in any given period.</w:t>
      </w:r>
    </w:p>
    <w:p>
      <w:pPr>
        <w:spacing w:after="0" w:line="118"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Our business, products, and facilities are at risk of a number of material disruptive events that our operational risk management and business continuity programs may not be adequate to address.</w:t>
      </w:r>
    </w:p>
    <w:p>
      <w:pPr>
        <w:spacing w:after="0" w:line="101"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Our business and products are dependent on our ability to provide investment research, software applications, and other products and services on a current and time-sensitive basis. We rely extensively on our computer systems and other network infrastructure, which are located across multiple facilities in the United States. Problems in our network systems may lead to cascading effects involving downtime, overloading of third-party data centers, and other issues that may affect our subscribers. We and our vendors are at risk of disruptions from numerous factors, including major weather events, fires, droughts, floods, earthquakes, volcanic activity, diseases, epidemics, pandemics, violent incidents, terrorist attacks, natural disasters, power loss, telecommunications, Internet, and other critical infrastructure failures, governmental actions, strikes and labor disturbances, riots, civil unrest, terrorism, war, abrupt political change, viruses, responses by various governments and the international community to any such acts, and other events beyond our control. Such events could cause delays in initiating or completing sales, impede our subscribers’ access to our products and services, disrupt or shut down critical client-facing and business processes, impede the travel of our personnel, dislocate our critical internal functions and personnel, and in general harm our ability to conduct normal business operations, any of which could negatively impact our financial condition and operating results.</w:t>
      </w:r>
    </w:p>
    <w:p>
      <w:pPr>
        <w:spacing w:after="0" w:line="120" w:lineRule="exact"/>
        <w:rPr>
          <w:sz w:val="20"/>
          <w:szCs w:val="20"/>
          <w:color w:val="auto"/>
        </w:rPr>
      </w:pPr>
    </w:p>
    <w:p>
      <w:pPr>
        <w:jc w:val="both"/>
        <w:ind w:right="200"/>
        <w:spacing w:after="0" w:line="256" w:lineRule="auto"/>
        <w:rPr>
          <w:sz w:val="20"/>
          <w:szCs w:val="20"/>
          <w:color w:val="auto"/>
        </w:rPr>
      </w:pPr>
      <w:r>
        <w:rPr>
          <w:rFonts w:ascii="Times New Roman" w:cs="Times New Roman" w:eastAsia="Times New Roman" w:hAnsi="Times New Roman"/>
          <w:sz w:val="16"/>
          <w:szCs w:val="16"/>
          <w:color w:val="auto"/>
        </w:rPr>
        <w:t>We, and our third-party service providers may modify, enhance, upgrade, and implement new systems, procedures, and controls to reflect changes in our business, technological advancements, and industry trends. These upgrades can create risks associated with implementing new systems and integrating them with existing ones, such as the disruption of our electronic delivery systems, data management, and sales and service processes. If we, or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18" w:name="page19"/>
    <w:bookmarkEnd w:id="18"/>
    <w:p>
      <w:pPr>
        <w:spacing w:after="0" w:line="248" w:lineRule="auto"/>
        <w:rPr>
          <w:sz w:val="20"/>
          <w:szCs w:val="20"/>
          <w:color w:val="auto"/>
        </w:rPr>
      </w:pPr>
      <w:r>
        <w:rPr>
          <w:rFonts w:ascii="Times New Roman" w:cs="Times New Roman" w:eastAsia="Times New Roman" w:hAnsi="Times New Roman"/>
          <w:sz w:val="16"/>
          <w:szCs w:val="16"/>
          <w:color w:val="auto"/>
        </w:rPr>
        <w:t>third-party service providers do not successfully implement, maintain or expand these systems as planned, our operations may be disrupted, our ability to accurately and timely report our financial results could be impaired, and additional deficiencies may arise in our internal control over financial reporting, which may impact our ability to certify our financial results. Moreover, our proprietary information, intellectual property or personal information that we hold has been, and could be in the future, compromised or misappropriated and our reputation may be adversely affected. These risks may affect our ability to provide our comprehensive suite of research and software solutions, including our financial software and analytical tools, adequately protect our intellectual property or achieve and maintain compliance with, or realize available benefits under, applicable laws, regulations and contracts. We may also incur additional costs in relation to any new systems, procedures, and controls, and additional management attention could be required in order to ensure an efficient integration, placing burdens on our internal resources.</w:t>
      </w:r>
    </w:p>
    <w:p>
      <w:pPr>
        <w:spacing w:after="0" w:line="119"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6"/>
          <w:szCs w:val="16"/>
          <w:color w:val="auto"/>
        </w:rPr>
        <w:t>Most of our products and services depend heavily on our electronic delivery systems and the Internet. Our ability to deliver information using the Internet may be impaired because of infrastructure failures or outages in our systems or those of our third-party service providers or Internet providers, malicious attacks, or other factors. If disruptions, outages, failures, or slowdowns of our electronic delivery systems or the Internet occur, our ability to distribute our products and services effectively and to serve our subscribers may be impaired.</w:t>
      </w:r>
    </w:p>
    <w:p>
      <w:pPr>
        <w:spacing w:after="0" w:line="11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6"/>
          <w:szCs w:val="16"/>
          <w:color w:val="auto"/>
        </w:rPr>
        <w:t>We are also subject to potential shortcomings in our own business resilience practices, such as failures to fully understand dependencies between different business processes across the locations at which they are performed, inadequate vendor risk assessment and management processes and critical vendor dependencies, concentration of certain critical activities in areas of geopolitical risk or with “single point of failure” employees or employee groups, and possibly ineffective location recovery strategies in the event of a location disruption.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Disruptions to our third-party technology providers and management systems could harm our business and lead to loss of subscribers.</w:t>
      </w:r>
    </w:p>
    <w:p>
      <w:pPr>
        <w:spacing w:after="0" w:line="145"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6"/>
          <w:szCs w:val="16"/>
          <w:color w:val="auto"/>
        </w:rPr>
        <w:t>We depend on third-party technology providers and management systems to distribute our content and process transactions. We exercise no control over our third-party vendors or the infrastructure or networks under which they operate, which makes us vulnerable to any errors, interruptions, or delays in their operations. Any disruption in the services provided by these vendors, or an inability to keep up with our growing demands for capacity, could have significant adverse impacts on our business reputation, customer relations, and operating results. Upon expiration or termination of any of our agreements with third-party vendors, we may not be able to replace the services provided to us in a timely manner or at all, or on terms and conditions, including service levels and cost, that are favorable to us, and a transition from one vendor to another vendor could subject us to operational delays and inefficiencies until the transition is complete.</w:t>
      </w:r>
    </w:p>
    <w:p>
      <w:pPr>
        <w:spacing w:after="0" w:line="122"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6"/>
          <w:szCs w:val="16"/>
          <w:color w:val="auto"/>
        </w:rPr>
        <w:t>Moreover, our third-party technology providers may disagree with, or choose to take a public stance against, the editorial content produced by certain of our operating brands, or otherwise decide to cease providing services to us. This may result in, among other things, disruption in our operations, copycat behavior by other of our vendors, difficulty retaining or attracting employees, or negative media attention.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require additional capital to support business growth, and such capital might not be available on acceptable terms, if at all.</w:t>
      </w:r>
    </w:p>
    <w:p>
      <w:pPr>
        <w:spacing w:after="0" w:line="145"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6"/>
          <w:szCs w:val="16"/>
          <w:color w:val="auto"/>
        </w:rPr>
        <w:t>We intend to continue to make investments to support our business growth and may require additional funds to respond to business challenges, including the need to develop new features and products or enhance our existing services, improve our operating infrastructure, or acquire complementary businesses and products. Accordingly, we may need to engage in equity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Class A common stock. Any debt financing we may pursue in the future could involve restrictive covenants relating to our capital raising activities and other financial and operational matters, which may make it more difficult for us to obtain additional capital and to pursue business opportunities, including potential acquisitions. We may not be able to obtain additional financing on terms favorable to us, if at all. If we are unable to obtain adequate financing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386" w:right="319" w:bottom="1440" w:gutter="0" w:footer="0" w:header="0"/>
        </w:sectPr>
      </w:pPr>
    </w:p>
    <w:bookmarkStart w:id="19" w:name="page20"/>
    <w:bookmarkEnd w:id="19"/>
    <w:p>
      <w:pPr>
        <w:ind w:right="580"/>
        <w:spacing w:after="0" w:line="268" w:lineRule="auto"/>
        <w:rPr>
          <w:sz w:val="20"/>
          <w:szCs w:val="20"/>
          <w:color w:val="auto"/>
        </w:rPr>
      </w:pPr>
      <w:r>
        <w:rPr>
          <w:rFonts w:ascii="Times New Roman" w:cs="Times New Roman" w:eastAsia="Times New Roman" w:hAnsi="Times New Roman"/>
          <w:sz w:val="16"/>
          <w:szCs w:val="16"/>
          <w:color w:val="auto"/>
        </w:rPr>
        <w:t>financing on terms satisfactory to us when we require it, our ability to continue to support our business growth and to respond to business challenges could be significantly impaired, and our business may be harmed.</w:t>
      </w:r>
    </w:p>
    <w:p>
      <w:pPr>
        <w:spacing w:after="0" w:line="10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6"/>
          <w:szCs w:val="16"/>
          <w:color w:val="auto"/>
        </w:rPr>
        <w:t>Furthermore, our Credit Facility provides for the ability to borrow up to $150 million, and includes an uncommitted incremental facility feature that permits us to incur up to an additional $65 million of total borrowings, subject to obtaining the consent of each lender providing the additional commitments and other conditions as set forth in the credit agreement governing our Credit Facility. Borrowings under our Credit Facility are secured by substantially all the properties, rights, and assets of our direct subsidiary, MarketWise, LLC, as well as certain of its direct and indirect material U.S. subsidiaries. Additionally, the credit agreement governing our Credit Facility contains certain customary restrictive covenants that limit our ability to incur additional indebtedness and liens, merge with other companies or consummate certain changes of control, acquire other companies, engage in new lines of business, make certain investments, pay dividends, and transfer or dispose of assets, as well as financial covenants that require us to maintain specified leverages. These covenants could limit our ability to seek capital through the incurrence of new indebtedness or, if we are unable to meet our financial covenants, require us to repay any outstanding amounts with sources of capital we may otherwise use to fund our business, operations, and strategy. When our Credit Facility expires, we may not be able to obtain additional financing on similar terms, if at all. If we are unable to renew or replace our Credit Facility on terms satisfactory to us, our ability to continue to support our business growth and to respond to business challenges could be significantly impaired, and our business may be harmed.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payment processing risk.</w:t>
      </w:r>
    </w:p>
    <w:p>
      <w:pPr>
        <w:spacing w:after="0" w:line="145" w:lineRule="exact"/>
        <w:rPr>
          <w:sz w:val="20"/>
          <w:szCs w:val="20"/>
          <w:color w:val="auto"/>
        </w:rPr>
      </w:pPr>
    </w:p>
    <w:p>
      <w:pPr>
        <w:ind w:right="40"/>
        <w:spacing w:after="0" w:line="284" w:lineRule="auto"/>
        <w:rPr>
          <w:sz w:val="20"/>
          <w:szCs w:val="20"/>
          <w:color w:val="auto"/>
        </w:rPr>
      </w:pPr>
      <w:r>
        <w:rPr>
          <w:rFonts w:ascii="Times New Roman" w:cs="Times New Roman" w:eastAsia="Times New Roman" w:hAnsi="Times New Roman"/>
          <w:sz w:val="14"/>
          <w:szCs w:val="14"/>
          <w:color w:val="auto"/>
        </w:rPr>
        <w:t>Our subscribers pay for our services using a variety of different payment methods, including credit and debit cards, prepaid gift cards, and direct debit. We rely on internal systems, as well as those of third parties, to process payments. Acceptance and processing of these payment methods are subject to certain rules and regulations, including additional authentication requirements for certain payment methods, and require payment of interchange and other fees, which may increase over time and raise our operating costs and lower our profit margins. For example, we have in the past experienced higher transaction fees from our third-party processors as a result of chargebacks on credit card transactions. Frequently changing credit card company terms and conditions may result in the way we accept payments being deemed non-compliant and potentially cause us to be suspended or terminated by our payment processors. To the extent there are increases in payment processing fees or the cash reserves required by third party payment processors, material changes in the payment ecosystem, such as large re-issuances of payment cards, changes in public perception and confidence in the payment systems we are utilizing, delays in receiving payments from payment processors, changes to rules or regulations concerning payments, loss of payment partners, and/or disruptions or failures in our payment processing systems, partner systems, or payment products, including products we use to update payment information, our revenue, operating expenses, and results of operations could be adversely impacted. In addition, from time to time, we encounter fraudulent use of payment methods, which could impact our results of operations and, if not adequately controlled and managed, could create negative consumer perceptions of our products and services. If we are unable to maintain our fraud and chargeback rate at acceptable levels, card networks may impose fines and/or reserves, our card approval rate may be impacted, and we may be subject to additional card authentication requirements. The termination of our ability to process payments on any major payment method would significantly impair our ability to operate our business.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Legal and Regulatory Matters</w:t>
      </w:r>
    </w:p>
    <w:p>
      <w:pPr>
        <w:spacing w:after="0" w:line="143"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Failure to comply with laws and regulations or other regulatory action or investigations, including with respect to the federal and state securities laws, could adversely affect our business.</w:t>
      </w:r>
    </w:p>
    <w:p>
      <w:pPr>
        <w:spacing w:after="0" w:line="101"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6"/>
          <w:szCs w:val="16"/>
          <w:color w:val="auto"/>
        </w:rPr>
        <w:t>Various aspects of our business and services are subject to federal, state, and local regulation, as well as regulation outside the United States. We rely upon the “publisher’s exclusion” from the definition of “investment adviser” under Section 202(a)(11)(D) of the Investment Advisers Act of 1940, as amended (the “Advisers Act”), and corresponding state securities laws for our investment newsletter business. In order to maintain our qualification for this exclusion, our newsletter publications must be: (1) of a general and impersonal nature, in that the advice provided is not adapted to any specific portfolio or any client’s particular needs; (2) “bona fide” or genuine, in that it contains disinterested commentary and analysis as opposed to promotional material; and (3) of general and regular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20" w:name="page21"/>
    <w:bookmarkEnd w:id="20"/>
    <w:p>
      <w:pPr>
        <w:ind w:right="20"/>
        <w:spacing w:after="0" w:line="249" w:lineRule="auto"/>
        <w:rPr>
          <w:sz w:val="20"/>
          <w:szCs w:val="20"/>
          <w:color w:val="auto"/>
        </w:rPr>
      </w:pPr>
      <w:r>
        <w:rPr>
          <w:rFonts w:ascii="Times New Roman" w:cs="Times New Roman" w:eastAsia="Times New Roman" w:hAnsi="Times New Roman"/>
          <w:sz w:val="16"/>
          <w:szCs w:val="16"/>
          <w:color w:val="auto"/>
        </w:rPr>
        <w:t xml:space="preserve">circulation, in that it is not timed to specific market activity or to events affecting, or having the ability to affect, the securities industry. The United States Supreme Court in </w:t>
      </w:r>
      <w:r>
        <w:rPr>
          <w:rFonts w:ascii="Times New Roman" w:cs="Times New Roman" w:eastAsia="Times New Roman" w:hAnsi="Times New Roman"/>
          <w:sz w:val="16"/>
          <w:szCs w:val="16"/>
          <w:i w:val="1"/>
          <w:iCs w:val="1"/>
          <w:color w:val="auto"/>
        </w:rPr>
        <w:t>Lowe v.</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Securities and Exchange Commission</w:t>
      </w:r>
      <w:r>
        <w:rPr>
          <w:rFonts w:ascii="Times New Roman" w:cs="Times New Roman" w:eastAsia="Times New Roman" w:hAnsi="Times New Roman"/>
          <w:sz w:val="16"/>
          <w:szCs w:val="16"/>
          <w:color w:val="auto"/>
        </w:rPr>
        <w:t>, 472 U.S. 181 (1985), held that a publisher of advice concerning securities, even where that advice consisted of specific recommendations to</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buy, sell, or hold particular securities, is entitled to rely on the publisher’s exclusion where the publisher does not offer individualized advice tailored to any specific portfolio or to any client’s particular needs. As long as communications between the publisher and its subscribers remain entirely impersonal and do not develop into the kind of fiduciary relationships that are characteristic of investment adviser-client relationships, the </w:t>
      </w:r>
      <w:r>
        <w:rPr>
          <w:rFonts w:ascii="Times New Roman" w:cs="Times New Roman" w:eastAsia="Times New Roman" w:hAnsi="Times New Roman"/>
          <w:sz w:val="16"/>
          <w:szCs w:val="16"/>
          <w:i w:val="1"/>
          <w:iCs w:val="1"/>
          <w:color w:val="auto"/>
        </w:rPr>
        <w:t>Lowe</w:t>
      </w:r>
      <w:r>
        <w:rPr>
          <w:rFonts w:ascii="Times New Roman" w:cs="Times New Roman" w:eastAsia="Times New Roman" w:hAnsi="Times New Roman"/>
          <w:sz w:val="16"/>
          <w:szCs w:val="16"/>
          <w:color w:val="auto"/>
        </w:rPr>
        <w:t xml:space="preserve"> court held that such products and publications presumptively fall within the exclusion and thus the publisher is not subject to registration under the Advisers Act.</w:t>
      </w:r>
    </w:p>
    <w:p>
      <w:pPr>
        <w:spacing w:after="0" w:line="120"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We believe our provision of financial research products meets the requirements of the publisher’s exclusion. The financial research products we offer to our clients are of a general and impersonal nature and are not individualized or tailored to any client’s particular needs. We do not collect any investor suitability information, nor do we perform any suitability analysis. The products are marketed to the general public and do not reflect any fiduciary or person-to-person relationships that are characteristic of investment adviser-client relationships. Our financial research offerings are genuine publications, providing disinterested and impersonal commentary and analysis to our subscribers. We are not compensated by the sponsors or distributors of any investment products highlighted in our publications. We publish our research reports on a routine or periodic basis, and publication is not timed to specific market activity or to events affecting or having the ability to affect the securities industry. The publication frequency of our newsletters varies, though newsletters are generally published on a monthly basis. If we change our business practices in such a way as to not satisfy the publisher’s exclusion, or otherwise fails to comply with the regulatory requirements concerning this exclusion, we may face sanctions as an unregistered investment adviser or other results that could have a negative effect on our business.</w:t>
      </w:r>
    </w:p>
    <w:p>
      <w:pPr>
        <w:spacing w:after="0" w:line="120"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If we meet the definition of “investment adviser” in the Advisers Act, and do not meet the requirements for reliance on the “publisher’s exclusion” from the definition of “investment adviser” or another exclusion, exemption, or exception from the registration requirements under the Advisers Act, we will have to register as an investment adviser with the SEC pursuant to the Advisers Act and potentially with one or more states under similar state laws. Registration requirements for investment advisers are significant. If we are deemed to be an investment adviser and are required to register with the SEC and potentially one or more states as an investment adviser, we will become subject to the requirements of the Advisers Act and the corresponding state laws. The Advisers Act requires: (i) fiduciary duties to clients; (ii) substantive prohibitions and requirements; (iii) contractual requirements; (iv) record-keeping requirements; and (v) administrative oversight by the SEC, primarily by inspection. Requirements and obligations imposed on investment advisers can be burdensome and costly. If it is deemed that we are out of compliance with such rules and regulations, we may also be subject to civil and/or criminal penalties. Applicable state laws may have similar or additional requirements. If we are required to register under these laws, we may no longer be able to continue to offer our investment research services, which may have a significant adverse impact on our business and results of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could face liability for the information and data we collect and distribute or the reports and other documents produced by our software products.</w:t>
      </w:r>
    </w:p>
    <w:p>
      <w:pPr>
        <w:spacing w:after="0" w:line="14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6"/>
          <w:szCs w:val="16"/>
          <w:color w:val="auto"/>
        </w:rPr>
        <w:t>We may be subject to claims for securities law violations, defamation (including libel and slander), negligence, or other claims relating to the information we publish, including our research. For example, investors may take legal action against us if they rely on published information that contains an error, or a company may claim that we have made a defamatory statement about it or its employees.</w:t>
      </w:r>
    </w:p>
    <w:p>
      <w:pPr>
        <w:spacing w:after="0" w:line="113"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6"/>
          <w:szCs w:val="16"/>
          <w:color w:val="auto"/>
        </w:rPr>
        <w:t>We rely on a variety of outside parties as the original sources for the information we use in our published data. These sources include securities exchanges and other data providers. We also incorporate data from a variety of third-party sources. Accordingly, in addition to possible exposure for publishing incorrect information that results directly from our own errors, we could face liability based on inaccurate data provided to us by others.</w:t>
      </w:r>
    </w:p>
    <w:p>
      <w:pPr>
        <w:spacing w:after="0" w:line="11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6"/>
          <w:szCs w:val="16"/>
          <w:color w:val="auto"/>
        </w:rPr>
        <w:t>We could be subject to claims by providers of publicly available data and information we compile from websites and other sources that we have improperly obtained that data in violation of the source’s copyrights or terms of use or based on the provisions of legislation that limit the bases on which businesses can collect personal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384" w:right="339" w:bottom="1440" w:gutter="0" w:footer="0" w:header="0"/>
        </w:sectPr>
      </w:pPr>
    </w:p>
    <w:bookmarkStart w:id="21" w:name="page22"/>
    <w:bookmarkEnd w:id="21"/>
    <w:p>
      <w:pPr>
        <w:ind w:right="300"/>
        <w:spacing w:after="0" w:line="250" w:lineRule="auto"/>
        <w:rPr>
          <w:sz w:val="20"/>
          <w:szCs w:val="20"/>
          <w:color w:val="auto"/>
        </w:rPr>
      </w:pPr>
      <w:r>
        <w:rPr>
          <w:rFonts w:ascii="Times New Roman" w:cs="Times New Roman" w:eastAsia="Times New Roman" w:hAnsi="Times New Roman"/>
          <w:sz w:val="16"/>
          <w:szCs w:val="16"/>
          <w:color w:val="auto"/>
        </w:rPr>
        <w:t>information from and about individuals. We could also be subject to claims from third parties, such as securities exchanges, from which we license and redistribute data and information that we have used or redistributed the data or information in ways not permitted by our license rights, or that we have inadequately permitted our subscribers to use such data. The agreements with such exchanges and other data providers give them extensive data use audit rights, and such audits can be expensive and time consuming and potentially result in substantial fines. Defending claims based on the information we publish could be expensive and time-consuming and could adversely impact our business, operating results, and financial condition.</w:t>
      </w:r>
    </w:p>
    <w:p>
      <w:pPr>
        <w:spacing w:after="0" w:line="116"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We may not adequately protect or enforce our own intellectual property and may incur costs to defend against, or face liability for, intellectual property infringement claims (or related claims) of others.</w:t>
      </w:r>
    </w:p>
    <w:p>
      <w:pPr>
        <w:spacing w:after="0" w:line="101"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To protect our intellectual property, we rely on a combination of trademarks, copyrights, confidentiality agreements, and various other contractual arrangements with our employees, affiliates, customers, strategic partners, and others. We own several trademark registrations and copyright registrations, and have pending trademark applications, including in the United States and Canada. We may seek additional trademark, patent, and other intellectual property filings, which could be expensive and time-consuming. These trademarks, patents, and other registered intellectual property rights may not be granted and, even if they are, it could be expensive to maintain these rights and the costs of defending our rights could be substantial. Moreover, we may fail to develop and properly manage data and information providers, such as securities exchanges, from which we license and redistribute data and information. We may use or redistribute the data or information from providers in ways not permitted by our license rights, or that we have inadequately permitted our subscribers to use such data. The agreements with such exchanges and other data providers give them extensive data use audit rights, and such audits can be expensive and time consuming and potentially result in substantial fines. Defending claims based on the information we publish could be expensive and time-consuming and could adversely impact our business, operating results, and financial condition.</w:t>
      </w:r>
    </w:p>
    <w:p>
      <w:pPr>
        <w:spacing w:after="0" w:line="12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Our code of conduct, employee handbook, and other internal policies seek to protect our intellectual property against misappropriation, infringement, and unfair competition. We also utilize various tools to police the Internet to monitor piracy and unauthorized use of our content. In addition, whether we grant access to our intellectual property via contract or license third-party content and/or technology, we incorporate contractual provisions to protect our intellectual property and seek indemnification for any third-party infringement claims.</w:t>
      </w:r>
    </w:p>
    <w:p>
      <w:pPr>
        <w:spacing w:after="0" w:line="116"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4"/>
          <w:szCs w:val="14"/>
          <w:color w:val="auto"/>
        </w:rPr>
        <w:t>However, we cannot provide any guarantee that the foregoing provisions will be honored by or enforceable against the counterparties to such arrangements, or adequate to protect us from third-party claims, suits, government investigations, and other proceedings involving alleged infringement, misappropriation, dilution, or violation of, or conflict with, third-party intellectual property rights or other related matters, or that these provisions will prevent the theft of our intellectual property, as we may be unable to detect the unauthorized use of, or take appropriate steps to enforce, our intellectual property rights. Our intellectual property rights may not survive a legal challenge to their validity or provide significant protection for us. In addition, our ability to enforce and protect our intellectual property rights may be limited in certain countries outside the United States because of the differences in foreign laws concerning intellectual property rights, which could make it easier for competitors to capture a market position in such countries by utilizing technologies and products that are similar to those developed or owned by or licensed to us. Failure to adequately protect our intellectual property could harm our brand, devalue our proprietary content, and affect our ability to compete effectively. Further, any infringement claims, even if not meritorious, could result in the expenditure of significant financial and managerial resources on our part, which could materially adversely affect our business, results of operations, and financial condition. In addition, the various agreements, policies, procedures, and contractual provisions that we rely on to protect our proprietary rights do not prevent our competitors from independently developing technologies that are substantially equivalent or superior to those contained in our products and services. Although we have generally taken measures to protect our proprietary rights, there can be no assurance that others will not offer products or concepts that are substantially similar to ours and compete with our business.</w:t>
      </w:r>
    </w:p>
    <w:p>
      <w:pPr>
        <w:spacing w:after="0" w:line="290" w:lineRule="exact"/>
        <w:rPr>
          <w:sz w:val="20"/>
          <w:szCs w:val="20"/>
          <w:color w:val="auto"/>
        </w:rPr>
      </w:pPr>
    </w:p>
    <w:p>
      <w:pPr>
        <w:ind w:right="200"/>
        <w:spacing w:after="0" w:line="341" w:lineRule="auto"/>
        <w:rPr>
          <w:sz w:val="20"/>
          <w:szCs w:val="20"/>
          <w:color w:val="auto"/>
        </w:rPr>
      </w:pPr>
      <w:r>
        <w:rPr>
          <w:rFonts w:ascii="Times New Roman" w:cs="Times New Roman" w:eastAsia="Times New Roman" w:hAnsi="Times New Roman"/>
          <w:sz w:val="14"/>
          <w:szCs w:val="14"/>
          <w:color w:val="auto"/>
        </w:rPr>
        <w:t>The software and Internet industries are characterized by the existence of a large number of patents, trademarks, and copyrights and by frequent litigation based on allegations of infringement, misappropriation, dilution, conflict with, or other violations of intellectual property rights. In addition, various “non-practicing entities” that own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22" w:name="page23"/>
    <w:bookmarkEnd w:id="22"/>
    <w:p>
      <w:pPr>
        <w:spacing w:after="0" w:line="286" w:lineRule="auto"/>
        <w:rPr>
          <w:sz w:val="20"/>
          <w:szCs w:val="20"/>
          <w:color w:val="auto"/>
        </w:rPr>
      </w:pPr>
      <w:r>
        <w:rPr>
          <w:rFonts w:ascii="Times New Roman" w:cs="Times New Roman" w:eastAsia="Times New Roman" w:hAnsi="Times New Roman"/>
          <w:sz w:val="14"/>
          <w:szCs w:val="14"/>
          <w:color w:val="auto"/>
        </w:rPr>
        <w:t>and other intellectual property rights often attempt to aggressively assert their rights in order to extract value from providers of software products or services. From time to time we may introduce or acquire new products, including in areas where we historically have not competed, which could increase our exposure to patent and other intellectual property claims from competitors and non-practicing entities. We have from time to time been subject to claims by third parties alleging infringement, misappropriation, dilution, or violation of, or conflict with, their intellectual property rights and other related claims. Such claims can also be alleged against clients, customers, or distributors of our products or services whom we have agreed to indemnify against third-party claims of infringement. The defense of such claims can be costly and consume valuable management time and attention. We may be faced with an adverse determination in respect of such claims, or we may be forced to settle such claims on unfavorable terms, which in each case can include the payment of damages, the entry into royalty or licensing arrangements on commercially unfavorable terms, or the suspension or cessation of our ability to offer affected products or services, or the requirement that we redesign such affected products or services. There can be no certainty we would prevail in litigation that arises from any such claims. Such claims and litigation could have a material adverse effect on our business, financial condition, or results of operations. In addition, depending on the nature and timing of any such dispute, an unfavorable resolution of a legal matter could materially affect our current or future results of operations or cash flows in a particular quarter.</w:t>
      </w:r>
    </w:p>
    <w:p>
      <w:pPr>
        <w:spacing w:after="0" w:line="283"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Our database and network facilities, and those of our third-party service providers, could fail, become unavailable, or otherwise inadequate, and are subject to cybersecurity risks. Failures of our internal security measures or breach of our privacy protections could cause us to lose subscribers and subject us to liability.</w:t>
      </w:r>
    </w:p>
    <w:p>
      <w:pPr>
        <w:spacing w:after="0" w:line="101"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6"/>
          <w:szCs w:val="16"/>
          <w:color w:val="auto"/>
        </w:rPr>
        <w:t>Our database and network facilities, and those of our third-party service providers, are vulnerable to attempted cybersecurity attacks that may take a variety of forms, including, infrastructure, botnets, malicious file attacks, cross-site scripting, credential abuse, ransomware, bugs, viruses, worms, malicious software programs, and denial of service attacks that could lead to misappropriation of our data, corruption of our databases, or limitation of access to our information systems. To defend against these threats, we implement a series of controls focusing on both prevention and detection, including firewalls, intrusion detection systems, automated scanning and testing, server hardening, antivirus software, training, and patch management, but cannot guarantee that these efforts will work as planned. We make significant investments in servers, storage, and other network infrastructure to prevent incidents of network failure and downtime, but we cannot guarantee that these efforts will work as planned.</w:t>
      </w:r>
    </w:p>
    <w:p>
      <w:pPr>
        <w:spacing w:after="0" w:line="12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6"/>
          <w:szCs w:val="16"/>
          <w:color w:val="auto"/>
        </w:rPr>
        <w:t>These cybersecurity incidents or other significant disruptions could be caused by persons inside our organization, persons outside our organization with authorized access to systems inside our organization, or by individuals outside our organization. The risk of a cybersecurity incident or disruption, particularly through cyber-attack or cyber-intrusion, has generally increased as the number, intensity and sophistication of attempted attacks and intrusions from around the world have increased. Although the cybersecurity incidents that we have experienced to date, as well as those reported to us by our third-party partners, have not had a material effect on our business, financial condition or results of operations, such incidents could have a material adverse effect on us in the future.</w:t>
      </w:r>
    </w:p>
    <w:p>
      <w:pPr>
        <w:spacing w:after="0" w:line="118"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Our business requires that we securely collect, process, store, transmit, and dispose of confidential information relating to our operations, subscribers, employees, and other third parties. In particular, Paid Subscribers are required to furnish certain information (including name, mailing address, phone number, email address, and credit card information) (collectively “personal information”), which we use to administer our services. We also require Free Subscribers (as defined below) to provide us with some personal information, such as email addresses, during the membership registration process. Additionally, we rely on security and authentication technology licensed from third parties to perform real-time credit card authorization and verification, and at times rely on third parties, including technology consulting firms, to help protect our infrastructure from security threats. As the breadth and complexity of this infrastructure continues to grow, including as a result of the use of mobile technologies, social media and cloud-based services, the risk of security breaches and cyberattacks increases. We strive to invest in systems, processes, controls, and other security measures to guard against the risk of improper access to or release of such information.</w:t>
      </w:r>
    </w:p>
    <w:p>
      <w:pPr>
        <w:spacing w:after="0" w:line="122" w:lineRule="exact"/>
        <w:rPr>
          <w:sz w:val="20"/>
          <w:szCs w:val="20"/>
          <w:color w:val="auto"/>
        </w:rPr>
      </w:pPr>
    </w:p>
    <w:p>
      <w:pPr>
        <w:ind w:right="340"/>
        <w:spacing w:after="0" w:line="341" w:lineRule="auto"/>
        <w:rPr>
          <w:sz w:val="20"/>
          <w:szCs w:val="20"/>
          <w:color w:val="auto"/>
        </w:rPr>
      </w:pPr>
      <w:r>
        <w:rPr>
          <w:rFonts w:ascii="Times New Roman" w:cs="Times New Roman" w:eastAsia="Times New Roman" w:hAnsi="Times New Roman"/>
          <w:sz w:val="14"/>
          <w:szCs w:val="14"/>
          <w:color w:val="auto"/>
        </w:rPr>
        <w:t>However, despite our investments, these measures do not guarantee absolute security, and improper access to or release of confidential information has occurred. Any security incident, including those resulting from a cyberattack, phishing attack, or any unauthorized access, unauthorized usage, virus, or similar incident or disruption, could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386" w:right="359" w:bottom="1440" w:gutter="0" w:footer="0" w:header="0"/>
        </w:sectPr>
      </w:pPr>
    </w:p>
    <w:bookmarkStart w:id="23" w:name="page24"/>
    <w:bookmarkEnd w:id="23"/>
    <w:p>
      <w:pPr>
        <w:ind w:right="720"/>
        <w:spacing w:after="0" w:line="268" w:lineRule="auto"/>
        <w:rPr>
          <w:sz w:val="20"/>
          <w:szCs w:val="20"/>
          <w:color w:val="auto"/>
        </w:rPr>
      </w:pPr>
      <w:r>
        <w:rPr>
          <w:rFonts w:ascii="Times New Roman" w:cs="Times New Roman" w:eastAsia="Times New Roman" w:hAnsi="Times New Roman"/>
          <w:sz w:val="16"/>
          <w:szCs w:val="16"/>
          <w:color w:val="auto"/>
        </w:rPr>
        <w:t>in the loss or destruction of, inaccessibility or unauthorized access to, or use, alteration, disclosure, or acquisition of, data, damage to our reputation, litigation, regulatory investigations, or other liabilities. These attacks may come from individual hackers, criminal groups, and/or state-sponsored organizations.</w:t>
      </w:r>
    </w:p>
    <w:p>
      <w:pPr>
        <w:spacing w:after="0" w:line="10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6"/>
          <w:szCs w:val="16"/>
          <w:color w:val="auto"/>
        </w:rPr>
        <w:t>We have suffered in the past, and may in the future suffer, malicious attacks by individuals or groups (including criminal groups and those sponsored by nation-states, terrorist organizations, or global corporations seeking to illicitly obtain technology or other intellectual property) seeking to attack our products and services or penetrate our network infrastructure to gain access to confidential information, including personal information, or to launch or coordinate distributed denial of service attacks. While we have dedicated resources intended to maintain appropriate levels of cybersecurity and implemented systems and processes intended to help identify cyberattacks and protect our network infrastructure, these attacks have become increasingly frequent, sophisticated, and difficult to detect, and often are not detected until after they have been launched against a target. We may be unable to anticipate these attacks or implement sufficient preventative measures, and we therefore cannot assure you that our preventative measures will be successful in preventing compromise and/or disruption of our information technology systems and related data. We furthermore cannot be certain that our remedial measures will fully mitigate the adverse financial consequences of any cyber-attack or incident.</w:t>
      </w:r>
    </w:p>
    <w:p>
      <w:pPr>
        <w:spacing w:after="0" w:line="12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Recent well-publicized security breaches at other companies have led to further enhanced government and regulatory scrutiny of the measures taken by companies to protect against cyberattacks and may in the future result in heightened cybersecurity requirements, including the implementation of more robust internal measures and additional regulatory expectations for oversight of customers, vendors, and service providers. Our information technology systems interact with those of customers, vendors, and service providers. Our contracts with those parties typically require them to implement and maintain adequate security controls, but we may not have the ability to effectively monitor the security measures of all our customers, vendors, and service providers and otherwise meet such additional regulatory expectations.</w:t>
      </w:r>
    </w:p>
    <w:p>
      <w:pPr>
        <w:spacing w:after="0" w:line="118"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6"/>
          <w:szCs w:val="16"/>
          <w:color w:val="auto"/>
        </w:rPr>
        <w:t>Additionally, we engage third-party vendors and service providers to store and otherwise process some of our customers’ personal information, and they may be the targets of cyberattacks, malicious software, phishing schemes, and fraud. Our ability to monitor our vendors’ and service providers’ data security is limited, and, in any event, third parties may be able to circumvent those security measures, resulting in the unauthorized access to, misuse, acquisition, disclosure, loss, alteration, or destruction of our and our customers’ data, including confidential, sensitive, and other information about individuals.</w:t>
      </w:r>
    </w:p>
    <w:p>
      <w:pPr>
        <w:spacing w:after="0" w:line="11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4"/>
          <w:szCs w:val="14"/>
          <w:color w:val="auto"/>
        </w:rPr>
        <w:t>If our security measures are breached as a result of third-party action, employee error, a defect or bug in our products or those of our third-party service providers, malfeasance, or otherwise and, as a result, someone obtains unauthorized access to our data, including our confidential, sensitive, or other information about individuals or the confidential, sensitive, or other information about individuals of our customers, or other persons, or any of these types of information is lost, destroyed, or used, altered, disclosed, or acquired without authorization, our reputation may be damaged, our business may suffer, and we could incur significant liability. Even the perception of inadequate security may damage our reputation and negatively impact our ability to win new customers and retain and receive timely payments from existing customers. Laws in all 50 U.S. states and outside the U.S., including Europe and the United Kingdom also require notifications of certain incident to a number of third parties, such as customers, regulators, credit reporting agencies or others when certain sensitive information has been compromised as a result of a security breach. In addition, we could be subject to private litigation and actions from government regulators, which could entail significant monetary expenditures and/or penalties and result in significant reputational damage. Finally, we could be required to expend significant capital and other resources to address any data security incident or breach, which may not be covered or fully covered by our insurance and which may involve payments for investigations, forensic analyses, legal advice, public relations advice, system repair or replacement, or other services.</w:t>
      </w:r>
    </w:p>
    <w:p>
      <w:pPr>
        <w:spacing w:after="0" w:line="283"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We are subject to laws, regulations, and industry standards related to data privacy, data protection, and information security, including industry requirements such as the Payment Card Industry Data Security Standard. Our actual or perceived failure to comply with such obligations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386" w:right="319" w:bottom="1440" w:gutter="0" w:footer="0" w:header="0"/>
        </w:sectPr>
      </w:pPr>
    </w:p>
    <w:bookmarkStart w:id="24" w:name="page25"/>
    <w:bookmarkEnd w:id="24"/>
    <w:p>
      <w:pPr>
        <w:ind w:right="60"/>
        <w:spacing w:after="0" w:line="247" w:lineRule="auto"/>
        <w:rPr>
          <w:sz w:val="20"/>
          <w:szCs w:val="20"/>
          <w:color w:val="auto"/>
        </w:rPr>
      </w:pPr>
      <w:r>
        <w:rPr>
          <w:rFonts w:ascii="Times New Roman" w:cs="Times New Roman" w:eastAsia="Times New Roman" w:hAnsi="Times New Roman"/>
          <w:sz w:val="16"/>
          <w:szCs w:val="16"/>
          <w:color w:val="auto"/>
        </w:rPr>
        <w:t>Our products and websites routinely collect, store, process, and transmit personal information about an individual, including personally identifiable information and personal financial information such as credit card information. We are subject to various laws and related regulations relating to data privacy, data protection, and information security. Such laws and regulations restrict and set standards for how personal information is collected, processed, stored, used, and disclosed, and mandate certain security requirements, implement notice requirements regarding privacy practices, and provide individuals with certain rights regarding the maintenance, use, disclosure, and sale of their protected personal information. If we are found to have breached any such laws, regulations, or industry standards, we may be subject to enforcement actions that require us to change our business practices in a manner that may negatively impact our revenue, as well as expose us to litigation, fines, regulatory enforcement, injunctive orders to cease or change our data processing activities, civil and/or criminal penalties, and adverse publicity that could cause our customers to lose trust in us, negatively impacting our reputation and business in a manner that harms our financial position.</w:t>
      </w:r>
    </w:p>
    <w:p>
      <w:pPr>
        <w:spacing w:after="0" w:line="12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6"/>
          <w:szCs w:val="16"/>
          <w:color w:val="auto"/>
        </w:rPr>
        <w:t>In the United States, both federal and various state governments have adopted or are considering, laws, guidelines, or rules for the collection, distribution, use, and storage of information collected from or about consumers or their devices. For example, California enacted the California Consumer Privacy Act of 2018 (the “CCPA”), which came into force in 2020. The CCPA creates a broad range of individual privacy rights for California residents and increases the privacy and security obligations of businesses handling personal information. The CCPA is enforceable by the California Attorney General and the California Privacy Protection Agency (as described below), and there is also a private right of action relating to certain data security incidents that may increase security breach litigation. Furthermore, California voters approved the California Privacy Rights Act (the “CPRA”) on November 3, 2020, which further amends and expands the CCPA, and became effective on January 1, 2023. The CPRA’s amendments to the CCPA impose additional data protection obligations on covered companies, including certain consumer rights processes, the right to correct personal information, and opt-outs for certain uses of sensitive personal information and the sharing of personal information for targeted advertising purposes; such requirements look back to January 2022. The CPRA’s amendments also created a new enforcement bureau, the California Privacy Protection Agency. In addition, starting January 1, 2023, personal information collected about California’s residents acting in a personnel/employee or business-to-business context came fully within scope of the CCPA.</w:t>
      </w:r>
    </w:p>
    <w:p>
      <w:pPr>
        <w:spacing w:after="0" w:line="125"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6"/>
          <w:szCs w:val="16"/>
          <w:color w:val="auto"/>
        </w:rPr>
        <w:t>The CCPA has also encouraged similar laws in other states across the country. For example, Virginia enacted the Virginia Consumer Data Protection Act (the “VCDPA”), another comprehensive state privacy law, which also became effective January 1, 2023. Also in 2021, Colorado enacted the Colorado Privacy Act (the “CPA”) and Connecticut enacted the Connecticut Data Privacy Rights Act (the “CTDPA”), both of which go into effect July 1, 2023, and Utah enacted the Utah Consumer Privacy Act (the “UCPA”), which went into effect December 31, 2023. Additional states are continuing to adopt similar laws and others are continuing to consider the adoption of similar laws. A number of other proposals exist for new federal and state privacy legislation that, if passed, could increase our potential liability, increase our compliance costs, modify our data processing practices and materially and adversely affect our business, prospects, financial condition and operating results.</w:t>
      </w:r>
    </w:p>
    <w:p>
      <w:pPr>
        <w:spacing w:after="0" w:line="12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4"/>
          <w:szCs w:val="14"/>
          <w:color w:val="auto"/>
        </w:rPr>
        <w:t>Our compliance with these changing and increasingly burdensome, and sometimes conflicting regulations and requirements, may cause us to incur substantial costs or require us to change our business practices, which may impact financial results. If we fail to comply with these regulations or requirements, we may be exposed to litigation expenses and possible significant liability, fees, or fines. We cannot fully predict the impact of the CCPA, VCDPA, CPA, CTDPA and UCPA, or subsequent guidance, regulations or rules on our business or operations, including those that are still in draft form, but it may increase our compliance costs and potential liability, particularly in the event of a data breach, and could have a material adverse effect on our business, including how we use personal information, our financial condition, and the results of our operations or prospects. We are also subject to payment card association operating rules, certification requirements, and rules governing electronic funds transfers, including the Payment Card Industry Data Security Standard (the “PCI DSS”), a security standard applicable to companies that collect, store, or transmit certain data regarding credit and debit cards, holders, and transactions. Under the PCI DSS and our contracts with our card processors, if there is a breach of payment card information that we store, we could be liable to the banks that issue the payment cards for their related expenses and penalties. In addition, if we fail to follow payment card industry data security standards, even if there is no compromise of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25" w:name="page26"/>
    <w:bookmarkEnd w:id="25"/>
    <w:p>
      <w:pPr>
        <w:ind w:right="140"/>
        <w:spacing w:after="0" w:line="268" w:lineRule="auto"/>
        <w:rPr>
          <w:sz w:val="20"/>
          <w:szCs w:val="20"/>
          <w:color w:val="auto"/>
        </w:rPr>
      </w:pPr>
      <w:r>
        <w:rPr>
          <w:rFonts w:ascii="Times New Roman" w:cs="Times New Roman" w:eastAsia="Times New Roman" w:hAnsi="Times New Roman"/>
          <w:sz w:val="16"/>
          <w:szCs w:val="16"/>
          <w:color w:val="auto"/>
        </w:rPr>
        <w:t>information, we could incur significant fines, have significant reserves imposed on our accounts, or lose our ability to give our customers the option of using payment cards. If we were unable to accept payment cards, our business would be materially harmed.</w:t>
      </w:r>
    </w:p>
    <w:p>
      <w:pPr>
        <w:spacing w:after="0" w:line="10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In addition, laws in countries outside of the United States create significant compliance obligations and liability. For example, to the extent our operations are subject to the EU General Data Protection Regulation (Regulation 2016/679 and applicable national supplementing laws and the UK data protection regime consisting primarily of the UK General Data Protection Regulation and the UK Data Protection Act 2018 (together referred to as the “GDPR”), this will create an ongoing compliance commitment and substantial costs, in relation to our collection, processing, sharing, disclosure, transfer and other use of personal data. Ensuring compliance with the GDPR could involve substantial costs, and it is possible that, despite our efforts, competent authorities or third parties will assert that our business practices fail to comply. If our operations are found to be in violation of the GDPR, we may be required to change our business practices and/or be subject to significant civil penalties, regulatory enforcement, business disruption, and reputational harm, any of which could have a material adverse effect on our business. In particular, if we or our vendors fail to comply with the GDPR and the applicable national data protection laws of the EU or European Economic Area member states, or if regulators assert we have failed to comply with these laws, it may lead to regulatory enforcement actions, which can result in significant monetary penalties and other administrative penalties.</w:t>
      </w:r>
    </w:p>
    <w:p>
      <w:pPr>
        <w:spacing w:after="0" w:line="120"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6"/>
          <w:szCs w:val="16"/>
          <w:color w:val="auto"/>
        </w:rPr>
        <w:t>We are also subject to evolving EU and UK privacy laws on cookies, tracking technologies and e-marketing practices. Recent European court decisions, and regulators’ recent decisions and guidance are driving increased attention to cookies, tracking technologies, and e-marketing practices. If the trend of increasing enforcement continues, this could increase our liability exposure and lead to substantial costs. It could also require significant systems changes, limit the effectiveness of our marketing activities, divert the attention of our technology personnel, adversely affect our margins, increase costs and subject us to additional liabilities. It may lead to broader restrictions and impairments on our marketing and personalization activities and may negatively impact our efforts to understand users.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we continue to expand into other foreign countries and jurisdictions, we may also be subject to additional laws and regulations that may affect how we conduct business.</w:t>
      </w:r>
    </w:p>
    <w:p>
      <w:pPr>
        <w:spacing w:after="0" w:line="143"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6"/>
          <w:szCs w:val="16"/>
          <w:color w:val="auto"/>
        </w:rPr>
        <w:t>For example, Brazil enacted the General Data Protection Law, New Zealand enacted the New Zealand Privacy Act, China enacted its Personal Information Protection Law, and Canada introduced the Digital Charter Implementation Act.</w:t>
      </w:r>
    </w:p>
    <w:p>
      <w:pPr>
        <w:spacing w:after="0" w:line="104"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6"/>
          <w:szCs w:val="16"/>
          <w:color w:val="auto"/>
        </w:rPr>
        <w:t>We make disclosures and statements regarding our use of personal information through our privacy policies and statements through our products and websites as required by privacy or data protection regulations. Failure (or perceived failure) to comply with our public statements or to adequately disclose our privacy or data protection practices could result in costly investigations by governmental authorities, litigation, and fines, as well as reputational damage and customer loss, which could have material impacts on our revenue and operations. This includes, but is not limited to, lawsuits and enforcement actions brought under the federal FTC Act, state unfair competition laws, state wiretap statutes, and similar laws and regulations.</w:t>
      </w:r>
    </w:p>
    <w:p>
      <w:pPr>
        <w:spacing w:after="0" w:line="118" w:lineRule="exact"/>
        <w:rPr>
          <w:sz w:val="20"/>
          <w:szCs w:val="20"/>
          <w:color w:val="auto"/>
        </w:rPr>
      </w:pPr>
    </w:p>
    <w:p>
      <w:pPr>
        <w:ind w:right="160"/>
        <w:spacing w:after="0" w:line="341" w:lineRule="auto"/>
        <w:rPr>
          <w:sz w:val="20"/>
          <w:szCs w:val="20"/>
          <w:color w:val="auto"/>
        </w:rPr>
      </w:pPr>
      <w:r>
        <w:rPr>
          <w:rFonts w:ascii="Times New Roman" w:cs="Times New Roman" w:eastAsia="Times New Roman" w:hAnsi="Times New Roman"/>
          <w:sz w:val="14"/>
          <w:szCs w:val="14"/>
          <w:color w:val="auto"/>
        </w:rPr>
        <w:t>We also from time to time acquire other companies that collect and process personal information. While we perform due diligence on the technology systems of these companies, there can be no assurance that such companies have not suffered data breaches or system intrusions prior to, or continuing after, our acquisition for which we may be liable.</w:t>
      </w:r>
    </w:p>
    <w:p>
      <w:pPr>
        <w:spacing w:after="0" w:line="57" w:lineRule="exact"/>
        <w:rPr>
          <w:sz w:val="20"/>
          <w:szCs w:val="20"/>
          <w:color w:val="auto"/>
        </w:rPr>
      </w:pPr>
    </w:p>
    <w:p>
      <w:pPr>
        <w:jc w:val="both"/>
        <w:ind w:right="100"/>
        <w:spacing w:after="0" w:line="310" w:lineRule="auto"/>
        <w:rPr>
          <w:sz w:val="20"/>
          <w:szCs w:val="20"/>
          <w:color w:val="auto"/>
        </w:rPr>
      </w:pPr>
      <w:r>
        <w:rPr>
          <w:rFonts w:ascii="Times New Roman" w:cs="Times New Roman" w:eastAsia="Times New Roman" w:hAnsi="Times New Roman"/>
          <w:sz w:val="14"/>
          <w:szCs w:val="14"/>
          <w:color w:val="auto"/>
        </w:rPr>
        <w:t>While we maintain insurance coverage that is intended to address certain aspects of cybersecurity and data protection risks, such coverage may not be sufficient to cover all or the majority of the costs, losses, or types of claims. Our insurance covers reimbursement for lost net profits or increased net loss of profits resulting from adverse publicity concerning an actual or alleged network impairment or privacy event. While it does not cover the costs for improvements to our systems, it does cover costs to restore our system operations.</w:t>
      </w:r>
    </w:p>
    <w:p>
      <w:pPr>
        <w:spacing w:after="0" w:line="78"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6"/>
          <w:szCs w:val="16"/>
          <w:color w:val="auto"/>
        </w:rPr>
        <w:t>Our use of AI may create significant compliance obligations and liability. For example, the EU is about to adopt a proposed regulation related to AI which will impose onerous obligations on developers, manufacturers,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26" w:name="page27"/>
    <w:bookmarkEnd w:id="26"/>
    <w:p>
      <w:pPr>
        <w:ind w:right="180"/>
        <w:spacing w:after="0" w:line="268" w:lineRule="auto"/>
        <w:rPr>
          <w:sz w:val="20"/>
          <w:szCs w:val="20"/>
          <w:color w:val="auto"/>
        </w:rPr>
      </w:pPr>
      <w:r>
        <w:rPr>
          <w:rFonts w:ascii="Times New Roman" w:cs="Times New Roman" w:eastAsia="Times New Roman" w:hAnsi="Times New Roman"/>
          <w:sz w:val="16"/>
          <w:szCs w:val="16"/>
          <w:color w:val="auto"/>
        </w:rPr>
        <w:t>importers and users of AI systems. Other jurisdictions are also considering adopting regulation on AI. Our use of this technology could thus result in additional compliance costs, regulatory investigations and actions, and consumer lawsuits. Further, our use of AI may conflict with certain privacy laws and could create liability risks.</w:t>
      </w:r>
    </w:p>
    <w:p>
      <w:pPr>
        <w:spacing w:after="0" w:line="102" w:lineRule="exact"/>
        <w:rPr>
          <w:sz w:val="20"/>
          <w:szCs w:val="20"/>
          <w:color w:val="auto"/>
        </w:rPr>
      </w:pPr>
    </w:p>
    <w:p>
      <w:pPr>
        <w:jc w:val="both"/>
        <w:ind w:right="660"/>
        <w:spacing w:after="0" w:line="344" w:lineRule="auto"/>
        <w:rPr>
          <w:sz w:val="20"/>
          <w:szCs w:val="20"/>
          <w:color w:val="auto"/>
        </w:rPr>
      </w:pPr>
      <w:r>
        <w:rPr>
          <w:rFonts w:ascii="Times New Roman" w:cs="Times New Roman" w:eastAsia="Times New Roman" w:hAnsi="Times New Roman"/>
          <w:sz w:val="14"/>
          <w:szCs w:val="14"/>
          <w:b w:val="1"/>
          <w:bCs w:val="1"/>
          <w:i w:val="1"/>
          <w:iCs w:val="1"/>
          <w:color w:val="auto"/>
        </w:rPr>
        <w:t>Compliance with ever evolving federal and state laws relating to consumer protection and communication privacy laws, and any failure by us to comply may result in significant liability, negative publicity, and/or an erosion of trust, which could materially adversely affect our business, results of operations, and financial condition.</w:t>
      </w:r>
    </w:p>
    <w:p>
      <w:pPr>
        <w:spacing w:after="0" w:line="5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6"/>
          <w:szCs w:val="16"/>
          <w:color w:val="auto"/>
        </w:rPr>
        <w:t>Laws, regulations, and standards covering marketing, advertising, and other activities conducted by telephone, email, mobile devices, and the internet may be or become applicable to our business, such as the Telephone Consumer Protection Act (the “TCPA”), the Controlling the Assault of Non-Solicited Pornography and Marketing Act of 2003 (the “CAN-SPAM Act”), and similar state consumer protection and communication privacy laws, such as California’s Invasion of Privacy Act.</w:t>
      </w:r>
    </w:p>
    <w:p>
      <w:pPr>
        <w:spacing w:after="0" w:line="113"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6"/>
          <w:szCs w:val="16"/>
          <w:color w:val="auto"/>
        </w:rPr>
        <w:t>We utilize a broad mix of marketing programs and platforms to promote our services and content to current and prospective subscribers. Two of our primary means of communicating with our subscribers has been via email and text messages. Actual or perceived improper sending of such email or text messaging communications may subject us to potential risks, including liabilities or claims relating to consumer protection laws such as the TCPA and the CAN-SPAM Act. We strive to ensure that all of our marketing communications comply with the requirements set forth in the TCPA and CAN-SPAM Act, any violations could result in the Federal Communications Commission (FCC) and FTC, respectively, seeking civil penalties against us. Numerous class-action suits under federal and state laws have been filed in recent years against companies who conduct email marketing, telemarketing and/or SMS texting programs, with many resulting in multi-million-dollar settlements to the plaintiffs. Any current or future such litigation against us could be costly and time-consuming to defend.</w:t>
      </w:r>
    </w:p>
    <w:p>
      <w:pPr>
        <w:spacing w:after="0" w:line="11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In recent years, consumer protection regulations, particularly in connection with marketing on the Internet and consumer privacy, have become more aggressive, and we expect that new laws and regulations will continue to be enacted at the local, state, national, and international levels. In addition, there is extensive regulatory scrutiny of financial publishers and investment newsletters because of concerns over schemes involving touting, front running, “pumping and dumping,” scalping, undisclosed conflicts of interest, deceptive marketing, and false performance claims and testimonials. Any new legislation and enhanced scrutiny, alone or combined with increasingly aggressive enforcement of existing laws, could make our ability to comply with applicable laws and regulations more difficult and expensive. In addition, we have been, and may in the future continue to be, the subject of requests from or investigations by state and federal regulatory bodies, and may be subject to continued or increased regulatory scrutiny in the future. Any of the foregoing could have a material adverse effect on our business, results of operations, and financial condition.</w:t>
      </w:r>
    </w:p>
    <w:p>
      <w:pPr>
        <w:spacing w:after="0" w:line="117"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Adverse litigation judgments or settlements resulting from legal proceedings relating to our business operations could materially adversely affect our business, results of operations, and financial condition.</w:t>
      </w:r>
    </w:p>
    <w:p>
      <w:pPr>
        <w:spacing w:after="0" w:line="10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6"/>
          <w:szCs w:val="16"/>
          <w:color w:val="auto"/>
        </w:rPr>
        <w:t>From time to time, we are subject to allegations, and have been and may become party to legal claims and regulatory proceedings, relating to our business operations. Such claims may include defamation, libel, intellectual property infringement, securities law violations, misappropriation, dilution, violation, fraud or negligence, or other theories of liability, in each case relating to the articles, commentary, investment recommendations, or other information we provide through our services. Such allegations, claims, and proceedings may be brought by third parties, including customers, partners, employees, governmental or regulatory bodies, or competitors, and may include class actions.</w:t>
      </w:r>
    </w:p>
    <w:p>
      <w:pPr>
        <w:spacing w:after="0" w:line="11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6"/>
          <w:szCs w:val="16"/>
          <w:color w:val="auto"/>
        </w:rPr>
        <w:t>Defending against such claims and proceedings is costly and time consuming and may divert management’s attention and personnel resources from our normal business operations. The outcome of many of these claims and proceedings cannot be predicted, and any claims asserted against us regardless of merit or eventual outcome, may harm our reputation. Our insurance or indemnities may not cover all claims that may be asserted against us. If any of these claims or proceedings were to be determined adversely to us, a judgment, fine, or settlement involving a payment of a material sum of money were to occur, or injunctive relief were issued against us, our business, results of operations, and financial condition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27" w:name="page28"/>
    <w:bookmarkEnd w:id="27"/>
    <w:p>
      <w:pPr>
        <w:ind w:right="120"/>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Our failure to comply with the anti-corruption, trade compliance, and economic sanctions laws and regulations of the United States and applicable international jurisdictions could materially adversely affect our reputation and results of operations.</w:t>
      </w:r>
    </w:p>
    <w:p>
      <w:pPr>
        <w:spacing w:after="0" w:line="101"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6"/>
          <w:szCs w:val="16"/>
          <w:color w:val="auto"/>
        </w:rPr>
        <w:t>We must comply with anti-corruption laws and regulations imposed by governments around the world with jurisdiction over our operations, which may include the U.S. Foreign Corrupt Practices Act of 1977 (the “FCPA”) and the U.K. Bribery Act 2010 (the “Bribery Act”), as well as the laws of the countries where we do business. These laws and regulations apply to companies, individual directors, officers, employees, and agents, and may restrict our operations, trade practices, investment decisions, and partnering activities. Where they apply, the FCPA and the Bribery Act prohibit us and our officers, directors, employees, and business partners acting on our behalf, including joint venture partners and agents, from corruptly offering, promising, authorizing, or providing anything of value to public officials for the purposes of influencing official decisions or obtaining or retaining business or otherwise obtaining favorable treatment. The Bribery Act also prohibits non-governmental “commercial” bribery and accepting bribes. As part of our business, we may deal with governments and state-owned business enterprises, the employees and representatives of which may be considered public officials for purposes of the FCPA and the Bribery Act. We are also subject to the jurisdiction of various governments and regulatory agencies around the world, which may bring our personnel and agents into contact with public officials responsible for issuing or renewing permits, licenses, or approvals or for enforcing other governmental regulations. In addition, some of the international locations in which we operate lack a developed legal system and have elevated levels of corruption.</w:t>
      </w:r>
    </w:p>
    <w:p>
      <w:pPr>
        <w:spacing w:after="0" w:line="125"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color w:val="auto"/>
        </w:rPr>
        <w:t>Our business also must be conducted in compliance with applicable economic sanctions laws and regulations, such as laws administered by the U.S. Department of the Treasury’s Office of Foreign Assets Control, the U.S. Department of State, the U.S. Department of Commerce, the United Nations Security Council, and other relevant sanctions authorities. Our operations expose us to the risk of violating, or being accused of violating, anti-corruption, trade compliance, and economic sanctions laws and regulations, and those risks may be heightened as we continue to expand globally. Our failure to successfully comply with these laws and regulations may expose us to reputational harm, significant sanctions, including criminal fines, imprisonment, civil penalties, disgorgement of profits, injunctions, and debarment from government contracts, and other remedial measures. Investigations of alleged violations can be expensive and disruptive. Despite our compliance efforts and activities, we cannot assure compliance by our employees or representatives for which we may be held responsible, and any such violation could materially adversely affect our reputation, business, financial condition, and results of operations.</w:t>
      </w:r>
    </w:p>
    <w:p>
      <w:pPr>
        <w:spacing w:after="0" w:line="91"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Changes in our provision for income taxes or adverse outcomes resulting from examination of our income or other tax returns or changes in tax legislation could adversely affect our business, financial condition, and results of operations.</w:t>
      </w:r>
    </w:p>
    <w:p>
      <w:pPr>
        <w:spacing w:after="0" w:line="101" w:lineRule="exact"/>
        <w:rPr>
          <w:sz w:val="20"/>
          <w:szCs w:val="20"/>
          <w:color w:val="auto"/>
        </w:rPr>
      </w:pPr>
    </w:p>
    <w:p>
      <w:pPr>
        <w:ind w:right="60"/>
        <w:spacing w:after="0" w:line="310" w:lineRule="auto"/>
        <w:rPr>
          <w:sz w:val="20"/>
          <w:szCs w:val="20"/>
          <w:color w:val="auto"/>
        </w:rPr>
      </w:pPr>
      <w:r>
        <w:rPr>
          <w:rFonts w:ascii="Times New Roman" w:cs="Times New Roman" w:eastAsia="Times New Roman" w:hAnsi="Times New Roman"/>
          <w:sz w:val="14"/>
          <w:szCs w:val="14"/>
          <w:color w:val="auto"/>
        </w:rPr>
        <w:t>Our provision for income taxes is subject to volatility and could be adversely affected by a number of factors, including earnings differing materially from our projections, changes in the valuation of our deferred tax assets and liabilities, expected timing and amount of the release of any tax valuation allowances, tax effects of share-based compensation, outcomes as a result of tax examinations, or changes in tax laws, regulations, accounting principles, including accounting for uncertain tax positions, or interpretations thereof.</w:t>
      </w:r>
    </w:p>
    <w:p>
      <w:pPr>
        <w:spacing w:after="0" w:line="78"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6"/>
          <w:szCs w:val="16"/>
          <w:color w:val="auto"/>
        </w:rPr>
        <w:t>To the extent that our provision for income taxes is subject to volatility or adverse outcomes as a result of tax examinations, our operating results could be harmed. Significant judgment is required to determine the recognition and measurement attribute prescribed in GAAP relating to accounting for income taxes. In addition, we are subject to examinations of our income tax returns by the U.S. Internal Revenue Service (the “IRS”) and other tax authorities. We assess the likelihood of adverse outcomes resulting from these examinations to determine the adequacy of our provision for income taxes. There may be exposure that the outcomes from these examinations will have an adverse effect on our business, financial condition, and results of operations.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Our Organizational Structure</w:t>
      </w:r>
    </w:p>
    <w:p>
      <w:pPr>
        <w:spacing w:after="0" w:line="14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MarketWise, Inc.’s sole material asset is its interest in MarketWise, LLC, and, accordingly, it will depend on distributions from MarketWise, LLC to pay its taxes and expenses, including payments under the Tax Receivable Agreement. MarketWise, LLC’s ability to make such distributions may be subject to various limitations and restrictions. In certain circumstances, tax distributions payable to MarketWise, Inc. may be substantial and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384" w:right="339" w:bottom="1440" w:gutter="0" w:footer="0" w:header="0"/>
        </w:sectPr>
      </w:pPr>
    </w:p>
    <w:bookmarkStart w:id="28" w:name="page29"/>
    <w:bookmarkEnd w:id="28"/>
    <w:p>
      <w:pPr>
        <w:spacing w:after="0" w:line="344" w:lineRule="auto"/>
        <w:rPr>
          <w:sz w:val="20"/>
          <w:szCs w:val="20"/>
          <w:color w:val="auto"/>
        </w:rPr>
      </w:pPr>
      <w:r>
        <w:rPr>
          <w:rFonts w:ascii="Times New Roman" w:cs="Times New Roman" w:eastAsia="Times New Roman" w:hAnsi="Times New Roman"/>
          <w:sz w:val="14"/>
          <w:szCs w:val="14"/>
          <w:b w:val="1"/>
          <w:bCs w:val="1"/>
          <w:i w:val="1"/>
          <w:iCs w:val="1"/>
          <w:color w:val="auto"/>
        </w:rPr>
        <w:t>excess of its tax liabilities and obligations under the Tax Receivable Agreement. To the extent that MarketWise, Inc. does not distribute such excess cash, MarketWise Members would benefit from any value attributable to such cash balances as a result of their ownership of Class A common stock following an exchange of their LLC Units.</w:t>
      </w:r>
    </w:p>
    <w:p>
      <w:pPr>
        <w:spacing w:after="0" w:line="5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MarketWise, Inc. is a holding company and has no material assets other than its equity interest in MarketWise, LLC. As such, MarketWise, Inc. has no independent means of generating revenue or cash flow, and its ability to pay taxes and operating expenses or declare and pay dividends in the future, if any, will be dependent upon the financial results and cash flows of MarketWise, LLC and its subsidiaries, and distributions MarketWise, Inc. receives from MarketWise, LLC. There can be no assurance that MarketWise, LLC and its subsidiaries will generate sufficient cash flow to distribute funds to MarketWise, Inc., or that applicable state law and contractual restrictions, including negative covenants in any debt agreements of MarketWise, LLC or its subsidiaries, will permit such distributions.</w:t>
      </w:r>
    </w:p>
    <w:p>
      <w:pPr>
        <w:spacing w:after="0" w:line="118"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6"/>
          <w:szCs w:val="16"/>
          <w:color w:val="auto"/>
        </w:rPr>
        <w:t>Moreover, MarketWise, Inc. also incurs expenses related to its operations, including payments under the Tax Receivables Agreement, which could be substantial. Because MarketWise, Inc. has no independent means of generating revenue, MarketWise, Inc.’s ability to make tax payments and payments under the Tax Receivable Agreement is dependent on the ability of MarketWise, LLC to make distributions to MarketWise, Inc. in an amount sufficient to cover MarketWise, Inc.’s tax obligations and obligations under the Tax Receivables Agreement.</w:t>
      </w:r>
    </w:p>
    <w:p>
      <w:pPr>
        <w:spacing w:after="0" w:line="116"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6"/>
          <w:szCs w:val="16"/>
          <w:color w:val="auto"/>
        </w:rPr>
        <w:t>MarketWise, LLC is treated as a partnership for U.S. federal income tax purposes and, as such, generally will not be subject to any entity-level U.S. federal income tax. Instead, taxable income will be allocated to its equityholders, including MarketWise, Inc. Accordingly, MarketWise, Inc. will incur income taxes on its allocable share of any net taxable income of MarketWise, LLC. Under the terms of the Third Amended and Restated Limited Liability Company Operating Agreement of MarketWise, LLC (the “MarketWise Operating Agreement”), MarketWise, LLC is obligated, subject to various limitations and restrictions, including with respect to any debt agreements, to make tax distributions to owners of the common units issued by MarketWise, LLC (“LLC Units”), including MarketWise, Inc. MarketWise, Inc. intends, as MarketWise, LLC’s sole manager, to cause MarketWise, LLC to make cash distributions to the owners of LLC Units in an amount sufficient to (i) fund all or part of such owners’ tax obligations in respect of taxable income allocated to such owners and (ii) cover MarketWise, Inc.’s operating expenses, including payments under the Tax Receivable Agreement. However, MarketWise, LLC’s ability to make such distributions may be subject to various limitations and restrictions, such as restrictions on distributions under contracts or agreements to which MarketWise, LLC is then a party, including debt agreements, or any applicable law, or that would have the effect of rendering MarketWise, LLC insolvent. If MarketWise, Inc. does not have sufficient funds to pay tax or other liabilities or to fund our operations, it may have to borrow funds, which could materially adversely affect its liquidity and financial condition and subject us to various restrictions imposed by any such lenders.</w:t>
      </w:r>
    </w:p>
    <w:p>
      <w:pPr>
        <w:spacing w:after="0" w:line="12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6"/>
          <w:szCs w:val="16"/>
          <w:color w:val="auto"/>
        </w:rPr>
        <w:t>As a result of (i) potential differences in the amount of net taxable income allocable to the MarketWise Members, (ii) the lower tax rates currently applicable to corporations as opposed to individuals, and (iii) the favorable tax benefits that MarketWise, Inc. anticipates from any redemptions or exchanges of LLC Units for its Class A common stock or cash pursuant to the MarketWise Operating Agreement in the future, tax distributions payable to MarketWise, Inc. may be in amounts that exceed its actual tax liabilities and obligations to make payments under the Tax Receivable Agreement with respect to the relevant taxable year. MarketWise, Inc.’s board of directors (“Board of Directors”) will determine the appropriate uses for any excess cash so accumulated, which may include, among other uses, the payment of other expenses or dividends on MarketWise, Inc.’s stock, although MarketWise, Inc. will have no obligation to distribute such cash (or other available cash) to its stockholders. Except as otherwise determined by MarketWise, Inc. as the sole manager of MarketWise, LLC, no adjustments to the exchange ratio for LLC Units and corresponding shares of our Class A common stock will be made as a result of any cash distribution by MarketWise, Inc. or any retention of cash by MarketWise, Inc. To the extent MarketWise, Inc. does not distribute such excess cash as dividends on its Class A common stock, it may take other actions with respect to such excess cash—for example, holding such excess cash or lending it (or a portion thereof) to MarketWise, LLC, which may result in shares of our Class A common stock increasing in value relative to the value of the LLC Units. The MarketWise Members may benefit from any value attributable to such cash balances if they acquire shares of our Class A common stock in exchange for their LLC Units, notwithstanding that such holders may previously have participated as holders of the LLC Units in distributions by MarketWise, LLC that resulted in such excess cash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384" w:right="359" w:bottom="1440" w:gutter="0" w:footer="0" w:header="0"/>
        </w:sectPr>
      </w:pPr>
    </w:p>
    <w:bookmarkStart w:id="29" w:name="page30"/>
    <w:bookmarkEnd w:id="29"/>
    <w:p>
      <w:pPr>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The Tax Receivable Agreement requires MarketWise, Inc. to make cash payments to the MarketWise Members in respect of certain tax benefits to which MarketWise, Inc. may become entitled, and no such payments will be made to any holders of our Class A common stock unless such holders are also MarketWise Members. The payments MarketWise, Inc. will be required to make under the Tax Receivable Agreement may be substantial.</w:t>
      </w:r>
    </w:p>
    <w:p>
      <w:pPr>
        <w:spacing w:after="0" w:line="113"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6"/>
          <w:szCs w:val="16"/>
          <w:color w:val="auto"/>
        </w:rPr>
        <w:t>MarketWise, Inc. is a party to the Tax Receivable Agreement with the MarketWise Members and MarketWise, LLC. Under the Tax Receivable Agreement, MarketWise, Inc. generally is required to make cash payments to the MarketWise Members equal to 85% of the tax benefits, if any, that MarketWise, Inc. actually realizes, or in certain circumstances is deemed to realize, as a result of (1) the increases in the tax basis of assets of MarketWise, LLC resulting from any redemptions or exchanges of LLC Units for our Class A common stock or cash by the MarketWise Members pursuant to the MarketWise Operating Agreement, or certain distributions (or deemed distributions) by MarketWise, LLC and (2) certain other tax benefits arising from payments under the Tax Receivable Agreement. No such payments will be made to any holders of our Class A common stock unless such holders are also MarketWise Members.</w:t>
      </w:r>
    </w:p>
    <w:p>
      <w:pPr>
        <w:spacing w:after="0" w:line="122"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16"/>
          <w:szCs w:val="16"/>
          <w:color w:val="auto"/>
        </w:rPr>
        <w:t>The payment obligations under the Tax Receivable Agreement are MarketWise, Inc.’s obligations and not the obligations of MarketWise, LLC, and the amount of the cash payments that MarketWise, Inc. will be required to make under the Tax Receivable Agreement may be substantial. Any payments made by MarketWise, Inc. to the MarketWise Members under the Tax Receivable Agreement will not be available for reinvestment in the business and will generally reduce the amount of cash that might have otherwise been available to MarketWise, Inc. and its subsidiaries. To the extent MarketWise, Inc. is unable to make timely payments under the Tax Receivable Agreement for any reason, the unpaid amounts will be deferred and will accrue interest until paid. Furthermore, MarketWise, Inc.’s future obligations to make payments under the Tax Receivable Agreement could make MarketWise, Inc. and its subsidiaries a less attractive target for an acquisition, particularly in the case of an acquirer that cannot use some or all of the tax benefits that are the subject of the Tax Receivable Agreement. Payments under the Tax Receivable Agreement are not conditioned on the MarketWise Members’ continued ownership of LLC Units or our Class A common stock or our Class B common stock.</w:t>
      </w:r>
    </w:p>
    <w:p>
      <w:pPr>
        <w:spacing w:after="0" w:line="12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6"/>
          <w:szCs w:val="16"/>
          <w:color w:val="auto"/>
        </w:rPr>
        <w:t>MarketWise, Inc.’s failure to make any payment required under the Tax Receivable Agreement (including any accrued and unpaid interest) within 90 calendar days of the date on which the payment is required to be made will constitute a material breach of a material obligation under the Tax Receivable Agreement, which will terminate the Tax Receivable Agreement and accelerate future payments thereunder, unless the applicable payment is not made because (i) MarketWise, Inc. is prohibited from making such payment under the terms of the Tax Receivable Agreement or the terms governing certain of its indebtedness or (ii) MarketWise, Inc. does not have, and despite using commercially reasonable efforts cannot obtain, sufficient funds to make such payment.</w:t>
      </w:r>
    </w:p>
    <w:p>
      <w:pPr>
        <w:spacing w:after="0" w:line="11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Estimating the amount and timing of MarketWise, Inc.’s realization of tax benefits subject to the Tax Receivable Agreement is by its nature imprecise. The actual increases in tax basis, as well as the amount and timing of MarketWise, Inc.’s ability to use any deductions (or decreases in gain or increases in loss) arising from such increases in tax basis, as dependent upon significant future events, including the timing of redemptions or exchanges by the MarketWise Members; the price of MarketWise, Inc. Class A common stock at the time of any exchange; the extent to which such exchanges are taxable; the depreciation and amortization periods that apply to the increase in tax basis; the amount of gain recognized by the MarketWise Members; the amount, character and timing of taxable income MarketWise, Inc. generates in the future; the timing and amount of any earlier payments that MarketWise, Inc. may have made under the Tax Receivable Agreement; the tax rates and laws then applicable; and the portion of MarketWise, Inc.’s payments under the Tax Receivable Agreement that constitute imputed interest or give rise to depreciable or amortizable tax basis. Accordingly, estimating the amount and timing of payments that may become due under the Tax Receivable Agreement is also by its nature imprecise and dependent upon significant future events, including those noted above in respect of estimating the amount and timing of MarketWise, Inc.’s realization of tax benefits.</w:t>
      </w:r>
    </w:p>
    <w:p>
      <w:pPr>
        <w:spacing w:after="0" w:line="118"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In certain cases, future payments under the Tax Receivable Agreement to the MarketWise Members may be accelerated or significantly exceed the actual benefits MarketWise, Inc. realizes in respect of the tax attributes subject to the Tax Receivable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384" w:right="359" w:bottom="1440" w:gutter="0" w:footer="0" w:header="0"/>
        </w:sectPr>
      </w:pPr>
    </w:p>
    <w:bookmarkStart w:id="30" w:name="page31"/>
    <w:bookmarkEnd w:id="30"/>
    <w:p>
      <w:pPr>
        <w:ind w:right="100"/>
        <w:spacing w:after="0" w:line="248" w:lineRule="auto"/>
        <w:rPr>
          <w:sz w:val="20"/>
          <w:szCs w:val="20"/>
          <w:color w:val="auto"/>
        </w:rPr>
      </w:pPr>
      <w:r>
        <w:rPr>
          <w:rFonts w:ascii="Times New Roman" w:cs="Times New Roman" w:eastAsia="Times New Roman" w:hAnsi="Times New Roman"/>
          <w:sz w:val="16"/>
          <w:szCs w:val="16"/>
          <w:color w:val="auto"/>
        </w:rPr>
        <w:t>The Tax Receivable Agreement provides that if (i) MarketWise, Inc. materially breaches any of its material obligations under the Tax Receivable Agreement, (ii) certain mergers, asset sales, other forms of business combinations, or other changes of control were to occur, or (iii) MarketWise, Inc. elects an early termination of the Tax Receivable Agreement, then MarketWise, Inc.’s future obligations, or its successor’s future obligations, under the Tax Receivable Agreement to make payments thereunder would accelerate and become due and payable, based on certain assumptions, including an assumption that MarketWise, Inc. would have sufficient taxable income to fully utilize all potential future tax benefits that are subject to the Tax Receivable Agreement, and an assumption that, as of the effective date of the acceleration, any MarketWise Member that has LLC Units not yet exchanged shall be deemed to have exchanged such LLC Units on such date, even if MarketWise, Inc. does not receive the corresponding tax benefits until a later date when the LLC Units are actually exchanged.</w:t>
      </w:r>
    </w:p>
    <w:p>
      <w:pPr>
        <w:spacing w:after="0" w:line="119"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4"/>
          <w:szCs w:val="14"/>
          <w:color w:val="auto"/>
        </w:rPr>
        <w:t>As a result of the foregoing, MarketWise, Inc. would be required to make an immediate cash payment equal to the estimated present value of the anticipated future tax benefits that are the subject of the Tax Receivable Agreement, based on certain assumptions, which payment may be made significantly in advance of the actual realization, if any, of those future tax benefits and, therefore, MarketWise, Inc. could be required to make payments under the Tax Receivable Agreement that are greater than the specified percentage of the actual tax benefits it ultimately realizes. In these situations, MarketWise, Inc.’s obligations under the Tax Receivable Agreement could have a substantial negative impact on MarketWise, Inc.’s liquidity and could have the effect of delaying, deferring, or preventing certain mergers, asset sales, other forms of business combinations, or other changes of control. In addition, to the extent that MarketWise, Inc. is unable to make payments under the Tax Receivable Agreement for any reason, the unpaid amounts will be deferred and will accrue interest until paid. There can be no assurance that MarketWise, Inc. will be able to fund or finance its obligations under the Tax Receivable Agreement.</w:t>
      </w:r>
    </w:p>
    <w:p>
      <w:pPr>
        <w:spacing w:after="0" w:line="91" w:lineRule="exact"/>
        <w:rPr>
          <w:sz w:val="20"/>
          <w:szCs w:val="20"/>
          <w:color w:val="auto"/>
        </w:rPr>
      </w:pPr>
    </w:p>
    <w:p>
      <w:pPr>
        <w:ind w:right="520"/>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MarketWise, Inc. will not be reimbursed for any payments made to the MarketWise Members under the Tax Receivable Agreement in the event that any tax benefits are disallowed.</w:t>
      </w:r>
    </w:p>
    <w:p>
      <w:pPr>
        <w:spacing w:after="0" w:line="101"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6"/>
          <w:szCs w:val="16"/>
          <w:color w:val="auto"/>
        </w:rPr>
        <w:t>Payments under the Tax Receivable Agreement will be based on the tax reporting positions that MarketWise, Inc. determines, and the IRS or another tax authority may challenge all or part of the tax basis increases or other tax benefits MarketWise, Inc. claims, as well as other related tax positions it takes, and a court could sustain any such challenge. MarketWise, Inc.’s ability to settle or to forgo contesting such challenges may be restricted by the rights of the MarketWise Members pursuant to the Tax Receivable Agreement, and such restrictions apply for as long as the Tax Receivable Agreement remains in effect. In addition, MarketWise, Inc. will not be reimbursed for any cash payments previously made to the MarketWise Members under the Tax Receivable Agreement in the event that any tax benefits initially claimed by MarketWise, Inc. and for which payment has been made to the MarketWise Members are subsequently challenged by a taxing authority and are ultimately disallowed. Instead, any excess cash payments made by MarketWise, Inc. to the MarketWise Members will be netted against any future cash payments that MarketWise, Inc. might otherwise be required to make to the MarketWise Members under the terms of the Tax Receivable Agreement. However, MarketWise, Inc. might not determine that it has effectively made an excess cash payment to the MarketWise Members for a number of years following the initial time of such payment, and, if any of its tax reporting positions are challenged by a taxing authority, MarketWise, Inc. will not be permitted to reduce any future cash payments under the Tax Receivable Agreement until any such challenge is finally settled or determined. Moreover, the excess cash payments MarketWise, Inc. previously made under the Tax Receivable Agreement could be greater than the amount of future cash payments against which MarketWise, Inc. would otherwise be permitted to net such excess. The applicable U.S. federal income tax rules for determining applicable tax benefits MarketWise, Inc. claims are complex and factual in nature, and there can be no assurance that the “IRS” or a court will not disagree with MarketWise, Inc.’s tax reporting positions. As a result, payments could be made under the Tax Receivable Agreement in excess of the tax savings that MarketWise, Inc. actually realizes in respect of the tax attributes with respect to the MarketWise Members that are the subject of the Tax Receivable Agreement.</w:t>
      </w:r>
    </w:p>
    <w:p>
      <w:pPr>
        <w:spacing w:after="0" w:line="128"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If MarketWise, Inc. were to become a publicly traded partnership taxable as a corporation for U.S. federal income tax purposes, MarketWise, Inc. and MarketWise, LLC might be subject to potentially significant tax inefficiencies, and MarketWise, Inc. would not be able to recover payments previously made by it under the Tax Receivable Agreement even if the corresponding tax benefits were subsequently determined to have been unavailable due to such status.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31" w:name="page32"/>
    <w:bookmarkEnd w:id="31"/>
    <w:p>
      <w:pPr>
        <w:ind w:right="60"/>
        <w:spacing w:after="0" w:line="287" w:lineRule="auto"/>
        <w:rPr>
          <w:sz w:val="20"/>
          <w:szCs w:val="20"/>
          <w:color w:val="auto"/>
        </w:rPr>
      </w:pPr>
      <w:r>
        <w:rPr>
          <w:rFonts w:ascii="Times New Roman" w:cs="Times New Roman" w:eastAsia="Times New Roman" w:hAnsi="Times New Roman"/>
          <w:sz w:val="14"/>
          <w:szCs w:val="14"/>
          <w:color w:val="auto"/>
        </w:rPr>
        <w:t>We intend to operate such that MarketWise, LLC does not become a publicly traded partnership taxable as a corporation for U.S. federal income tax purposes. A “publicly traded partnership” is a partnership the interests of which are traded on an established securities market or are readily tradable on a secondary market or the substantial equivalent thereof. Under certain circumstances, redemptions, exchanges or other transfers of the LLC Units could cause MarketWise, LLC to be treated as a publicly traded partnership. Applicable U.S. Treasury regulations provide for certain safe harbors from treatment as a publicly traded partnership, and we intend to operate such that transfers of LLC Units qualify for one or more such safe harbors. For example, we intend to limit the number of unitholders of MarketWise, LLC, and the MarketWise Operating Agreement provides for limitations on the ability of holders of LLC Units to redeem, exchange, or otherwise transfer their LLC Units and provides MarketWise, Inc., as the sole manager of MarketWise, LLC, with the right to impose restrictions (in addition to those already in place) on the ability of holders of LLC Units to redeem, exchange, or otherwise transfer their LLC Units to the extent MarketWise, Inc. believes it is necessary to ensure that MarketWise, LLC will continue to be treated as a partnership for U.S. federal income tax purposes.</w:t>
      </w:r>
    </w:p>
    <w:p>
      <w:pPr>
        <w:spacing w:after="0" w:line="97"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6"/>
          <w:szCs w:val="16"/>
          <w:color w:val="auto"/>
        </w:rPr>
        <w:t>If MarketWise, LLC were to become a publicly traded partnership taxable as a corporation for U.S. federal income tax purposes, significant tax inefficiencies might result for MarketWise, Inc. and for MarketWise, LLC. In addition, MarketWise, Inc. may not be able to realize tax benefits covered under the Tax Receivable Agreement, and MarketWise, Inc. would not be able to recover any payments previously made by it under the Tax Receivable Agreement, even if the corresponding tax benefits (including any claimed increase in the tax basis of MarketWise, LLC’s assets) were subsequently determined to have been unavailable.</w:t>
      </w:r>
    </w:p>
    <w:p>
      <w:pPr>
        <w:spacing w:after="0" w:line="114"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If MarketWise, Inc. were deemed to be an investment company under the Investment Company Act of 1940, applicable restrictions could make it impractical for us to continue our business as contemplated and could have a material adverse effect on our business.</w:t>
      </w:r>
    </w:p>
    <w:p>
      <w:pPr>
        <w:spacing w:after="0" w:line="101"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4"/>
          <w:szCs w:val="14"/>
          <w:color w:val="auto"/>
        </w:rPr>
        <w:t>Under Sections 3(a)(1)(A) and (C) of the U.S. Investment Company Act of 1940, as amended (the “Investment Company Act”), a company generally will be deemed to be an “investment company” for purposes of the Investment Company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MarketWise, Inc. does not believe that it is an “investment company” as such term is defined in either of those sections of the Investment Company Act.</w:t>
      </w:r>
    </w:p>
    <w:p>
      <w:pPr>
        <w:spacing w:after="0" w:line="9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As the sole managing member of MarketWise, LLC, MarketWise, Inc. will control MarketWise, LLC. On that basis, MarketWise, Inc. believes that its interest in MarketWise, LLC is not an “investment security” as that term is used in the Investment Company Act. However, if MarketWise, Inc. were to cease participation in the management of MarketWise, LLC, its interest in MarketWise, LLC could be deemed an “investment security” for purposes of the Investment Company Act.</w:t>
      </w:r>
    </w:p>
    <w:p>
      <w:pPr>
        <w:spacing w:after="0" w:line="11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6"/>
          <w:szCs w:val="16"/>
          <w:color w:val="auto"/>
        </w:rPr>
        <w:t>MarketWise, Inc. and MarketWise, LLC intend to conduct their respective operations so that MarketWise, Inc. will not be deemed an investment company. However, if MarketWise, Inc. were to be deemed an investment company, restrictions imposed by the Investment Company Act, including limitations on MarketWise’s capital structure and its ability to transact with affiliates, could make it impractical for us to continue our business as contemplated and could have a material adverse effect on our business.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Risks Related to Ownership of Our Class A common stock</w:t>
      </w:r>
    </w:p>
    <w:p>
      <w:pPr>
        <w:spacing w:after="0" w:line="143"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We qualify as an “emerging growth company” and a smaller reporting company, and the reduced disclosure requirements applicable to emerging growth companies and smaller growth companies may make its securities less attractive to investors.</w:t>
      </w:r>
    </w:p>
    <w:p>
      <w:pPr>
        <w:spacing w:after="0" w:line="1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We qualify as an “emerging growth company,” as defined in Section 2(a)(19) of the U.S. Securities Act of 1933, as amended (the “Securities Act”). For as long as we continue to be an emerging growth company, we may choose to take advantage of certain exemptions and relief from various reporting requirements that are applicable to other public companies, including, but not limited to: (i) not being required to comply with the auditor attestation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32" w:name="page33"/>
    <w:bookmarkEnd w:id="32"/>
    <w:p>
      <w:pPr>
        <w:ind w:right="60"/>
        <w:spacing w:after="0" w:line="248" w:lineRule="auto"/>
        <w:rPr>
          <w:sz w:val="20"/>
          <w:szCs w:val="20"/>
          <w:color w:val="auto"/>
        </w:rPr>
      </w:pPr>
      <w:r>
        <w:rPr>
          <w:rFonts w:ascii="Times New Roman" w:cs="Times New Roman" w:eastAsia="Times New Roman" w:hAnsi="Times New Roman"/>
          <w:sz w:val="16"/>
          <w:szCs w:val="16"/>
          <w:color w:val="auto"/>
        </w:rPr>
        <w:t>requirements of Section 404 of the Sarbanes-Oxley Act of 2022, as amended ("SOX"); (ii) reduced disclosure obligations regarding executive compensation in its periodic reports and proxy statements; and (iii) exemptions from the requirements of holding nonbinding advisory votes on executive compensation and stockholder approval of any golden parachute payments not previously approved. We will remain an emerging growth company until December 31, 2025 (the last day of the fiscal year ending after the fifth anniversary of ADAC’s initial public offering), though we may cease to be an emerging growth company earlier if (1) we have more than $1.07 billion in annual gross revenue, (2) we qualify as a “large accelerated filer” as defined in Rule 12b-2 under the Securities Exchange Act of 1934, as amended (the “Exchange Act”), or (3) we issue, in any three-year period, more than $1.0 billion in non-convertible debt securities held by non-affiliates. We currently intend to take advantage of each of the reduced reporting requirements and exemptions described above. As a result, our securityholders may not have access to certain information they may deem important.</w:t>
      </w:r>
    </w:p>
    <w:p>
      <w:pPr>
        <w:spacing w:after="0" w:line="11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Further, the Jumpstart Our Business Startups Act of 2012, as amended, (the “JOBS Act”) exempts emerging growth companies from being required to comply with new or revised financial accounting standards until private companies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 company that has opted out of using the extended transition period, difficult because of the potential differences in accounting standards used.</w:t>
      </w:r>
    </w:p>
    <w:p>
      <w:pPr>
        <w:spacing w:after="0" w:line="11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Additionally, we qualify as a “smaller reporting company” as defined in Item 10(f)(1) of Regulation S-K under the Securities Act. Smaller reporting companies may take advantage of certain reduced disclosure obligations, including, among other things, providing only two years of audited financial statements in its periodic reports. To the extent we take advantage of such reduced disclosure obligations, it may also make comparison of our financial statements with other public companies difficult or impossible.</w:t>
      </w:r>
    </w:p>
    <w:p>
      <w:pPr>
        <w:spacing w:after="0" w:line="113"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6"/>
          <w:szCs w:val="16"/>
          <w:color w:val="auto"/>
        </w:rPr>
        <w:t>It is difficult to predict whether investors will find our securities less attractive as a result of our taking advantage of these exemptions and relief granted to emerging growth companies and smaller reporting companies. If some investors find our securities less attractive as a result, the trading prices of our securities may be lower than they otherwise would be, there may be a less active trading market for our securities and the market price of our securities may be more volatile.</w:t>
      </w:r>
    </w:p>
    <w:p>
      <w:pPr>
        <w:spacing w:after="0" w:line="11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6"/>
          <w:szCs w:val="16"/>
          <w:color w:val="auto"/>
        </w:rPr>
        <w:t>Once we lose our “emerging growth company” and/or “smaller reporting company” status, we will no longer be able to take advantage of certain exemptions from reporting, and we will also be required to comply with the auditor attestation requirements of Section 404 of SOX. We will incur additional expenses in connection with such compliance and our management will need to devote additional time and effort to implement and comply with such requirements.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dual class structure of our common stock may adversely affect the trading price or liquidity of our Class A common stock.</w:t>
      </w:r>
    </w:p>
    <w:p>
      <w:pPr>
        <w:spacing w:after="0" w:line="145"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6"/>
          <w:szCs w:val="16"/>
          <w:color w:val="auto"/>
        </w:rPr>
        <w:t>We cannot predict whether our dual-class structure, combined with the concentrated control of our founder, Chief Executive Officer (“CEO”) and Chairman of our Board of Directors, F. Porter Stansberry, will result in a lower or more volatile market price of our Class A common stock or in adverse publicity or other adverse consequences. For example, certain index providers have announced restrictions on including companies with multiple class share structures in certain of their indexes. For example, in July 2017, FTSE Russell and Standard &amp; Poor’s announced that they would cease to allow most newly public companies utilizing dual or multi-class capital structures to be included in their indices. Under the announced policies, our dual class capital structure would make us ineligible for inclusion in any of these indices. Given the sustained flow of investment into passive strategies that seek to track certain indexes, exclusion from stock indexes would likely preclude investment by many of these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color w:val="auto"/>
        </w:rPr>
        <w:t>and could make our Class A common stock less attractive to other investors. As a result, the market price of our Class A common stock could be adversely affected.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MarketWise Members have significant influence over us, including control over decisions that require the approval of MarketWise, Inc. stockholders.</w:t>
      </w:r>
    </w:p>
    <w:p>
      <w:pPr>
        <w:spacing w:after="0" w:line="14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The MarketWise Members control in the aggregate, based on the information available to us, at least 87% of the voting power represented by all of our outstanding classes of stock. Of the MarketWise Members, Monument &amp; Cathedral, LLC controls in the aggregate, based on the information available to us, at least 42% of the voting power represented by all of our outstanding classes of stock, and our CEO and Chairman controls in the aggregate, based on information available to us, at least 18% of the voting power represented by all of our outstanding classes of stock. As a result, the MarketWise Members (and Monument &amp; Cathedral, LLC and F. Porter Stansberry, in particular) may exercise significant influence over all matters requiring stockholder approval, including the election and removal of directors and the size of our Board of Directors, appointment and removal of officers, any amendment of our Charter or MarketWise, Inc.’s bylaws (our “Bylaws”), and any approval of significant corporate transactions (including a sale of substantially all of MarketWise, LLC’s assets), and will continue to have significant control over our management and policies, including policies around financing, compensation, and declaration of dividends.</w:t>
      </w:r>
    </w:p>
    <w:p>
      <w:pPr>
        <w:spacing w:after="0" w:line="12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6"/>
          <w:szCs w:val="16"/>
          <w:color w:val="auto"/>
        </w:rPr>
        <w:t>Certain MarketWise Members or affiliates of MarketWise Members are members of our Board of Directors, including our CEO and Chairman. These members of our Board of Directors can take actions that have the effect of delaying or preventing a change of control of MarketWise, LLC or discouraging others from making tender offers for our shares, which could prevent stockholders from receiving a premium for their shares. These actions may be taken even if other stockholders oppose them. The concentration of voting power with the MarketWise Members may have an adverse effect on the price of our securities. The interests of the MarketWise Members may not be consistent with your interests as a securityholder.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Our Chairman and CEO has other professional responsibilities which could conflict with the interests of our shareholders.</w:t>
      </w:r>
    </w:p>
    <w:p>
      <w:pPr>
        <w:spacing w:after="0" w:line="145"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6"/>
          <w:szCs w:val="16"/>
          <w:color w:val="auto"/>
        </w:rPr>
        <w:t>Our Chairman of the Board of Directors and Chief Executive Officer, F. Porter Stansberry, is also the owner and managing-member of Porter &amp; Company, LLC (“Porter &amp; Co.”), a boutique investment research firm. As a result, Mr. Stansberry does not devote his full time and attention to the affairs of MarketWise, Inc. Mr. Stansberry may have actual or apparent conflicts of interest with respect to matters involving or affecting each company. For example, conflicts may arise if there are issues or disputes under the informal commercial arrangements that exist between Porter &amp; Co. and us. A conflict of interest between our business and Porter &amp; Co. could lead to decisions being made that are not in our best interests and actions being taken that harm our reputation for trustworthiness, which could reduce our subscriber base and have an adverse effect on our business, results of operations and financial condition.</w:t>
      </w:r>
    </w:p>
    <w:p>
      <w:pPr>
        <w:spacing w:after="0" w:line="120"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The MarketWise Members have the right to have their LLC Units redeemed or exchanged into shares of Class A common stock, which, if exercised, will dilute your economic interest in MarketWise, Inc.</w:t>
      </w:r>
    </w:p>
    <w:p>
      <w:pPr>
        <w:spacing w:after="0" w:line="101"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6"/>
          <w:szCs w:val="16"/>
          <w:color w:val="auto"/>
        </w:rPr>
        <w:t>We have an aggregate of approximately 908,564,019 shares of our Class A common stock authorized but unissued, including 288,092,303 shares of our Class A common stock issuable upon redemption or exchange of LLC Units that are held by the MarketWise Members. Under the terms of the MarketWise Operating Agreement, and subject to certain restrictions set forth therein, the MarketWise Members are entitled to have their LLC Units redeemed or exchanged for shares of our Class A common stock or, at our option, cash. Shares of our Class B common stock held by any such redeeming or exchanging MarketWise Member will be canceled for no additional consideration on a one-for-one basis with the redeemed or exchanged LLC Units whenever the MarketWise Members’ LLC Units are so redeemed or exchanged. While any redemption or exchange of LLC Units and corresponding cancellation of our Class B common stock will reduce the MarketWise Members’ economic interest in MarketWise and its voting interest in MarketWise, Inc., the related issuance of our Class A common stock will dilute your economic interest in us. During the year ended December 31, 2023, pursuant to the terms of the MarketWise Operating Agreement, MarketWise Members exchanged an aggregate of 3,000,000 LLC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34" w:name="page35"/>
    <w:bookmarkEnd w:id="34"/>
    <w:p>
      <w:pPr>
        <w:ind w:right="180"/>
        <w:spacing w:after="0" w:line="268" w:lineRule="auto"/>
        <w:rPr>
          <w:sz w:val="20"/>
          <w:szCs w:val="20"/>
          <w:color w:val="auto"/>
        </w:rPr>
      </w:pPr>
      <w:r>
        <w:rPr>
          <w:rFonts w:ascii="Times New Roman" w:cs="Times New Roman" w:eastAsia="Times New Roman" w:hAnsi="Times New Roman"/>
          <w:sz w:val="16"/>
          <w:szCs w:val="16"/>
          <w:color w:val="auto"/>
        </w:rPr>
        <w:t>together with an equal number of shares of Class B common stock for 3,000,000 newly-issued shares of our Class A common stock. The timing or size of any future issuances of our Class A common stock resulting from the redemption or exchange of LLC Units cannot be predicted.</w:t>
      </w:r>
    </w:p>
    <w:p>
      <w:pPr>
        <w:spacing w:after="0" w:line="102" w:lineRule="exact"/>
        <w:rPr>
          <w:sz w:val="20"/>
          <w:szCs w:val="20"/>
          <w:color w:val="auto"/>
        </w:rPr>
      </w:pPr>
    </w:p>
    <w:p>
      <w:pPr>
        <w:ind w:right="520"/>
        <w:spacing w:after="0" w:line="344" w:lineRule="auto"/>
        <w:rPr>
          <w:sz w:val="20"/>
          <w:szCs w:val="20"/>
          <w:color w:val="auto"/>
        </w:rPr>
      </w:pPr>
      <w:r>
        <w:rPr>
          <w:rFonts w:ascii="Times New Roman" w:cs="Times New Roman" w:eastAsia="Times New Roman" w:hAnsi="Times New Roman"/>
          <w:sz w:val="14"/>
          <w:szCs w:val="14"/>
          <w:b w:val="1"/>
          <w:bCs w:val="1"/>
          <w:i w:val="1"/>
          <w:iCs w:val="1"/>
          <w:color w:val="auto"/>
        </w:rPr>
        <w:t>Under certain circumstances, the Sponsor and certain members of our management team will be entitled to the Sponsor Earnout Shares and the Management Member Earnout Shares, as applicable, which will increase the number of shares eligible for future resale in the public market and result in dilution to our stockholders.</w:t>
      </w:r>
    </w:p>
    <w:p>
      <w:pPr>
        <w:spacing w:after="0" w:line="55"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4"/>
          <w:szCs w:val="14"/>
          <w:color w:val="auto"/>
        </w:rPr>
        <w:t>If at any time prior to July 21, 2025 (i) the last reported sale price of Class A common stock equals or exceeds $12.00 per share for any 20 trading days within any 30-trading day period or (ii) we consummate a transaction that results in our stockholders having the right to exchange their shares of Class A common stock for cash, securities, or other property having a value equal to or exceeding $12.00 per share, Ascendant Sponsor L.P., a Cayman Islands exempted limited partnership and related parties (the “Sponsor”) will be entitled to the release from escrow of 1,525,500 shares of our Class A common stock (representing 50% of the 3,051,000 shares subject to the earn-out escrow) and certain members of our management team will be entitled to an aggregate of 1,000,000 newly issued shares of Class A common stock. Furthermore, if at any time prior to July 21, 2025 (i) the last reported sale price of Class A common stock equals or exceeds $14.00 per share for any 20 trading days within any 30-trading day period or (ii) we consummate a transaction that results in our stockholders having the right to exchange their shares of Class A common stock for cash, securities, or other property having a value equal to or exceeding $14.00 per share, the Sponsor will be entitled to the release from escrow of an additional 1,525,500 shares of our Class A common stock (representing the remaining 50% of the 3,051,000 shares subject to the earn-out escrow) (together with the initial 1,525,00 shares of Class A common stock subject to earn-out escrow, the “Sponsor Earnout Shares”) and certain members of our management team will be entitled to an additional 1,000,000 newly issued shares of Class A common stock in the aggregate (together with the initial 1,000,000 shares of Class A common stock to the management team, the “Managing Member Earnout Shares”). To the extent the Management Member Earnout Shares are issued, there will be dilution to the holders of Class A common stock and an increase the number of shares eligible for resale in the public market. Sales of substantial numbers of such shares in the public market or the fact that the Management Member Earnout Shares may be issued could adversely affect the market price of our securities.</w:t>
      </w:r>
    </w:p>
    <w:p>
      <w:pPr>
        <w:spacing w:after="0" w:line="285"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We may issue shares of preferred stock in the future, which could make it difficult for another company to acquire us or could otherwise adversely affect our securityholders, which could depress the price of our securities.</w:t>
      </w:r>
    </w:p>
    <w:p>
      <w:pPr>
        <w:spacing w:after="0" w:line="10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Our Charter authorizes us to issue one or more series of preferred stock. Our Board of Directors will have the authority to determine the relative rights, limitations, preferences, privileges, restrictions, and other terms of the shares of preferred stock and to fix the number of shares constituting any series and the designation of such series, without any further vote or action by stockholders. Our preferred stock could be issued with voting, liquidation, dividend, and other rights superior to the rights of Class A common stock. The potential issuance of preferred stock may delay or prevent a change in control of us, discourage bids for our securities at a premium to the market price, and materially and adversely affect the market price and the voting and other rights of the holders of our securities.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As a result of our business combination with a special purpose acquisition company, regulatory obligations may impact us differently than other publicly traded companies.</w:t>
      </w:r>
    </w:p>
    <w:p>
      <w:pPr>
        <w:spacing w:after="0" w:line="168"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6"/>
          <w:szCs w:val="16"/>
          <w:color w:val="auto"/>
        </w:rPr>
        <w:t>On July 21, 2021, we consummated the Transactions with Ascendant Digital Acquisition Corp., a special purpose acquisition company (“ADAC”), pursuant to which we became a publicly traded company. As a result of this transaction, regulatory obligations have, and may continue, to impact us differently than other publicly traded companies. For instance, the SEC and other regulatory agencies may issue additional guidance or apply further regulatory scrutiny to companies like us that have completed a business combination with a special purpose acquisition company. Managing this regulatory environment, which has and may continue to evolve, could divert management’s attention from the operation of our business, negatively impact our ability to raise additional capital when needed, or have an adverse effect on the price of our securities.</w:t>
      </w:r>
    </w:p>
    <w:p>
      <w:pPr>
        <w:spacing w:after="0" w:line="116"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The requirements of being a public company require significant resources and management attention and affect our ability to attract and retain executive management and qualified members to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35" w:name="page36"/>
    <w:bookmarkEnd w:id="35"/>
    <w:p>
      <w:pPr>
        <w:spacing w:after="0" w:line="246" w:lineRule="auto"/>
        <w:rPr>
          <w:sz w:val="20"/>
          <w:szCs w:val="20"/>
          <w:color w:val="auto"/>
        </w:rPr>
      </w:pPr>
      <w:r>
        <w:rPr>
          <w:rFonts w:ascii="Times New Roman" w:cs="Times New Roman" w:eastAsia="Times New Roman" w:hAnsi="Times New Roman"/>
          <w:sz w:val="16"/>
          <w:szCs w:val="16"/>
          <w:color w:val="auto"/>
        </w:rPr>
        <w:t>As a public company, we have, and will continue to incur legal, regulatory, finance, accounting, investor relations, and other expenses that we did not previously incur as a private company, including costs associated with public company reporting requirements and costs of recruiting and retaining non-executive directors. We are now subject to the Exchange Act, including the reporting requirements thereunder, SOX, the Dodd-Frank Wall Street Reform and Consumer Protection Act, the Nasdaq rules and other applicable securities rules and regulations. Compliance with these rules and regulations will increase our legal and financial compliance costs, make some activities more difficult, time-consuming, or costly (although these costs currently unable to be estimated with any degree of certainty), and increase demand on our systems and resources, particularly after we are no longer an “emerging growth company” or a “smaller reporting company.” The expenses incurred by public companies generally for reporting and corporate governance purposes have been increasing. Our management will need to devote a substantial amount of time to ensure that we comply with all of these requirements, diverting the attention of management away from revenue-producing activities. Further, these rules and regulations may make it more difficult and more expensive for us to obtain certain types of insurance, including directors’ and officers’ liability insurance, which could make it more difficult for us to attract and retain qualified members of our Board of Directors. We may be forced to accept reduced policy limits and coverage or incur substantially higher costs to obtain the same or similar coverage. In addition, enhanced legal and regulatory regimes and heightened standards relating to corporate governance and disclosure for public companies result in increased legal and financial compliance costs and make some activities more time consuming.</w:t>
      </w:r>
    </w:p>
    <w:p>
      <w:pPr>
        <w:spacing w:after="0" w:line="122"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6"/>
          <w:szCs w:val="16"/>
          <w:color w:val="auto"/>
        </w:rPr>
        <w:t>Pursuant to Section 404 of SOX, once we are no longer an emerging growth company or a smaller reporting company, we may be required to furnish an attestation report on internal control over financial reporting issued by our independent registered public accounting firm. When our independent registered public accounting firm is required to undertake an assessment of our internal control over financial reporting, the cost of complying with Section 404 of SOX will significantly increase, and management’s attention may be further diverted from other business concerns, which could adversely affect our business and results of operations. We may need to hire more employees in the future or engage outside consultants to comply with the requirements of Section 404 of SOX, which will further increase cost and expense.</w:t>
      </w:r>
    </w:p>
    <w:p>
      <w:pPr>
        <w:spacing w:after="0" w:line="118"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6"/>
          <w:szCs w:val="16"/>
          <w:color w:val="auto"/>
        </w:rPr>
        <w:t>If we are unable to satisfy its obligations as a public company, we could be subject to delisting of our Class A common stock, fines, sanctions, and other regulatory actions and potentially civil litigation.</w:t>
      </w:r>
    </w:p>
    <w:p>
      <w:pPr>
        <w:spacing w:after="0" w:line="102"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We have previously identified material weaknesses in our internal control over financial reporting and may identify additional material weaknesses in the future that may cause us to fail to meet our reporting obligations or result in material misstatements of its financial statements. If we fail to remediate any material weaknesses or if we fail to establish and maintain effective control over financial reporting, our ability to accurately and timely report financial results could be adversely affected.</w:t>
      </w:r>
    </w:p>
    <w:p>
      <w:pPr>
        <w:spacing w:after="0" w:line="11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U.S. generally accepted accounting principles. A material weakness is a deficiency, or a combination of deficiencies, in internal control over financial reporting such that there is a reasonable possibility that a material misstatement of annual or interim financial statements will not be prevented or detected on a timely basis.</w:t>
      </w:r>
    </w:p>
    <w:p>
      <w:pPr>
        <w:spacing w:after="0" w:line="116" w:lineRule="exact"/>
        <w:rPr>
          <w:sz w:val="20"/>
          <w:szCs w:val="20"/>
          <w:color w:val="auto"/>
        </w:rPr>
      </w:pPr>
    </w:p>
    <w:p>
      <w:pPr>
        <w:ind w:right="100"/>
        <w:spacing w:after="0" w:line="310" w:lineRule="auto"/>
        <w:rPr>
          <w:sz w:val="20"/>
          <w:szCs w:val="20"/>
          <w:color w:val="auto"/>
        </w:rPr>
      </w:pPr>
      <w:r>
        <w:rPr>
          <w:rFonts w:ascii="Times New Roman" w:cs="Times New Roman" w:eastAsia="Times New Roman" w:hAnsi="Times New Roman"/>
          <w:sz w:val="14"/>
          <w:szCs w:val="14"/>
          <w:color w:val="auto"/>
        </w:rPr>
        <w:t>Prior to the completion of the Transactions, we had been a private company with limited accounting personnel and other resources to address its internal control over financial reporting. During the course of preparing for the Transactions, our management and independent registered public accounting firm determined that we had material weaknesses in internal controls related to (i) the lack of contemporaneous documentation and account reconciliation and (ii) the lack of a formal or documented risk assessment process.</w:t>
      </w:r>
    </w:p>
    <w:p>
      <w:pPr>
        <w:spacing w:after="0" w:line="78"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6"/>
          <w:szCs w:val="16"/>
          <w:color w:val="auto"/>
        </w:rPr>
        <w:t>We have implemented a number of steps to enhance our internal control over financial reporting and addressed the material weaknesses, including enhancing our internal review procedures related to the financial reporting process and the implementation of new software tools. Our efforts to remediate the material weaknesses identified above were successful as of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386" w:right="359" w:bottom="1440" w:gutter="0" w:footer="0" w:header="0"/>
        </w:sectPr>
      </w:pPr>
    </w:p>
    <w:bookmarkStart w:id="36" w:name="page37"/>
    <w:bookmarkEnd w:id="36"/>
    <w:p>
      <w:pPr>
        <w:spacing w:after="0" w:line="310" w:lineRule="auto"/>
        <w:rPr>
          <w:sz w:val="20"/>
          <w:szCs w:val="20"/>
          <w:color w:val="auto"/>
        </w:rPr>
      </w:pPr>
      <w:r>
        <w:rPr>
          <w:rFonts w:ascii="Times New Roman" w:cs="Times New Roman" w:eastAsia="Times New Roman" w:hAnsi="Times New Roman"/>
          <w:sz w:val="14"/>
          <w:szCs w:val="14"/>
          <w:color w:val="auto"/>
        </w:rPr>
        <w:t>Our failure to remediate additional material weaknesses in the future, could adversely affect our ability to report financial information, including filing of quarterly or annual reports with the SEC on a timely and accurate basis. Moreover, our identification of additional material weaknesses could prohibit us from producing timely and accurate financial statements, which may adversely affect the market price of shares of our Class A common stock and we may be unable to maintain compliance with listing requirements.</w:t>
      </w:r>
    </w:p>
    <w:p>
      <w:pPr>
        <w:spacing w:after="0" w:line="76"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If we fail to maintain effective internal control over financial reporting and disclosure controls and procedures, we may suffer harm to our reputation and investor confidence levels.</w:t>
      </w:r>
    </w:p>
    <w:p>
      <w:pPr>
        <w:spacing w:after="0" w:line="101" w:lineRule="exact"/>
        <w:rPr>
          <w:sz w:val="20"/>
          <w:szCs w:val="20"/>
          <w:color w:val="auto"/>
        </w:rPr>
      </w:pPr>
    </w:p>
    <w:p>
      <w:pPr>
        <w:jc w:val="both"/>
        <w:ind w:right="40"/>
        <w:spacing w:after="0" w:line="252" w:lineRule="auto"/>
        <w:rPr>
          <w:sz w:val="20"/>
          <w:szCs w:val="20"/>
          <w:color w:val="auto"/>
        </w:rPr>
      </w:pPr>
      <w:r>
        <w:rPr>
          <w:rFonts w:ascii="Times New Roman" w:cs="Times New Roman" w:eastAsia="Times New Roman" w:hAnsi="Times New Roman"/>
          <w:sz w:val="16"/>
          <w:szCs w:val="16"/>
          <w:color w:val="auto"/>
        </w:rPr>
        <w:t>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its reporting obligations as a public company. If we are unable to maintain appropriate internal financial reporting controls and procedures, it could cause us to fail to meet our reporting obligations on a timely basis, result in material misstatements in our consolidated financial statements, and harm our operating results.</w:t>
      </w:r>
    </w:p>
    <w:p>
      <w:pPr>
        <w:spacing w:after="0" w:line="116"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6"/>
          <w:szCs w:val="16"/>
          <w:color w:val="auto"/>
        </w:rPr>
        <w:t>In connection with the implementation of the necessary procedures and practices related to internal control over financial reporting, we may identify additional deficiencies that we may not be able to remediate in time to meet the deadline imposed by SOX for compliance with the requirements of Section 404 of SOX.</w:t>
      </w:r>
    </w:p>
    <w:p>
      <w:pPr>
        <w:spacing w:after="0" w:line="104"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6"/>
          <w:szCs w:val="16"/>
          <w:color w:val="auto"/>
        </w:rPr>
        <w:t>If we fail to implement the requirements of Section 404 of SOX in the required timeframe once we are no longer an emerging growth company or a smaller reporting company, we may be subject to sanctions or investigations by regulatory authorities, including the SEC and the Nasdaq. Furthermore, if we are unable to conclude that our internal controls over financial reporting is effective, we could lose investor confidence in the accuracy and completeness of our financial reports, the market price of our securities could decline, and we could be subject to sanctions or investigations by regulatory authorities. Failure to implement or maintain effective internal control over financial reporting and disclosure controls and procedures required of public companies could also restrict our future access to the capital markets.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An active, liquid trading market for our securities may not develop or be sustained.</w:t>
      </w:r>
    </w:p>
    <w:p>
      <w:pPr>
        <w:spacing w:after="0" w:line="145"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4"/>
          <w:szCs w:val="14"/>
          <w:color w:val="auto"/>
        </w:rPr>
        <w:t>There can be no assurance that an active trading market for our Class A common stock will develop or, if such a market develops, that we will be able to maintain an active trading market for those securities on the Nasdaq or any other exchange in the future. If an active market for our securities does not develop or is not maintained, or if MarketWise, Inc. fails to satisfy the continued listing standards of the Nasdaq for any reason and its securities are delisted, it may be difficult for our securityholders to sell their securities without depressing the market price for the securities or at all. An inactive trading market may also impair our ability to both raise capital by selling shares of capital stock, attract and motivate employees through equity incentive awards and acquire other companies, products, or technologies by using shares of capital stock as consideration.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The market price and trading volume of our securities has been volatile, could decline significantly, and you could lose all or part of your investment.</w:t>
      </w:r>
    </w:p>
    <w:p>
      <w:pPr>
        <w:spacing w:after="0" w:line="145"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4"/>
          <w:szCs w:val="14"/>
          <w:color w:val="auto"/>
        </w:rPr>
        <w:t>Securities markets worldwide experience significant price and volume fluctuations. This market volatility, as well as general economic, market, or political conditions, could reduce the market price of our Class A common stock in spite of our operating performance, which may limit or prevent investors from readily selling their Class A common stock and may otherwise negatively affect the liquidity of our Class A common stock. There can be no assurance that the market price of Class A common stock will not continue to fluctuate widely or decline significantly in the future, or that you will lose all or part of your investment, in response to a number of factors, including, among others, the following:</w:t>
      </w:r>
    </w:p>
    <w:p>
      <w:pPr>
        <w:spacing w:after="0" w:line="86" w:lineRule="exact"/>
        <w:rPr>
          <w:sz w:val="20"/>
          <w:szCs w:val="20"/>
          <w:color w:val="auto"/>
        </w:rPr>
      </w:pPr>
    </w:p>
    <w:p>
      <w:pPr>
        <w:ind w:left="560" w:hanging="286"/>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fluctuations in our annual or quarterly financial condition and operating results;</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actual or anticipated changes in our growth rate relative to our competitors;</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failure to meet or exceed financial estimates and projections of the investment community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37" w:name="page38"/>
    <w:bookmarkEnd w:id="37"/>
    <w:p>
      <w:pPr>
        <w:ind w:left="560" w:hanging="286"/>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speculation in the press or investment community about our business or industry;</w:t>
      </w:r>
    </w:p>
    <w:p>
      <w:pPr>
        <w:spacing w:after="0" w:line="143" w:lineRule="exact"/>
        <w:rPr>
          <w:rFonts w:ascii="Times New Roman" w:cs="Times New Roman" w:eastAsia="Times New Roman" w:hAnsi="Times New Roman"/>
          <w:sz w:val="16"/>
          <w:szCs w:val="16"/>
          <w:color w:val="auto"/>
        </w:rPr>
      </w:pPr>
    </w:p>
    <w:p>
      <w:pPr>
        <w:ind w:left="560" w:right="20" w:hanging="286"/>
        <w:spacing w:after="0" w:line="268" w:lineRule="auto"/>
        <w:tabs>
          <w:tab w:leader="none" w:pos="556"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issuance of new or updated research or reports by securities analysts, or the failure of securities analysts to provide adequate coverage of our Class A common stock in the future;</w:t>
      </w:r>
    </w:p>
    <w:p>
      <w:pPr>
        <w:spacing w:after="0" w:line="10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the valuation of companies perceived by investors to be comparable to us;</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A common stock and volume fluctuations attributable to inconsistent trading volume levels of our Class A common stock;</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additions or departures of key personnel;</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disputes or other developments related to proprietary rights;</w:t>
      </w:r>
    </w:p>
    <w:p>
      <w:pPr>
        <w:spacing w:after="0" w:line="143" w:lineRule="exact"/>
        <w:rPr>
          <w:rFonts w:ascii="Times New Roman" w:cs="Times New Roman" w:eastAsia="Times New Roman" w:hAnsi="Times New Roman"/>
          <w:sz w:val="16"/>
          <w:szCs w:val="16"/>
          <w:color w:val="auto"/>
        </w:rPr>
      </w:pPr>
    </w:p>
    <w:p>
      <w:pPr>
        <w:ind w:left="560" w:right="180" w:hanging="286"/>
        <w:spacing w:after="0" w:line="268" w:lineRule="auto"/>
        <w:tabs>
          <w:tab w:leader="none" w:pos="556"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additional or unexpected changes or proposed changes in laws or regulations or differing interpretations thereof affecting our business or enforcement of these laws and regulations, or announcements relating to these matters;</w:t>
      </w:r>
    </w:p>
    <w:p>
      <w:pPr>
        <w:spacing w:after="0" w:line="10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announcement or expectation of additional equity or debt financing efforts;</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equity sales by us, the MarketWise Members, our insiders, or our other stockholders;</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and market conditions, including any impacts associated with inflation and increased interest rates; and</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factors described in this “Risk Factors” section and elsewhere in this report.</w:t>
      </w:r>
    </w:p>
    <w:p>
      <w:pPr>
        <w:spacing w:after="0" w:line="143" w:lineRule="exact"/>
        <w:rPr>
          <w:sz w:val="20"/>
          <w:szCs w:val="20"/>
          <w:color w:val="auto"/>
        </w:rPr>
      </w:pPr>
    </w:p>
    <w:p>
      <w:pPr>
        <w:jc w:val="both"/>
        <w:ind w:right="100"/>
        <w:spacing w:after="0" w:line="250" w:lineRule="auto"/>
        <w:rPr>
          <w:sz w:val="20"/>
          <w:szCs w:val="20"/>
          <w:color w:val="auto"/>
        </w:rPr>
      </w:pPr>
      <w:r>
        <w:rPr>
          <w:rFonts w:ascii="Times New Roman" w:cs="Times New Roman" w:eastAsia="Times New Roman" w:hAnsi="Times New Roman"/>
          <w:sz w:val="16"/>
          <w:szCs w:val="16"/>
          <w:color w:val="auto"/>
        </w:rPr>
        <w:t>In addition, broad market and industry factors may negatively affect the market price of our Class A common stock, regardless of our actual operating performance, and factors beyond our control may cause our stock price to decline rapidly and unexpectedly. In addition, 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harm our business, financial condition, results of operations or prospects. Any adverse determination in litigation could also subject us to significant liabilities.</w:t>
      </w:r>
    </w:p>
    <w:p>
      <w:pPr>
        <w:spacing w:after="0" w:line="116"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If securities or industry analysts do not publish research or publish inaccurate or unfavorable research about our business, the price and trading volume of our securities could decline.</w:t>
      </w:r>
    </w:p>
    <w:p>
      <w:pPr>
        <w:spacing w:after="0" w:line="10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The trading market for our securities depends in part on the research and reports that securities or industry analysts publish about us or our business. We will not control these analysts, and the analysts who publish information about us may have relatively little experience with us or our industry, which could affect their ability to accurately forecast our results and could make it more likely that we fail to meet their estimates. If few or no securities or industry analysts cover us, the trading price for our securities would be negatively impacted. If one or more of the analysts who covers us downgrades our securities, publishes incorrect or unfavorable research about us, ceases coverage of us, or fails to publish reports on us regularly, demand for and visibility of our securities could decrease, which could cause the price or trading volumes of our securities to decline.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We may be subject to securities class action, which may harm our business and operating results.</w:t>
      </w:r>
    </w:p>
    <w:p>
      <w:pPr>
        <w:spacing w:after="0" w:line="14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6"/>
          <w:szCs w:val="16"/>
          <w:color w:val="auto"/>
        </w:rPr>
        <w:t>Companies that have experienced volatility in the market price of their stock have been subject to securities class action litigation. We may be the target of this type of litigation in the future. Securities litigation against us could result in substantial costs and damages, and divert management’s attention from other business concerns, which could seriously harm our business, results of operations, financial condition, or cash flows.</w:t>
      </w:r>
    </w:p>
    <w:p>
      <w:pPr>
        <w:spacing w:after="0" w:line="1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We may also be called on to defend ourselves against lawsuits relating to our business operations. Some of these claims may seek significant damages amounts. Due to the inherent uncertainties of litigation, the ultimate outcome of any such proceedings cannot be accurately predicted. A future unfavorable outcome in a legal proceeding could have an adverse impact on our business, financial condition, and results of operations. In addition,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00"/>
          </w:cols>
          <w:pgMar w:left="320" w:top="1386" w:right="379" w:bottom="1440" w:gutter="0" w:footer="0" w:header="0"/>
        </w:sectPr>
      </w:pPr>
    </w:p>
    <w:bookmarkStart w:id="38" w:name="page39"/>
    <w:bookmarkEnd w:id="38"/>
    <w:p>
      <w:pPr>
        <w:ind w:right="200"/>
        <w:spacing w:after="0" w:line="268" w:lineRule="auto"/>
        <w:rPr>
          <w:sz w:val="20"/>
          <w:szCs w:val="20"/>
          <w:color w:val="auto"/>
        </w:rPr>
      </w:pPr>
      <w:r>
        <w:rPr>
          <w:rFonts w:ascii="Times New Roman" w:cs="Times New Roman" w:eastAsia="Times New Roman" w:hAnsi="Times New Roman"/>
          <w:sz w:val="16"/>
          <w:szCs w:val="16"/>
          <w:color w:val="auto"/>
        </w:rPr>
        <w:t>current and future litigation, regardless of its merits, could result in substantial legal fees, settlements, or judgment costs and a diversion of management’s attention and resources that are needed to successfully run our business.</w:t>
      </w:r>
    </w:p>
    <w:p>
      <w:pPr>
        <w:spacing w:after="0" w:line="102"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Continued payment of dividends on our Class A common stock are subject to the continued discretion of our Board of Directors and, consequently, shareholders’ ability to achieve a return on their investment could become limited to appreciation in the price of our common stock.</w:t>
      </w:r>
    </w:p>
    <w:p>
      <w:pPr>
        <w:spacing w:after="0" w:line="10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In 2023, we commenced paying quarterly dividends on shares of our Class A common stock. Our continued declaration and payment of dividends and institution of any other distributions of capital to shareholders will nonetheless be at the discretion of our Board of Directors and will depend on many factors, including our earnings, financial condition and results of operations, capital requirements, level of indebtedness, covenants contained within agreements governing our indebtedness, contractual restrictions with respect to payment of dividends, ability to obtain cash or other assets from our subsidiaries, restrictions imposed by applicable law, general business conditions and other factors that our Board of Directors may deem relevant. There can be no assurance that we will continue to pay dividends in the future. Therefore, the success of an investment in shares of our Class A common stock may in the future depend only upon any future appreciation in their value. There is no guarantee that shares of our Class A common stock will appreciate or even maintain their value.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Investments in equity securities are subject to loss in value.</w:t>
      </w:r>
    </w:p>
    <w:p>
      <w:pPr>
        <w:spacing w:after="0" w:line="145"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4"/>
          <w:szCs w:val="14"/>
          <w:color w:val="auto"/>
        </w:rPr>
        <w:t xml:space="preserve">The Company may allocate a portion of its cash on hand to investments meeting pre-determined guidelines, including U.S.-listed equity securities, with the objective to provide an acceptable rate of return while complying with established risk tolerances and liquidity parameters. See </w:t>
      </w:r>
      <w:r>
        <w:rPr>
          <w:rFonts w:ascii="Times New Roman" w:cs="Times New Roman" w:eastAsia="Times New Roman" w:hAnsi="Times New Roman"/>
          <w:sz w:val="14"/>
          <w:szCs w:val="14"/>
          <w:i w:val="1"/>
          <w:iCs w:val="1"/>
          <w:color w:val="auto"/>
        </w:rPr>
        <w:t>Item 7 “Management’s Discussion &amp; Analysis of Financial Condition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Results of Operations – Liquidity and Capital Resources” </w:t>
      </w:r>
      <w:r>
        <w:rPr>
          <w:rFonts w:ascii="Times New Roman" w:cs="Times New Roman" w:eastAsia="Times New Roman" w:hAnsi="Times New Roman"/>
          <w:sz w:val="14"/>
          <w:szCs w:val="14"/>
          <w:color w:val="auto"/>
        </w:rPr>
        <w:t>for more information. The Company’s holdings may be concentrated in a relatively small number of issuers. A significant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decline in the market value of our investments, which are exposed to market volatility, may negatively affect the Company’s financial condition and results of operations. Additionally, we are required under accounting principles to include changes in unrealized gains and losses on equity securities in the Company’s reported net income (loss), even though the Company has not actually realized any gain or loss by selling such securities. Accordingly, changes in the market prices of such securities can have a significant impact on the Company’s reported results for the period, even though those changes do not bear on the performance of the Company’s operating business.</w:t>
      </w:r>
    </w:p>
    <w:p>
      <w:pPr>
        <w:spacing w:after="0" w:line="91"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Delaware law and our Charter and Bylaws contain certain provisions, including anti-takeover provisions, that limit the ability of stockholders to take certain actions and could delay or discourage takeover attempts that stockholders may consider favorable.</w:t>
      </w:r>
    </w:p>
    <w:p>
      <w:pPr>
        <w:spacing w:after="0" w:line="101"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6"/>
          <w:szCs w:val="16"/>
          <w:color w:val="auto"/>
        </w:rPr>
        <w:t>Our Charter and Bylaws and the General Corporation Law of the State of Delaware (the “DGCL”), contain provisions that could have the effect of rendering more difficult, delaying, or preventing an acquisition that stockholders may consider favorable, including transactions in which stockholders might otherwise receive a premium for their shares. These provisions could also limit the price that investors might be willing to pay in the future for shares of our common stock, and therefore depress the trading price of our Class A common stock. These provisions could also make it difficult for stockholders to take certain actions, including electing directors who are not nominated by the current members of our Board of Directors or taking other corporate actions, including effecting changes in our management. Among other things, Charter and Bylaws include the following provisions:</w:t>
      </w:r>
    </w:p>
    <w:p>
      <w:pPr>
        <w:spacing w:after="0" w:line="122" w:lineRule="exact"/>
        <w:rPr>
          <w:sz w:val="20"/>
          <w:szCs w:val="20"/>
          <w:color w:val="auto"/>
        </w:rPr>
      </w:pPr>
    </w:p>
    <w:p>
      <w:pPr>
        <w:ind w:left="560" w:hanging="286"/>
        <w:spacing w:after="0"/>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classified Board of Directors with staggered, three-year terms;</w:t>
      </w:r>
    </w:p>
    <w:p>
      <w:pPr>
        <w:spacing w:after="0" w:line="143" w:lineRule="exact"/>
        <w:rPr>
          <w:rFonts w:ascii="Times New Roman" w:cs="Times New Roman" w:eastAsia="Times New Roman" w:hAnsi="Times New Roman"/>
          <w:sz w:val="16"/>
          <w:szCs w:val="16"/>
          <w:color w:val="auto"/>
        </w:rPr>
      </w:pPr>
    </w:p>
    <w:p>
      <w:pPr>
        <w:ind w:left="560" w:right="80" w:hanging="286"/>
        <w:spacing w:after="0" w:line="268" w:lineRule="auto"/>
        <w:tabs>
          <w:tab w:leader="none" w:pos="556"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our Board of Directors to issue shares of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spacing w:after="0" w:line="10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prohibition on cumulative voting in the election of directors, which limits the ability of minority stockholders to elect director candidates;</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limitation of the liability of, and the indemnification of, our directors and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386" w:right="319" w:bottom="1440" w:gutter="0" w:footer="0" w:header="0"/>
        </w:sectPr>
      </w:pPr>
    </w:p>
    <w:bookmarkStart w:id="39" w:name="page40"/>
    <w:bookmarkEnd w:id="39"/>
    <w:p>
      <w:pPr>
        <w:ind w:left="560" w:hanging="286"/>
        <w:spacing w:after="0" w:line="268" w:lineRule="auto"/>
        <w:tabs>
          <w:tab w:leader="none" w:pos="55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our Board of Directors to amend the Bylaws, which may allow our Board of Directors to take additional actions to prevent an unsolicited takeover and inhibit the ability of an acquirer to amend the Bylaws to facilitate an unsolicited takeover attempt; and</w:t>
      </w:r>
    </w:p>
    <w:p>
      <w:pPr>
        <w:spacing w:after="0" w:line="103" w:lineRule="exact"/>
        <w:rPr>
          <w:rFonts w:ascii="Times New Roman" w:cs="Times New Roman" w:eastAsia="Times New Roman" w:hAnsi="Times New Roman"/>
          <w:sz w:val="16"/>
          <w:szCs w:val="16"/>
          <w:color w:val="auto"/>
        </w:rPr>
      </w:pPr>
    </w:p>
    <w:p>
      <w:pPr>
        <w:ind w:left="560" w:right="320" w:hanging="286"/>
        <w:spacing w:after="0" w:line="252" w:lineRule="auto"/>
        <w:tabs>
          <w:tab w:leader="none" w:pos="55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advance notice procedures with which stockholders must comply to nominate candidates to our Board of Directors or to propose matters to be acted upon at a stockholders’ meeting, which could preclude stockholders from bringing matters before annual or special meetings of stockholders and delay changes in our Board of Directors and also may discourage or deter a potential acquirer from conducting a solicitation of proxies to elect the acquirer’s own slate of directors or otherwise attempting to obtain control of us.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These provisions, alone or together, could delay or prevent hostile takeovers and changes in control or changes in our Board of Directors or management.</w:t>
      </w:r>
    </w:p>
    <w:p>
      <w:pPr>
        <w:spacing w:after="0" w:line="141"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The provisions of our Charter requiring exclusive forum in the Court of Chancery of the State of Delaware and the federal district courts of the United States for certain types of lawsuits may have the effect of discouraging lawsuits against our directors and officers.</w:t>
      </w:r>
    </w:p>
    <w:p>
      <w:pPr>
        <w:spacing w:after="0" w:line="101"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6"/>
          <w:szCs w:val="16"/>
          <w:color w:val="auto"/>
        </w:rPr>
        <w:t>Our Charter provides that, to the fullest extent permitted by law, and unless we consent in writing to the selection of an alternative forum, the Court of Chancery of the State of Delaware (or, in the event that the Chancery Court does not have jurisdiction, the federal district court for the District of Delaware) will be the sole and exclusive forum for (i) any derivative action, suit or proceeding brought on our behalf, (ii) any action asserting a claim of breach of a fiduciary duty owed by any of our current or former directors, officers, other employees, or stockholders to us or our stockholders, (iii) any action asserting a claim arising pursuant to any provision of the DGCL or our Bylaws or Charter (as each may be amended from time to time) or as to which the DGCL confers exclusive jurisdiction on the Court of Chancery of the State of Delaware, or (iv) any action asserting a claim governed by the internal affairs doctrine. Our Charter also provides that,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However, there is uncertainty as to whether a court would enforce such provision, and investors cannot waive compliance with federal securities laws and the rules and regulations thereunder. Section 27 of the Exchange Act creates exclusive federal jurisdiction over all suits brought to enforce any duty or liability created by the Exchange Act or the rules and regulations thereunder and our Charter provides that the exclusive forum provision will not apply to claims seeking to enforce any liability or duty created by the Exchange Act.</w:t>
      </w:r>
    </w:p>
    <w:p>
      <w:pPr>
        <w:spacing w:after="0" w:line="124" w:lineRule="exact"/>
        <w:rPr>
          <w:sz w:val="20"/>
          <w:szCs w:val="20"/>
          <w:color w:val="auto"/>
        </w:rPr>
      </w:pPr>
    </w:p>
    <w:p>
      <w:pPr>
        <w:jc w:val="both"/>
        <w:ind w:right="320"/>
        <w:spacing w:after="0" w:line="256" w:lineRule="auto"/>
        <w:rPr>
          <w:sz w:val="20"/>
          <w:szCs w:val="20"/>
          <w:color w:val="auto"/>
        </w:rPr>
      </w:pPr>
      <w:r>
        <w:rPr>
          <w:rFonts w:ascii="Times New Roman" w:cs="Times New Roman" w:eastAsia="Times New Roman" w:hAnsi="Times New Roman"/>
          <w:sz w:val="16"/>
          <w:szCs w:val="16"/>
          <w:color w:val="auto"/>
        </w:rPr>
        <w:t>These provisions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Charter to be inapplicable or unenforceable in such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386" w:right="359" w:bottom="1440" w:gutter="0" w:footer="0" w:header="0"/>
        </w:sectPr>
      </w:pPr>
    </w:p>
    <w:bookmarkStart w:id="40" w:name="page41"/>
    <w:bookmarkEnd w:id="40"/>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1B. Unresolved Staff Comments.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1C. Cybersecurity.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Cybersecurity Risk Management and Strategy</w:t>
      </w:r>
    </w:p>
    <w:p>
      <w:pPr>
        <w:spacing w:after="0" w:line="14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6"/>
          <w:szCs w:val="16"/>
          <w:color w:val="auto"/>
        </w:rPr>
        <w:t>We maintain a cybersecurity program, including policies and procedures designed to protect our systems, operations, and the data utilized and entrusted to us, including by us, from anticipated threats or hazards. We utilize a variety of protective measures as a part of our cybersecurity program. These measures include, where appropriate, access controls, patch management, identity verification and endpoint management software, employee cybersecurity awareness training programs, tools to report anomalous activity, and monitoring of data usage, hardware and software.</w:t>
      </w:r>
    </w:p>
    <w:p>
      <w:pPr>
        <w:spacing w:after="0" w:line="114"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 xml:space="preserve">Incident Response and Recovery Planning. </w:t>
      </w:r>
      <w:r>
        <w:rPr>
          <w:rFonts w:ascii="Times New Roman" w:cs="Times New Roman" w:eastAsia="Times New Roman" w:hAnsi="Times New Roman"/>
          <w:sz w:val="16"/>
          <w:szCs w:val="16"/>
          <w:color w:val="auto"/>
        </w:rPr>
        <w:t>We have established and maintain incident response and recovery plans that address our response to a cybersecurity incident, and such</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plans are evaluated on a regular basis.</w:t>
      </w:r>
    </w:p>
    <w:p>
      <w:pPr>
        <w:spacing w:after="0" w:line="99"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 xml:space="preserve">Third-Party Risk Management. </w:t>
      </w:r>
      <w:r>
        <w:rPr>
          <w:rFonts w:ascii="Times New Roman" w:cs="Times New Roman" w:eastAsia="Times New Roman" w:hAnsi="Times New Roman"/>
          <w:sz w:val="16"/>
          <w:szCs w:val="16"/>
          <w:color w:val="auto"/>
        </w:rPr>
        <w:t>We maintain a risk-based approach to identifying and overseeing cybersecurity risks presented by third parties, including vendors, service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providers and other external users of our systems, as well as the systems of third parties that could adversely impact our business in the event of a cybersecurity incident affecting those third-party systems.</w:t>
      </w:r>
    </w:p>
    <w:p>
      <w:pPr>
        <w:spacing w:after="0" w:line="111"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 xml:space="preserve">Education and Awareness. </w:t>
      </w:r>
      <w:r>
        <w:rPr>
          <w:rFonts w:ascii="Times New Roman" w:cs="Times New Roman" w:eastAsia="Times New Roman" w:hAnsi="Times New Roman"/>
          <w:sz w:val="16"/>
          <w:szCs w:val="16"/>
          <w:color w:val="auto"/>
        </w:rPr>
        <w:t>We provide regular training for our employees regarding cybersecurity threats and our security policies to equip our employees with tools to address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cybersecurity threats, and to communicate our evolving information security policies, standards, processes and practices.</w:t>
      </w:r>
    </w:p>
    <w:p>
      <w:pPr>
        <w:spacing w:after="0" w:line="10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In addition to our internal exercises to test aspects of our cybersecurity program, we periodically engage independent third parties to assess the risks associated with our information technology resources and information assets. Among other matters, these third parties analyze data on the interactions of users of our information technology resources, including our employees, and conduct penetration tests and scanning exercises to assess the performance of our cybersecurity systems and processes.</w:t>
      </w:r>
    </w:p>
    <w:p>
      <w:pPr>
        <w:spacing w:after="0" w:line="11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6"/>
          <w:szCs w:val="16"/>
          <w:color w:val="auto"/>
        </w:rPr>
        <w:t>We have not identified any cybersecurity threats that have materially affected or are reasonably likely to materially affect our business strategy, results of operations, cash flows, or financial condition. However, despite our efforts, we cannot eliminate all risks from cybersecurity threats, or provide assurances that we have not experienced undetected cybersecurity incidents.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Cybersecurity Governance</w:t>
      </w:r>
    </w:p>
    <w:p>
      <w:pPr>
        <w:spacing w:after="0" w:line="145"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4"/>
          <w:szCs w:val="14"/>
          <w:color w:val="auto"/>
        </w:rPr>
        <w:t>Our Board, in coordination with the Nominating and Governance (“Nom Gov”) Committee, oversees our cybersecurity program, including the management of risks from cybersecurity threats. The Nom Gov Committee receives regular presentations and reports on cybersecurity risks from our Chief Information Officer (“CIO”), which address a wide range of topics including recent developments, vulnerability assessments, third-party and independent reviews, the threat environment, incident response planning, remediation efforts, employee training and awareness (including the results of our annual cybersecurity training), and information security considerations arising with respect to our peers and third parties. On a regular basis, our Nom Gov Committee discusses our approach to cybersecurity risk management with our CIO, including planned initiatives to help the Board evaluate the effectiveness of our cybersecurity program. The Board receives occasional updates from the Nom Gov Committee and CIO on the effectiveness of our cybersecurity program. When appropriate, the Board also receives reports concerning the detection, mitigation and remediation of cybersecurity threats and incidents</w:t>
      </w:r>
    </w:p>
    <w:p>
      <w:pPr>
        <w:spacing w:after="0" w:line="93" w:lineRule="exact"/>
        <w:rPr>
          <w:sz w:val="20"/>
          <w:szCs w:val="20"/>
          <w:color w:val="auto"/>
        </w:rPr>
      </w:pPr>
    </w:p>
    <w:p>
      <w:pPr>
        <w:ind w:right="260"/>
        <w:spacing w:after="0" w:line="341" w:lineRule="auto"/>
        <w:rPr>
          <w:sz w:val="20"/>
          <w:szCs w:val="20"/>
          <w:color w:val="auto"/>
        </w:rPr>
      </w:pPr>
      <w:r>
        <w:rPr>
          <w:rFonts w:ascii="Times New Roman" w:cs="Times New Roman" w:eastAsia="Times New Roman" w:hAnsi="Times New Roman"/>
          <w:sz w:val="14"/>
          <w:szCs w:val="14"/>
          <w:color w:val="auto"/>
        </w:rPr>
        <w:t>Our CIO has over 25 years of software engineering experience including over ten years of being responsible for MarketWise’s cybersecurity. In coordination with our executive team, our CIO and our Senior Vice President of IT Operations work collaboratively across the Company to implement a program intended to protect our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ind w:right="240"/>
        <w:spacing w:after="0" w:line="268" w:lineRule="auto"/>
        <w:rPr>
          <w:sz w:val="20"/>
          <w:szCs w:val="20"/>
          <w:color w:val="auto"/>
        </w:rPr>
      </w:pPr>
      <w:r>
        <w:rPr>
          <w:rFonts w:ascii="Times New Roman" w:cs="Times New Roman" w:eastAsia="Times New Roman" w:hAnsi="Times New Roman"/>
          <w:sz w:val="16"/>
          <w:szCs w:val="16"/>
          <w:color w:val="auto"/>
        </w:rPr>
        <w:t>systems from cybersecurity threats and to promptly respond to any cybersecurity incidents in accordance with our incident response plan. Our CIO and management monitor the prevention, detection, mitigation and remediation of cybersecurity threats and incidents in real time and report such threats and incidents to the Board.</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2. Properties.</w:t>
      </w:r>
    </w:p>
    <w:p>
      <w:pPr>
        <w:spacing w:after="0" w:line="145"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6"/>
          <w:szCs w:val="16"/>
          <w:color w:val="auto"/>
        </w:rPr>
        <w:t>We lease all of our properties and do not own any real property. Our headquarters house our executive management team, content-producing teams, and the functional groups of information technology, accounting and finance, human resources, and legal.</w:t>
      </w:r>
    </w:p>
    <w:p>
      <w:pPr>
        <w:spacing w:after="0" w:line="10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6"/>
          <w:szCs w:val="16"/>
          <w:color w:val="auto"/>
        </w:rPr>
        <w:t>For leases that are scheduled to expire during the next 12 months, we may negotiate new lease agreements, renew existing lease agreements, or use alternate facilities. We believe that our properties are adequate for our needs and believe that we should be able to renew any of these leases or secure similar property without an adverse impact on our operations.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6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Location</w:t>
            </w:r>
          </w:p>
        </w:tc>
        <w:tc>
          <w:tcPr>
            <w:tcW w:w="54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Type</w:t>
            </w:r>
          </w:p>
        </w:tc>
        <w:tc>
          <w:tcPr>
            <w:tcW w:w="2160" w:type="dxa"/>
            <w:vAlign w:val="bottom"/>
          </w:tcPr>
          <w:p>
            <w:pPr>
              <w:jc w:val="right"/>
              <w:ind w:right="685"/>
              <w:spacing w:after="0"/>
              <w:rPr>
                <w:sz w:val="20"/>
                <w:szCs w:val="20"/>
                <w:color w:val="auto"/>
              </w:rPr>
            </w:pPr>
            <w:r>
              <w:rPr>
                <w:rFonts w:ascii="Times New Roman" w:cs="Times New Roman" w:eastAsia="Times New Roman" w:hAnsi="Times New Roman"/>
                <w:sz w:val="12"/>
                <w:szCs w:val="12"/>
                <w:b w:val="1"/>
                <w:bCs w:val="1"/>
                <w:color w:val="auto"/>
              </w:rPr>
              <w:t>Square Feet</w:t>
            </w:r>
          </w:p>
        </w:tc>
      </w:tr>
      <w:tr>
        <w:trPr>
          <w:trHeight w:val="20"/>
        </w:trPr>
        <w:tc>
          <w:tcPr>
            <w:tcW w:w="3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190"/>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Baltimore, MD</w:t>
            </w:r>
          </w:p>
        </w:tc>
        <w:tc>
          <w:tcPr>
            <w:tcW w:w="100" w:type="dxa"/>
            <w:vAlign w:val="bottom"/>
            <w:shd w:val="clear" w:color="auto" w:fill="CCEEFF"/>
          </w:tcPr>
          <w:p>
            <w:pPr>
              <w:spacing w:after="0"/>
              <w:rPr>
                <w:sz w:val="16"/>
                <w:szCs w:val="16"/>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Office Space and headquarters</w:t>
            </w: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46,000</w:t>
            </w:r>
          </w:p>
        </w:tc>
      </w:tr>
      <w:tr>
        <w:trPr>
          <w:trHeight w:val="199"/>
        </w:trPr>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Delray Beach, FL</w:t>
            </w:r>
          </w:p>
        </w:tc>
        <w:tc>
          <w:tcPr>
            <w:tcW w:w="5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Office Space</w:t>
            </w: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19,000</w:t>
            </w:r>
          </w:p>
        </w:tc>
      </w:tr>
      <w:tr>
        <w:trPr>
          <w:trHeight w:val="199"/>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Tampa, FL</w:t>
            </w: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Office Space</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w:t>
            </w:r>
          </w:p>
        </w:tc>
      </w:tr>
      <w:tr>
        <w:trPr>
          <w:trHeight w:val="199"/>
        </w:trPr>
        <w:tc>
          <w:tcPr>
            <w:tcW w:w="3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Fernandina Beach, FL</w:t>
            </w:r>
          </w:p>
        </w:tc>
        <w:tc>
          <w:tcPr>
            <w:tcW w:w="5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Office Space</w:t>
            </w: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w:t>
            </w:r>
          </w:p>
        </w:tc>
      </w:tr>
      <w:tr>
        <w:trPr>
          <w:trHeight w:val="199"/>
        </w:trPr>
        <w:tc>
          <w:tcPr>
            <w:tcW w:w="3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Arlington, VA</w:t>
            </w:r>
          </w:p>
        </w:tc>
        <w:tc>
          <w:tcPr>
            <w:tcW w:w="5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Office Space</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r>
    </w:tbl>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3. Legal Proceedings.</w:t>
      </w:r>
    </w:p>
    <w:p>
      <w:pPr>
        <w:spacing w:after="0" w:line="145"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6"/>
          <w:szCs w:val="16"/>
          <w:color w:val="auto"/>
        </w:rPr>
        <w:t>We are subject to various legal proceedings, claims, and governmental inspections, audits, or investigations that arise in the ordinary course of our business. Although the outcomes of these claims cannot be predicted with certainty, in the opinion of management, the ultimate resolution of these matters would not be expected to have a material adverse effect on our financial position, results of operations, or cash flows.</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4. Mine Safety Disclosures.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386" w:right="319" w:bottom="1440" w:gutter="0" w:footer="0" w:header="0"/>
        </w:sectPr>
      </w:pPr>
    </w:p>
    <w:bookmarkStart w:id="42" w:name="page43"/>
    <w:bookmarkEnd w:id="42"/>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PART II</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5. Market for Registrant’s Common Equity, Related Stockholder Matters and Issuer Purchases of Securities.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Information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Class A common stock is traded on The Nasdaq Global Market, or Nasdaq, under the symbol “MKTW.” Our Class B common stock is not listed or traded on any exchange.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Holders</w:t>
      </w:r>
    </w:p>
    <w:p>
      <w:pPr>
        <w:spacing w:after="0" w:line="14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6"/>
          <w:szCs w:val="16"/>
          <w:color w:val="auto"/>
        </w:rPr>
        <w:t>As of December 31, 2023, there were 43 holders of record of our Class A common stock, which does not reflect the beneficial ownership of shares held in nominee name, and 26 holders of record of our Class B common stock.</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 Policy</w:t>
      </w:r>
    </w:p>
    <w:p>
      <w:pPr>
        <w:spacing w:after="0" w:line="14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6"/>
          <w:szCs w:val="16"/>
          <w:color w:val="auto"/>
        </w:rPr>
        <w:t>In 2023, we commenced paying quarterly dividends on shares of our Class A common stock and distributions on our LLC units. We also declared a special dividend and a special distribution on October 18, 2023. There can be no assurance that we will continue to pay dividends in the future.</w:t>
      </w:r>
    </w:p>
    <w:p>
      <w:pPr>
        <w:spacing w:after="0" w:line="10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The payment of any future dividends and distributions will be at the discretion of our Board of Directors and will depend on our results of operations, capital requirements, financial condition, prospects, contractual arrangements, any limitations on payment of dividends present in any debt agreements, and other factors that our Board of Directors may deem relevant.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Use of Proceeds</w:t>
      </w:r>
    </w:p>
    <w:p>
      <w:pPr>
        <w:spacing w:after="0" w:line="14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On July 28, 2020, ADAC consummated its initial public offering of 41,400,000 units, inclusive of 5,400,000 units sold to the underwriters upon the election to fully exercise their over-allotment option, at a price of $10.00 per unit, generating total gross proceeds of $414.0 million. Each unit consisted of one Class A ordinary share of ADAC, and one-third of one redeemable warrant of ADAC. Each whole warrant entitled the holder thereof to purchase one Class A ordinary share, par value $0.0001, for $11.50 per share, subject to adjustment. UBS Securities LLC acted as the sole book-running manager. The securities sold in the offering were registered under the Securities Act on registration statements on Form S-1 (No. 333-239623). The registration statements became effective on July 24, 2020.</w:t>
      </w:r>
    </w:p>
    <w:p>
      <w:pPr>
        <w:spacing w:after="0" w:line="11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6"/>
          <w:szCs w:val="16"/>
          <w:color w:val="auto"/>
        </w:rPr>
        <w:t>Simultaneously with the consummation of the initial public offering and the exercise of the over-allotment option, ADAC consummated a private placement of 10,280,000 Private Placement Warrants (as defined and discussed in our Current Report on Form 8-K filed with the SEC on July 28, 2021) to its Sponsor, Ascendant Sponsor LP, at a price of $1.00 per Private Placement Warrant, generating total additional proceeds of $10,280,000. Such securities were issued pursuant to the exemption from registration contained in Section 4(a)(2) of the Securities Act.</w:t>
      </w:r>
    </w:p>
    <w:p>
      <w:pPr>
        <w:spacing w:after="0" w:line="11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6"/>
          <w:szCs w:val="16"/>
          <w:color w:val="auto"/>
        </w:rPr>
        <w:t>ADAC incurred $23.4 million in transaction costs, including $14.5 million of underwriting fees. Following the initial public offering, the exercise of the over-allotment option and the sale of the Private Placement Warrants, a total of $414.6 million was placed in a trust account. On July 21, 2021, after deducting payments to existing stockholders of $387.7 million in connection with the exercise of their redemption rights, the payment of the $14.5 million of deferred underwriting fees, and a total of $48.8 million in expenses in connection with the Transaction (defined below) paid from the trust account, and after including the proceeds of $150.0 million from the issuance and sale of our Class A common stock from the PIPE investment, we recorded $113.6 million net cash proceeds, which has been used to fund operating expenses.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Securities Authorized for Issuance Under Equity Compensation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00"/>
          </w:cols>
          <w:pgMar w:left="320" w:top="1384"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color w:val="auto"/>
        </w:rPr>
        <w:t>Information regarding the Securities Authorized for Issuance under Equity Compensation Plans can be found under Item 12 of this report.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Issuer Purchases of Equity Securities</w:t>
      </w:r>
    </w:p>
    <w:p>
      <w:pPr>
        <w:spacing w:after="0" w:line="14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In November 2021, our Board of Directors authorized the repurchase of up to $35.0 million in aggregate of shares of our Class A common stock. There were no share repurchases made by or on behalf of MarketWise, Inc. of its common stock during the three months ended December 31, 2023. The share repurchase program expired by its terms on November 3, 2023.</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6. [Reserved.]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b w:val="1"/>
          <w:bCs w:val="1"/>
          <w:color w:val="auto"/>
        </w:rPr>
        <w:t>Item 7. Management’s Discussion and Analysis of Financial Condition and Results of Operations.</w:t>
      </w:r>
    </w:p>
    <w:p>
      <w:pPr>
        <w:spacing w:after="0" w:line="143" w:lineRule="exact"/>
        <w:rPr>
          <w:sz w:val="20"/>
          <w:szCs w:val="20"/>
          <w:color w:val="auto"/>
        </w:rPr>
      </w:pPr>
    </w:p>
    <w:p>
      <w:pPr>
        <w:ind w:right="80"/>
        <w:spacing w:after="0" w:line="295"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the financial condition and results of operations of MarketWise, Inc., a Delaware corporation (“MarketWise,” “the Company,” “we,” “us,” and “our”), should be read together with our audited consolidated financial statements as of December 31, 2023 and 2022 and for each of the years ended December 31, 2023, 2022 and 2021 included elsewhere in this report. The following discussion contains forward-looking statements. Our actual results may differ significantly from those projected in the forward-looking statements. Factors that might cause future results to differ materially from those projected in the forward-looking statements include, but are not limited to, those discussed in the sections entitled “Risk Factors” and “Cautionary Statement Regarding Forward Looking Statements” in this report.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145"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6"/>
          <w:szCs w:val="16"/>
          <w:color w:val="auto"/>
        </w:rPr>
        <w:t>We are a leading multi-brand platform of subscription businesses that provides premium financial research, software, education, and tools for self-directed investors. We offer a comprehensive portfolio of high-quality, independent investment research, as well as several software and analytical tools, on a subscription basis.</w:t>
      </w:r>
    </w:p>
    <w:p>
      <w:pPr>
        <w:spacing w:after="0" w:line="10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MarketWise started in 1999 with the simple idea that, if we could publish intelligent, independent, insightful, and in-depth investment research and treat the subscriber the way we would want to be treated, then subscribers would renew their subscriptions and stay with us. Over the years, we have expanded our business into a comprehensive suite of investment research products and solutions. We now produce a diversified product portfolio from a variety of financial research brands such as Stansberry Research, Chaikin Analytics, InvestorPlace, and TradeSmith. Our entire investment research product portfolio is 100% digital and channel agnostic, and we offer all of our research across a variety of platforms, including desktop, laptop, and mobile devices, including tablets and mobile phones.</w:t>
      </w:r>
    </w:p>
    <w:p>
      <w:pPr>
        <w:spacing w:after="0" w:line="11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6"/>
          <w:szCs w:val="16"/>
          <w:color w:val="auto"/>
        </w:rPr>
        <w:t>Today, we benefit from the confluence of a leading editorial team, diverse portfolio of content and brands, and comprehensive suite of investor-centric tools that appeal to a broad subscriber base.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2023 Highlights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May, we initiated paying dividends to our Class A common stockholders and distributions to holders of our LLC Units.</w:t>
      </w:r>
    </w:p>
    <w:p>
      <w:pPr>
        <w:spacing w:after="0" w:line="143" w:lineRule="exact"/>
        <w:rPr>
          <w:sz w:val="20"/>
          <w:szCs w:val="20"/>
          <w:color w:val="auto"/>
        </w:rPr>
      </w:pPr>
    </w:p>
    <w:p>
      <w:pPr>
        <w:ind w:right="200"/>
        <w:spacing w:after="0" w:line="310" w:lineRule="auto"/>
        <w:rPr>
          <w:sz w:val="20"/>
          <w:szCs w:val="20"/>
          <w:color w:val="auto"/>
        </w:rPr>
      </w:pPr>
      <w:r>
        <w:rPr>
          <w:rFonts w:ascii="Times New Roman" w:cs="Times New Roman" w:eastAsia="Times New Roman" w:hAnsi="Times New Roman"/>
          <w:sz w:val="14"/>
          <w:szCs w:val="14"/>
          <w:color w:val="auto"/>
        </w:rPr>
        <w:t>In September, our Company’s founder, Porter Stansberry, returned to the Board of Directors and in October, was appointed Chairman of the Board and CEO. He immediately initiated an internal review of current operations with the intent to enhance alignment, improve efficiency, and increase cash flow and intrinsic value of the business, and enacted several leadership changes and headcount reduction initiatives. We also announced a special dividend and distribution totaling approximately $50 million.</w:t>
      </w:r>
    </w:p>
    <w:p>
      <w:pPr>
        <w:spacing w:after="0" w:line="7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 xml:space="preserve">In October, we reorganized our reporting structure by merging our Empire Financial Research business that was previously included in our Roundtable Research reporting unit into our 1729 Research reporting unit, which is one of our three reporting units. See also </w:t>
      </w:r>
      <w:r>
        <w:rPr>
          <w:rFonts w:ascii="Times New Roman" w:cs="Times New Roman" w:eastAsia="Times New Roman" w:hAnsi="Times New Roman"/>
          <w:sz w:val="16"/>
          <w:szCs w:val="16"/>
          <w:i w:val="1"/>
          <w:iCs w:val="1"/>
          <w:color w:val="auto"/>
        </w:rPr>
        <w:t>Note 2 – Summary of Significant Accounting Policies - Segment Information</w:t>
      </w:r>
      <w:r>
        <w:rPr>
          <w:rFonts w:ascii="Times New Roman" w:cs="Times New Roman" w:eastAsia="Times New Roman" w:hAnsi="Times New Roman"/>
          <w:sz w:val="16"/>
          <w:szCs w:val="16"/>
          <w:color w:val="auto"/>
        </w:rPr>
        <w:t xml:space="preserve"> to our consolidated financial statements included elsewhere in this Form 10-K.</w:t>
      </w:r>
    </w:p>
    <w:p>
      <w:pPr>
        <w:spacing w:after="0" w:line="11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6"/>
          <w:szCs w:val="16"/>
          <w:color w:val="auto"/>
        </w:rPr>
        <w:t>In December, as a result of continuing losses, we sold our Buttonwood Publishing business, which we had acquired in 2022, to a related party, for contingent consideration estimated at $1.3 million based on the level of subscription sales the buyer achieves from certain customers beginning from the sale date through December 1, 2026. We recorded impairment charges totaling approximately $2.6 million related to this business and in connection with the sale transaction.</w:t>
      </w:r>
    </w:p>
    <w:p>
      <w:pPr>
        <w:spacing w:after="0" w:line="113"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6"/>
          <w:szCs w:val="16"/>
          <w:color w:val="auto"/>
        </w:rPr>
        <w:t>The following table presents net cash provided by operating activities (“CFFO”), and the related margin as a percentage of net revenue, and Adjusted CFFO (as defined below), a non-GAAP measure, and the related margin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384" w:right="359" w:bottom="1440" w:gutter="0" w:footer="0" w:header="0"/>
        </w:sectPr>
      </w:pPr>
    </w:p>
    <w:bookmarkStart w:id="45" w:name="page46"/>
    <w:bookmarkEnd w:id="45"/>
    <w:p>
      <w:pPr>
        <w:ind w:right="80"/>
        <w:spacing w:after="0" w:line="268" w:lineRule="auto"/>
        <w:rPr>
          <w:sz w:val="20"/>
          <w:szCs w:val="20"/>
          <w:color w:val="auto"/>
        </w:rPr>
      </w:pPr>
      <w:r>
        <w:rPr>
          <w:rFonts w:ascii="Times New Roman" w:cs="Times New Roman" w:eastAsia="Times New Roman" w:hAnsi="Times New Roman"/>
          <w:sz w:val="16"/>
          <w:szCs w:val="16"/>
          <w:color w:val="auto"/>
        </w:rPr>
        <w:t>a percentage of Billings, for each of the periods presented. For more information on Adjusted CFFO and Adjusted CFFO Margin (as defined below), see “— Non-GAAP Financial Measures.”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8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0"/>
        </w:trPr>
        <w:tc>
          <w:tcPr>
            <w:tcW w:w="6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62"/>
        </w:trPr>
        <w:tc>
          <w:tcPr>
            <w:tcW w:w="66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24"/>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44"/>
              <w:spacing w:after="0"/>
              <w:rPr>
                <w:sz w:val="20"/>
                <w:szCs w:val="20"/>
                <w:color w:val="auto"/>
              </w:rPr>
            </w:pPr>
            <w:r>
              <w:rPr>
                <w:rFonts w:ascii="Times New Roman" w:cs="Times New Roman" w:eastAsia="Times New Roman" w:hAnsi="Times New Roman"/>
                <w:sz w:val="12"/>
                <w:szCs w:val="12"/>
                <w:b w:val="1"/>
                <w:bCs w:val="1"/>
                <w:color w:val="auto"/>
              </w:rPr>
              <w:t>2021</w:t>
            </w:r>
          </w:p>
        </w:tc>
      </w:tr>
      <w:tr>
        <w:trPr>
          <w:trHeight w:val="19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62,428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48,374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63,632</w:t>
            </w:r>
          </w:p>
        </w:tc>
      </w:tr>
      <w:tr>
        <w:trPr>
          <w:trHeight w:val="199"/>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net revenue</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rPr>
              <w:t>448,182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color w:val="auto"/>
              </w:rPr>
              <w:t>512,403</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rPr>
              <w:t>549,183</w:t>
            </w:r>
          </w:p>
        </w:tc>
      </w:tr>
      <w:tr>
        <w:trPr>
          <w:trHeight w:val="19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operating activities margin</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13.9 %</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9.4 %</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11.6 %</w:t>
            </w:r>
          </w:p>
        </w:tc>
      </w:tr>
      <w:tr>
        <w:trPr>
          <w:trHeight w:val="222"/>
        </w:trPr>
        <w:tc>
          <w:tcPr>
            <w:tcW w:w="6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19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CFFO</w:t>
            </w:r>
          </w:p>
        </w:tc>
        <w:tc>
          <w:tcPr>
            <w:tcW w:w="34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66,368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59,324</w:t>
            </w: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197,081</w:t>
            </w:r>
          </w:p>
        </w:tc>
      </w:tr>
      <w:tr>
        <w:trPr>
          <w:trHeight w:val="199"/>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Billings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rPr>
              <w:t>382,411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color w:val="auto"/>
              </w:rPr>
              <w:t>459,487</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rPr>
              <w:t>729,893</w:t>
            </w:r>
          </w:p>
        </w:tc>
      </w:tr>
      <w:tr>
        <w:trPr>
          <w:trHeight w:val="215"/>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CFFO Margin</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17.4 %</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12.9 %</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27.0 %</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Factors Affecting Our Performance</w:t>
      </w:r>
    </w:p>
    <w:p>
      <w:pPr>
        <w:spacing w:after="0" w:line="145" w:lineRule="exact"/>
        <w:rPr>
          <w:sz w:val="20"/>
          <w:szCs w:val="20"/>
          <w:color w:val="auto"/>
        </w:rPr>
      </w:pPr>
    </w:p>
    <w:p>
      <w:pPr>
        <w:ind w:right="80"/>
        <w:spacing w:after="0" w:line="341" w:lineRule="auto"/>
        <w:rPr>
          <w:sz w:val="20"/>
          <w:szCs w:val="20"/>
          <w:color w:val="auto"/>
        </w:rPr>
      </w:pPr>
      <w:r>
        <w:rPr>
          <w:rFonts w:ascii="Times New Roman" w:cs="Times New Roman" w:eastAsia="Times New Roman" w:hAnsi="Times New Roman"/>
          <w:sz w:val="14"/>
          <w:szCs w:val="14"/>
          <w:color w:val="auto"/>
        </w:rPr>
        <w:t>We believe that our growth and future success are dependent upon several factors, including those below and those noted in the “Risk Factors” section in this report. The key factors below represent significant business opportunities as well as challenges that we must successfully address in order to continue our growth and improve our financial results.</w:t>
      </w:r>
    </w:p>
    <w:p>
      <w:pPr>
        <w:spacing w:after="0" w:line="55" w:lineRule="exact"/>
        <w:rPr>
          <w:sz w:val="20"/>
          <w:szCs w:val="20"/>
          <w:color w:val="auto"/>
        </w:rPr>
      </w:pPr>
    </w:p>
    <w:p>
      <w:pPr>
        <w:jc w:val="both"/>
        <w:ind w:left="280" w:right="580"/>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 xml:space="preserve">Growing our subscriber base with compelling unit economics. </w:t>
      </w:r>
      <w:r>
        <w:rPr>
          <w:rFonts w:ascii="Times New Roman" w:cs="Times New Roman" w:eastAsia="Times New Roman" w:hAnsi="Times New Roman"/>
          <w:sz w:val="16"/>
          <w:szCs w:val="16"/>
          <w:color w:val="auto"/>
        </w:rPr>
        <w:t>We are highly focused on continuing to acquire new subscribers to support our long-term growth.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marketing spend is a large driver of new subscriber growth. At the heart of our marketing strategy is our compelling unit economics that combine long-term subscriber relationships, highly scalable content delivery, cost-effective customer acquisition, and high-margin conversions.</w:t>
      </w:r>
    </w:p>
    <w:p>
      <w:pPr>
        <w:spacing w:after="0" w:line="113" w:lineRule="exact"/>
        <w:rPr>
          <w:sz w:val="20"/>
          <w:szCs w:val="20"/>
          <w:color w:val="auto"/>
        </w:rPr>
      </w:pPr>
    </w:p>
    <w:p>
      <w:pPr>
        <w:ind w:left="280" w:right="80"/>
        <w:spacing w:after="0" w:line="252" w:lineRule="auto"/>
        <w:rPr>
          <w:sz w:val="20"/>
          <w:szCs w:val="20"/>
          <w:color w:val="auto"/>
        </w:rPr>
      </w:pPr>
      <w:r>
        <w:rPr>
          <w:rFonts w:ascii="Times New Roman" w:cs="Times New Roman" w:eastAsia="Times New Roman" w:hAnsi="Times New Roman"/>
          <w:sz w:val="16"/>
          <w:szCs w:val="16"/>
          <w:color w:val="auto"/>
        </w:rPr>
        <w:t>Our Paid Subscribers as of December 31, 2023 generated average customer lifetime Billings of approximately $1,494, resulting in a LTV/CAC ratio (as defined below) of approximately 2.3x. On average, over the past three years, it has taken approximately 1.1 to 1.6 years for a Paid Subscriber’s cumulative net revenue to exceed the total cost of acquiring that subscriber (which includes fixed costs, such as marketing salaries). For more information on our LTV/CAC ratio and the components of this ratio, see “</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Definitions of Metrics.</w:t>
      </w:r>
      <w:r>
        <w:rPr>
          <w:rFonts w:ascii="Times New Roman" w:cs="Times New Roman" w:eastAsia="Times New Roman" w:hAnsi="Times New Roman"/>
          <w:sz w:val="16"/>
          <w:szCs w:val="16"/>
          <w:color w:val="auto"/>
        </w:rPr>
        <w:t>”</w:t>
      </w:r>
    </w:p>
    <w:p>
      <w:pPr>
        <w:spacing w:after="0" w:line="116" w:lineRule="exact"/>
        <w:rPr>
          <w:sz w:val="20"/>
          <w:szCs w:val="20"/>
          <w:color w:val="auto"/>
        </w:rPr>
      </w:pPr>
    </w:p>
    <w:p>
      <w:pPr>
        <w:ind w:left="280" w:right="20"/>
        <w:spacing w:after="0" w:line="341" w:lineRule="auto"/>
        <w:rPr>
          <w:sz w:val="20"/>
          <w:szCs w:val="20"/>
          <w:color w:val="auto"/>
        </w:rPr>
      </w:pPr>
      <w:r>
        <w:rPr>
          <w:rFonts w:ascii="Times New Roman" w:cs="Times New Roman" w:eastAsia="Times New Roman" w:hAnsi="Times New Roman"/>
          <w:sz w:val="14"/>
          <w:szCs w:val="14"/>
          <w:color w:val="auto"/>
        </w:rPr>
        <w:t>We adjust our marketing spend to drive efficient and profitable customer acquisition. We can adjust our marketing spend in near real-time, and we monitor costs per acquisition relative to the cart value of the initial subscription. We seek and typically achieve 90-day payback periods to cover this variable component of the direct marketing spend.</w:t>
      </w:r>
    </w:p>
    <w:p>
      <w:pPr>
        <w:spacing w:after="0" w:line="57" w:lineRule="exact"/>
        <w:rPr>
          <w:sz w:val="20"/>
          <w:szCs w:val="20"/>
          <w:color w:val="auto"/>
        </w:rPr>
      </w:pPr>
    </w:p>
    <w:p>
      <w:pPr>
        <w:ind w:left="280" w:right="80"/>
        <w:spacing w:after="0" w:line="256" w:lineRule="auto"/>
        <w:rPr>
          <w:sz w:val="20"/>
          <w:szCs w:val="20"/>
          <w:color w:val="auto"/>
        </w:rPr>
      </w:pPr>
      <w:r>
        <w:rPr>
          <w:rFonts w:ascii="Times New Roman" w:cs="Times New Roman" w:eastAsia="Times New Roman" w:hAnsi="Times New Roman"/>
          <w:sz w:val="16"/>
          <w:szCs w:val="16"/>
          <w:color w:val="auto"/>
        </w:rPr>
        <w:t>As of December 31, 2023, our Paid Subscriber base was 737 thousand, down 104 thousand, or 12.4% as compared to 841 thousand at December 31, 2022. Our base is comprised of subscribers obtained through both direct-to-paid acquisition and free-to-paid conversions. Since 2021, direct-to-paid acquisition has accounted for approximately 58% of our annual Paid Subscriber acquisition, and is largely driven by display ads and targeted email campaigns.</w:t>
      </w:r>
    </w:p>
    <w:p>
      <w:pPr>
        <w:spacing w:after="0" w:line="11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Our free subscription products also serve as a significant source of new Paid Subscribers, accounting for approximately 42% of our annual Paid Subscriber acquisition.</w:t>
      </w:r>
    </w:p>
    <w:p>
      <w:pPr>
        <w:spacing w:after="0" w:line="141" w:lineRule="exact"/>
        <w:rPr>
          <w:sz w:val="20"/>
          <w:szCs w:val="20"/>
          <w:color w:val="auto"/>
        </w:rPr>
      </w:pPr>
    </w:p>
    <w:p>
      <w:pPr>
        <w:ind w:left="280" w:right="60"/>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Retaining and expanding relationships with existing subscribers. </w:t>
      </w:r>
      <w:r>
        <w:rPr>
          <w:rFonts w:ascii="Times New Roman" w:cs="Times New Roman" w:eastAsia="Times New Roman" w:hAnsi="Times New Roman"/>
          <w:sz w:val="16"/>
          <w:szCs w:val="16"/>
          <w:color w:val="auto"/>
        </w:rPr>
        <w:t>We believe that we have a significant opportunity to expand our relationships with our large base of Free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Subscribers and Paid Subscribers. Thanks to the quality of our products, we believe our customers will continue their relationship with us and extend and increase their subscriptions over time. As we deepen our engagement with our subscribers, our customers tend to purchase more and higher-value products. Our ARPU (as defined below) as of December 31, 2023 was $503,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386" w:right="319" w:bottom="1440" w:gutter="0" w:footer="0" w:header="0"/>
        </w:sectPr>
      </w:pPr>
    </w:p>
    <w:bookmarkStart w:id="46" w:name="page47"/>
    <w:bookmarkEnd w:id="46"/>
    <w:p>
      <w:pPr>
        <w:ind w:left="280"/>
        <w:spacing w:after="0"/>
        <w:rPr>
          <w:sz w:val="20"/>
          <w:szCs w:val="20"/>
          <w:color w:val="auto"/>
        </w:rPr>
      </w:pPr>
      <w:r>
        <w:rPr>
          <w:rFonts w:ascii="Times New Roman" w:cs="Times New Roman" w:eastAsia="Times New Roman" w:hAnsi="Times New Roman"/>
          <w:sz w:val="16"/>
          <w:szCs w:val="16"/>
          <w:color w:val="auto"/>
        </w:rPr>
        <w:t>which decreased 3.1% from $519 as of December 31, 2022. For more information on ARPU, see “</w:t>
      </w:r>
      <w:r>
        <w:rPr>
          <w:rFonts w:ascii="Times New Roman" w:cs="Times New Roman" w:eastAsia="Times New Roman" w:hAnsi="Times New Roman"/>
          <w:sz w:val="16"/>
          <w:szCs w:val="16"/>
          <w:i w:val="1"/>
          <w:iCs w:val="1"/>
          <w:color w:val="auto"/>
        </w:rPr>
        <w:t>Key Business Metrics — Average Revenue Per User.</w:t>
      </w:r>
      <w:r>
        <w:rPr>
          <w:rFonts w:ascii="Times New Roman" w:cs="Times New Roman" w:eastAsia="Times New Roman" w:hAnsi="Times New Roman"/>
          <w:sz w:val="16"/>
          <w:szCs w:val="16"/>
          <w:color w:val="auto"/>
        </w:rPr>
        <w:t>”</w:t>
      </w:r>
    </w:p>
    <w:p>
      <w:pPr>
        <w:spacing w:after="0" w:line="145" w:lineRule="exact"/>
        <w:rPr>
          <w:sz w:val="20"/>
          <w:szCs w:val="20"/>
          <w:color w:val="auto"/>
        </w:rPr>
      </w:pPr>
    </w:p>
    <w:p>
      <w:pPr>
        <w:ind w:left="280" w:right="60"/>
        <w:spacing w:after="0" w:line="256" w:lineRule="auto"/>
        <w:rPr>
          <w:sz w:val="20"/>
          <w:szCs w:val="20"/>
          <w:color w:val="auto"/>
        </w:rPr>
      </w:pPr>
      <w:r>
        <w:rPr>
          <w:rFonts w:ascii="Times New Roman" w:cs="Times New Roman" w:eastAsia="Times New Roman" w:hAnsi="Times New Roman"/>
          <w:sz w:val="16"/>
          <w:szCs w:val="16"/>
          <w:color w:val="auto"/>
        </w:rPr>
        <w:t>Conversion rates are important to our business because they are an indicator of how engaged and how well we are connecting with our subscribers. The time it takes our customers to move from our free products to our lower-priced paid subscriptions and eventually to high-end products and membership “bundled” offerings impacts our growth in net revenue, Billings, and ARPU.</w:t>
      </w:r>
    </w:p>
    <w:p>
      <w:pPr>
        <w:spacing w:after="0" w:line="113" w:lineRule="exact"/>
        <w:rPr>
          <w:sz w:val="20"/>
          <w:szCs w:val="20"/>
          <w:color w:val="auto"/>
        </w:rPr>
      </w:pPr>
    </w:p>
    <w:p>
      <w:pPr>
        <w:ind w:left="280" w:right="20"/>
        <w:spacing w:after="0" w:line="248" w:lineRule="auto"/>
        <w:rPr>
          <w:sz w:val="20"/>
          <w:szCs w:val="20"/>
          <w:color w:val="auto"/>
        </w:rPr>
      </w:pPr>
      <w:r>
        <w:rPr>
          <w:rFonts w:ascii="Times New Roman" w:cs="Times New Roman" w:eastAsia="Times New Roman" w:hAnsi="Times New Roman"/>
          <w:sz w:val="16"/>
          <w:szCs w:val="16"/>
          <w:color w:val="auto"/>
        </w:rPr>
        <w:t>Our high-value composition rate reflects the rate at which Paid Subscribers that have purchased less than $600 of our products over their lifetime convert into subscribers that have purchased more than $600. We believe our high-value composition rate reflects our ability to retain existing subscribers through renewals and our ability to expand our relationship with them when those subscribers purchase higher-value subscriptions. Our ultra high-value composition rate reflects the rate at which high value Paid Subscribers that have purchased more than $600 of our products over their lifetime convert into subscribers that have purchased more than $5,000. We believe our ultra high-value composition rate reflects our ability to successfully build lifetime relationships with our subscribers, often across multiple products and brands. As of December 31, 2023, our high-value composition rate and ultra high-value composition rate were 48% and 40%, respectively.</w:t>
      </w:r>
    </w:p>
    <w:p>
      <w:pPr>
        <w:spacing w:after="0" w:line="122" w:lineRule="exact"/>
        <w:rPr>
          <w:sz w:val="20"/>
          <w:szCs w:val="20"/>
          <w:color w:val="auto"/>
        </w:rPr>
      </w:pPr>
    </w:p>
    <w:p>
      <w:pPr>
        <w:jc w:val="both"/>
        <w:ind w:left="280" w:right="20"/>
        <w:spacing w:after="0" w:line="256" w:lineRule="auto"/>
        <w:rPr>
          <w:sz w:val="20"/>
          <w:szCs w:val="20"/>
          <w:color w:val="auto"/>
        </w:rPr>
      </w:pPr>
      <w:r>
        <w:rPr>
          <w:rFonts w:ascii="Times New Roman" w:cs="Times New Roman" w:eastAsia="Times New Roman" w:hAnsi="Times New Roman"/>
          <w:sz w:val="16"/>
          <w:szCs w:val="16"/>
          <w:color w:val="auto"/>
        </w:rPr>
        <w:t xml:space="preserve">We may face challenges and uncertainty in retaining and expanding relationships with existing subscribers due to the wind-down of operations of Legacy Research announced in February 2024 and any reputational harm associated with misconduct of former employees as discussed in the Risk Factor </w:t>
      </w:r>
      <w:r>
        <w:rPr>
          <w:rFonts w:ascii="Times New Roman" w:cs="Times New Roman" w:eastAsia="Times New Roman" w:hAnsi="Times New Roman"/>
          <w:sz w:val="16"/>
          <w:szCs w:val="16"/>
          <w:i w:val="1"/>
          <w:iCs w:val="1"/>
          <w:color w:val="auto"/>
        </w:rPr>
        <w:t>Failure to maintain and protect our reputation for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trustworthiness and independence may harm our business </w:t>
      </w:r>
      <w:r>
        <w:rPr>
          <w:rFonts w:ascii="Times New Roman" w:cs="Times New Roman" w:eastAsia="Times New Roman" w:hAnsi="Times New Roman"/>
          <w:sz w:val="16"/>
          <w:szCs w:val="16"/>
          <w:color w:val="auto"/>
        </w:rPr>
        <w:t>included elsewhere in this annual report.</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Definitions of Metrics</w:t>
      </w:r>
    </w:p>
    <w:p>
      <w:pPr>
        <w:spacing w:after="0" w:line="14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6"/>
          <w:szCs w:val="16"/>
          <w:color w:val="auto"/>
        </w:rPr>
        <w:t>Throughout this discussion and analysis, a number of our financial and operating metrics are referenced which we do not consider to be key business metrics, but which we review to monitor performance, and which we believe may be useful to investors. These are:</w:t>
      </w:r>
    </w:p>
    <w:p>
      <w:pPr>
        <w:spacing w:after="0" w:line="102" w:lineRule="exact"/>
        <w:rPr>
          <w:sz w:val="20"/>
          <w:szCs w:val="20"/>
          <w:color w:val="auto"/>
        </w:rPr>
      </w:pPr>
    </w:p>
    <w:p>
      <w:pPr>
        <w:ind w:left="280"/>
        <w:spacing w:after="0" w:line="292" w:lineRule="auto"/>
        <w:rPr>
          <w:sz w:val="20"/>
          <w:szCs w:val="20"/>
          <w:color w:val="auto"/>
        </w:rPr>
      </w:pPr>
      <w:r>
        <w:rPr>
          <w:rFonts w:ascii="Times New Roman" w:cs="Times New Roman" w:eastAsia="Times New Roman" w:hAnsi="Times New Roman"/>
          <w:sz w:val="14"/>
          <w:szCs w:val="14"/>
          <w:b w:val="1"/>
          <w:bCs w:val="1"/>
          <w:i w:val="1"/>
          <w:iCs w:val="1"/>
          <w:color w:val="auto"/>
        </w:rPr>
        <w:t xml:space="preserve">Annual free-to-paid and annual active free-to-paid conversion rates: </w:t>
      </w:r>
      <w:r>
        <w:rPr>
          <w:rFonts w:ascii="Times New Roman" w:cs="Times New Roman" w:eastAsia="Times New Roman" w:hAnsi="Times New Roman"/>
          <w:sz w:val="14"/>
          <w:szCs w:val="14"/>
          <w:color w:val="auto"/>
        </w:rPr>
        <w:t>The Company has historically defined free-to-paid conversion rate as the number of Free Subscribers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who purchased a subscription during the period divided by the average number of Free Subscribers during the period. In addition, the Company has historically defined active free-to-paid conversion rate as the number of Active Free Subscribers who purchased a subscription during the period divided by the average number of Active Free Subscribers during the period. Active Free Subscribers are those Free Subscribers with whom we have engaged during the most recent quarter and represent those individuals who have received and/or consumed our content on a regular basis during that same quarter. There have been no changes to the calculation of free-to-paid or active free-to-paid conversion rates. However, the Company has revised the definition of free-to-paid and active free-to-paid conversion rates to provide clarity in how they are calculated.</w:t>
      </w:r>
    </w:p>
    <w:p>
      <w:pPr>
        <w:spacing w:after="0" w:line="90" w:lineRule="exact"/>
        <w:rPr>
          <w:sz w:val="20"/>
          <w:szCs w:val="20"/>
          <w:color w:val="auto"/>
        </w:rPr>
      </w:pPr>
    </w:p>
    <w:p>
      <w:pPr>
        <w:ind w:left="280" w:right="140"/>
        <w:spacing w:after="0" w:line="289" w:lineRule="auto"/>
        <w:rPr>
          <w:sz w:val="20"/>
          <w:szCs w:val="20"/>
          <w:color w:val="auto"/>
        </w:rPr>
      </w:pPr>
      <w:r>
        <w:rPr>
          <w:rFonts w:ascii="Times New Roman" w:cs="Times New Roman" w:eastAsia="Times New Roman" w:hAnsi="Times New Roman"/>
          <w:sz w:val="14"/>
          <w:szCs w:val="14"/>
          <w:color w:val="auto"/>
        </w:rPr>
        <w:t xml:space="preserve">We calculate our free-to-paid conversion rate as the sum of (i) the number of Free Subscribers who purchased their first subscription during the period and (ii) the number of Free Subscribers who purchased their first subscription during the period after six months of not having an active paid subscription across all of MarketWise </w:t>
      </w:r>
      <w:r>
        <w:rPr>
          <w:rFonts w:ascii="Times New Roman" w:cs="Times New Roman" w:eastAsia="Times New Roman" w:hAnsi="Times New Roman"/>
          <w:sz w:val="14"/>
          <w:szCs w:val="14"/>
          <w:i w:val="1"/>
          <w:iCs w:val="1"/>
          <w:color w:val="auto"/>
        </w:rPr>
        <w:t>divided by</w:t>
      </w:r>
      <w:r>
        <w:rPr>
          <w:rFonts w:ascii="Times New Roman" w:cs="Times New Roman" w:eastAsia="Times New Roman" w:hAnsi="Times New Roman"/>
          <w:sz w:val="14"/>
          <w:szCs w:val="14"/>
          <w:color w:val="auto"/>
        </w:rPr>
        <w:t xml:space="preserve"> the average number of Free Subscribers during the period. We calculate our active free-to-paid conversion rate as the sum of (i) the number of Active Free Subscribers who purchased their first subscription during the period and (ii) the number of Active Free Subscribers who purchased their first subscription during the period after six months of not having an active paid subscription across all of MarketWise </w:t>
      </w:r>
      <w:r>
        <w:rPr>
          <w:rFonts w:ascii="Times New Roman" w:cs="Times New Roman" w:eastAsia="Times New Roman" w:hAnsi="Times New Roman"/>
          <w:sz w:val="14"/>
          <w:szCs w:val="14"/>
          <w:i w:val="1"/>
          <w:iCs w:val="1"/>
          <w:color w:val="auto"/>
        </w:rPr>
        <w:t>divided by</w:t>
      </w:r>
      <w:r>
        <w:rPr>
          <w:rFonts w:ascii="Times New Roman" w:cs="Times New Roman" w:eastAsia="Times New Roman" w:hAnsi="Times New Roman"/>
          <w:sz w:val="14"/>
          <w:szCs w:val="14"/>
          <w:color w:val="auto"/>
        </w:rPr>
        <w:t xml:space="preserve"> the average number of Active Free Subscribers during the period. We believe our free-to-paid and active free-to-paid conversion rates are indicators of the type of Free Subscribers that we are signing up and the quality of our content and marketing efforts. Investors should consider free-to-paid and active free-to-paid conversion rates as two of the factors in evaluating our ability to maintain a robust pipeline for new customer acquisition.</w:t>
      </w:r>
    </w:p>
    <w:p>
      <w:pPr>
        <w:spacing w:after="0" w:line="91" w:lineRule="exact"/>
        <w:rPr>
          <w:sz w:val="20"/>
          <w:szCs w:val="20"/>
          <w:color w:val="auto"/>
        </w:rPr>
      </w:pPr>
    </w:p>
    <w:p>
      <w:pPr>
        <w:ind w:left="280" w:right="180"/>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 xml:space="preserve">Cumulative free-to-paid and cumulative active free-to-paid conversion rates: </w:t>
      </w:r>
      <w:r>
        <w:rPr>
          <w:rFonts w:ascii="Times New Roman" w:cs="Times New Roman" w:eastAsia="Times New Roman" w:hAnsi="Times New Roman"/>
          <w:sz w:val="16"/>
          <w:szCs w:val="16"/>
          <w:color w:val="auto"/>
        </w:rPr>
        <w:t>We calculate our cumulative free-to-paid conversion rate as the sum of (i) the number of Free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Subscribers who purchased their first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384" w:right="339" w:bottom="1440" w:gutter="0" w:footer="0" w:header="0"/>
        </w:sectPr>
      </w:pPr>
    </w:p>
    <w:bookmarkStart w:id="47" w:name="page48"/>
    <w:bookmarkEnd w:id="47"/>
    <w:p>
      <w:pPr>
        <w:ind w:left="280"/>
        <w:spacing w:after="0" w:line="250" w:lineRule="auto"/>
        <w:rPr>
          <w:sz w:val="20"/>
          <w:szCs w:val="20"/>
          <w:color w:val="auto"/>
        </w:rPr>
      </w:pPr>
      <w:r>
        <w:rPr>
          <w:rFonts w:ascii="Times New Roman" w:cs="Times New Roman" w:eastAsia="Times New Roman" w:hAnsi="Times New Roman"/>
          <w:sz w:val="16"/>
          <w:szCs w:val="16"/>
          <w:color w:val="auto"/>
        </w:rPr>
        <w:t xml:space="preserve">subscription during the trailing three-year period and (ii) the number of Free Subscribers who purchased their first subscription during the trailing three-year period after six months of not having an active paid subscription across all of MarketWise </w:t>
      </w:r>
      <w:r>
        <w:rPr>
          <w:rFonts w:ascii="Times New Roman" w:cs="Times New Roman" w:eastAsia="Times New Roman" w:hAnsi="Times New Roman"/>
          <w:sz w:val="16"/>
          <w:szCs w:val="16"/>
          <w:i w:val="1"/>
          <w:iCs w:val="1"/>
          <w:color w:val="auto"/>
        </w:rPr>
        <w:t>divided by</w:t>
      </w:r>
      <w:r>
        <w:rPr>
          <w:rFonts w:ascii="Times New Roman" w:cs="Times New Roman" w:eastAsia="Times New Roman" w:hAnsi="Times New Roman"/>
          <w:sz w:val="16"/>
          <w:szCs w:val="16"/>
          <w:color w:val="auto"/>
        </w:rPr>
        <w:t xml:space="preserve"> the average number of Free Subscribers during the trailing three-year period. We calculate our cumulative active free-to-paid conversion rate as the sum of (i) the number of Active Free Subscribers who purchased their first subscription during the trailing three-year period and (ii) the number of Active Free Subscribers who purchased their first subscription during the trailing three-year period after six months of not having an active paid subscription across all of MarketWise </w:t>
      </w:r>
      <w:r>
        <w:rPr>
          <w:rFonts w:ascii="Times New Roman" w:cs="Times New Roman" w:eastAsia="Times New Roman" w:hAnsi="Times New Roman"/>
          <w:sz w:val="16"/>
          <w:szCs w:val="16"/>
          <w:i w:val="1"/>
          <w:iCs w:val="1"/>
          <w:color w:val="auto"/>
        </w:rPr>
        <w:t>divided by</w:t>
      </w:r>
      <w:r>
        <w:rPr>
          <w:rFonts w:ascii="Times New Roman" w:cs="Times New Roman" w:eastAsia="Times New Roman" w:hAnsi="Times New Roman"/>
          <w:sz w:val="16"/>
          <w:szCs w:val="16"/>
          <w:color w:val="auto"/>
        </w:rPr>
        <w:t xml:space="preserve"> the average number of Active Free Subscribers during the trailing three-year period.</w:t>
      </w:r>
    </w:p>
    <w:p>
      <w:pPr>
        <w:spacing w:after="0" w:line="116" w:lineRule="exact"/>
        <w:rPr>
          <w:sz w:val="20"/>
          <w:szCs w:val="20"/>
          <w:color w:val="auto"/>
        </w:rPr>
      </w:pPr>
    </w:p>
    <w:p>
      <w:pPr>
        <w:ind w:left="280" w:right="380"/>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 xml:space="preserve">High-value composition rate: </w:t>
      </w:r>
      <w:r>
        <w:rPr>
          <w:rFonts w:ascii="Times New Roman" w:cs="Times New Roman" w:eastAsia="Times New Roman" w:hAnsi="Times New Roman"/>
          <w:sz w:val="16"/>
          <w:szCs w:val="16"/>
          <w:color w:val="auto"/>
        </w:rPr>
        <w:t>Our high-value composition rate reflects the number of Paid Subscribers who have purchased &gt;$600 in aggregate over their lifetime as of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particular point in time </w:t>
      </w:r>
      <w:r>
        <w:rPr>
          <w:rFonts w:ascii="Times New Roman" w:cs="Times New Roman" w:eastAsia="Times New Roman" w:hAnsi="Times New Roman"/>
          <w:sz w:val="16"/>
          <w:szCs w:val="16"/>
          <w:i w:val="1"/>
          <w:iCs w:val="1"/>
          <w:color w:val="auto"/>
        </w:rPr>
        <w:t>divided by</w:t>
      </w:r>
      <w:r>
        <w:rPr>
          <w:rFonts w:ascii="Times New Roman" w:cs="Times New Roman" w:eastAsia="Times New Roman" w:hAnsi="Times New Roman"/>
          <w:sz w:val="16"/>
          <w:szCs w:val="16"/>
          <w:color w:val="auto"/>
        </w:rPr>
        <w:t xml:space="preserve"> the total number of Paid Subscribers as of that same point in time.</w:t>
      </w:r>
    </w:p>
    <w:p>
      <w:pPr>
        <w:spacing w:after="0" w:line="99" w:lineRule="exact"/>
        <w:rPr>
          <w:sz w:val="20"/>
          <w:szCs w:val="20"/>
          <w:color w:val="auto"/>
        </w:rPr>
      </w:pPr>
    </w:p>
    <w:p>
      <w:pPr>
        <w:ind w:left="280" w:right="360"/>
        <w:spacing w:after="0" w:line="271" w:lineRule="auto"/>
        <w:rPr>
          <w:sz w:val="20"/>
          <w:szCs w:val="20"/>
          <w:color w:val="auto"/>
        </w:rPr>
      </w:pPr>
      <w:r>
        <w:rPr>
          <w:rFonts w:ascii="Times New Roman" w:cs="Times New Roman" w:eastAsia="Times New Roman" w:hAnsi="Times New Roman"/>
          <w:sz w:val="16"/>
          <w:szCs w:val="16"/>
          <w:b w:val="1"/>
          <w:bCs w:val="1"/>
          <w:i w:val="1"/>
          <w:iCs w:val="1"/>
          <w:color w:val="auto"/>
        </w:rPr>
        <w:t xml:space="preserve">Landing Page Visits: </w:t>
      </w:r>
      <w:r>
        <w:rPr>
          <w:rFonts w:ascii="Times New Roman" w:cs="Times New Roman" w:eastAsia="Times New Roman" w:hAnsi="Times New Roman"/>
          <w:sz w:val="16"/>
          <w:szCs w:val="16"/>
          <w:color w:val="auto"/>
        </w:rPr>
        <w:t>The cumulative number of visits to our standalone web pages created specifically for each marketing campaign. We believe landing page visits are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measure of customer engagement.</w:t>
      </w:r>
    </w:p>
    <w:p>
      <w:pPr>
        <w:spacing w:after="0" w:line="99" w:lineRule="exact"/>
        <w:rPr>
          <w:sz w:val="20"/>
          <w:szCs w:val="20"/>
          <w:color w:val="auto"/>
        </w:rPr>
      </w:pPr>
    </w:p>
    <w:p>
      <w:pPr>
        <w:ind w:left="280" w:right="80"/>
        <w:spacing w:after="0" w:line="248" w:lineRule="auto"/>
        <w:rPr>
          <w:sz w:val="20"/>
          <w:szCs w:val="20"/>
          <w:color w:val="auto"/>
        </w:rPr>
      </w:pPr>
      <w:r>
        <w:rPr>
          <w:rFonts w:ascii="Times New Roman" w:cs="Times New Roman" w:eastAsia="Times New Roman" w:hAnsi="Times New Roman"/>
          <w:sz w:val="16"/>
          <w:szCs w:val="16"/>
          <w:b w:val="1"/>
          <w:bCs w:val="1"/>
          <w:i w:val="1"/>
          <w:iCs w:val="1"/>
          <w:color w:val="auto"/>
        </w:rPr>
        <w:t xml:space="preserve">LTV/CAC ratio: </w:t>
      </w:r>
      <w:r>
        <w:rPr>
          <w:rFonts w:ascii="Times New Roman" w:cs="Times New Roman" w:eastAsia="Times New Roman" w:hAnsi="Times New Roman"/>
          <w:sz w:val="16"/>
          <w:szCs w:val="16"/>
          <w:color w:val="auto"/>
        </w:rPr>
        <w:t>We calculate LTV/CAC ratio as LTV</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divided by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CAC. We use LTV/CAC ratio because it is a standard metric for subscription-based businesses, and we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believe that an LTV/CAC ratio above 3x is considered to be indicative of strong profitability and marketing efficiency. We believe that an increasing LTV per subscriber reflects our existing subscribers recognizing our value proposition, which will expand their relationship with us across our platform over time, either through a combination of additional product purchases or by joining our membership offerings. Investors should consider this metric when evaluating our ability to achieve a return on our marketing investment. Lifetime value (“LTV”) represents the average margin on average customer lifetime Billings (that is, the estimated cumulative spend across a customer’s lifetime). Customer acquisition cost (“CAC”) is defined as direct marketing spend,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external revenue share expense,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retention and renewal expenses,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copywriting and marketing salaries,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telesales salaries and commissions,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customer service commissions.</w:t>
      </w:r>
    </w:p>
    <w:p>
      <w:pPr>
        <w:spacing w:after="0" w:line="119" w:lineRule="exact"/>
        <w:rPr>
          <w:sz w:val="20"/>
          <w:szCs w:val="20"/>
          <w:color w:val="auto"/>
        </w:rPr>
      </w:pPr>
    </w:p>
    <w:p>
      <w:pPr>
        <w:jc w:val="both"/>
        <w:ind w:left="280" w:right="100"/>
        <w:spacing w:after="0" w:line="311" w:lineRule="auto"/>
        <w:rPr>
          <w:sz w:val="20"/>
          <w:szCs w:val="20"/>
          <w:color w:val="auto"/>
        </w:rPr>
      </w:pPr>
      <w:r>
        <w:rPr>
          <w:rFonts w:ascii="Times New Roman" w:cs="Times New Roman" w:eastAsia="Times New Roman" w:hAnsi="Times New Roman"/>
          <w:sz w:val="14"/>
          <w:szCs w:val="14"/>
          <w:b w:val="1"/>
          <w:bCs w:val="1"/>
          <w:i w:val="1"/>
          <w:iCs w:val="1"/>
          <w:color w:val="auto"/>
        </w:rPr>
        <w:t xml:space="preserve">Net revenue retention: </w:t>
      </w:r>
      <w:r>
        <w:rPr>
          <w:rFonts w:ascii="Times New Roman" w:cs="Times New Roman" w:eastAsia="Times New Roman" w:hAnsi="Times New Roman"/>
          <w:sz w:val="14"/>
          <w:szCs w:val="14"/>
          <w:color w:val="auto"/>
        </w:rPr>
        <w:t>Net revenue retention is defined as Billings from all prior period cohorts in the current period,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divided by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all Billings from the prior period. We believe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that a high net revenue retention rate is a measure of customer retention and an indicator of the engagement of our subscribers with our products. Investors should consider net revenue retention as an ongoing measure when evaluating our subscribers’ interest in continuing to subscribe to our products and spending more with us over time.</w:t>
      </w:r>
    </w:p>
    <w:p>
      <w:pPr>
        <w:spacing w:after="0" w:line="76" w:lineRule="exact"/>
        <w:rPr>
          <w:sz w:val="20"/>
          <w:szCs w:val="20"/>
          <w:color w:val="auto"/>
        </w:rPr>
      </w:pPr>
    </w:p>
    <w:p>
      <w:pPr>
        <w:ind w:left="280" w:right="40"/>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Ultra high-value composition rate: </w:t>
      </w:r>
      <w:r>
        <w:rPr>
          <w:rFonts w:ascii="Times New Roman" w:cs="Times New Roman" w:eastAsia="Times New Roman" w:hAnsi="Times New Roman"/>
          <w:sz w:val="16"/>
          <w:szCs w:val="16"/>
          <w:color w:val="auto"/>
        </w:rPr>
        <w:t>Our ultra high-value composition rate reflects the number of Paid Subscribers who have purchased &gt;$5,000 in aggregate over their lifetime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as of a particular point in time </w:t>
      </w:r>
      <w:r>
        <w:rPr>
          <w:rFonts w:ascii="Times New Roman" w:cs="Times New Roman" w:eastAsia="Times New Roman" w:hAnsi="Times New Roman"/>
          <w:sz w:val="16"/>
          <w:szCs w:val="16"/>
          <w:i w:val="1"/>
          <w:iCs w:val="1"/>
          <w:color w:val="auto"/>
        </w:rPr>
        <w:t>divided by</w:t>
      </w:r>
      <w:r>
        <w:rPr>
          <w:rFonts w:ascii="Times New Roman" w:cs="Times New Roman" w:eastAsia="Times New Roman" w:hAnsi="Times New Roman"/>
          <w:sz w:val="16"/>
          <w:szCs w:val="16"/>
          <w:color w:val="auto"/>
        </w:rPr>
        <w:t xml:space="preserve"> the number of high-value subscribers as of that same point in time. We believe our ultra high-value composition rate reflects our ability to successfully build lifetime relationships with our subscribers, often across multiple products and brands. Investors should consider ultra high-value composition rate as a factor in evaluating our ability to retain and expand our relationship with our subscribers.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Key Business Metrics</w:t>
      </w:r>
    </w:p>
    <w:p>
      <w:pPr>
        <w:spacing w:after="0" w:line="14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6"/>
          <w:szCs w:val="16"/>
          <w:color w:val="auto"/>
        </w:rPr>
        <w:t>We review the following key business metrics to measure our performance, identify trends, formulate financial projections, and make strategic decisions. We are not aware of any uniform standards for calculating these key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386"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color w:val="auto"/>
        </w:rPr>
        <w:t>metrics, which may hinder comparability with other companies who may calculate similarly titled metrics in a different way.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60" w:type="dxa"/>
            <w:vAlign w:val="bottom"/>
            <w:gridSpan w:val="4"/>
          </w:tcPr>
          <w:p>
            <w:pPr>
              <w:ind w:left="8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2"/>
        </w:trPr>
        <w:tc>
          <w:tcPr>
            <w:tcW w:w="69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2"/>
                <w:szCs w:val="12"/>
                <w:b w:val="1"/>
                <w:bCs w:val="1"/>
                <w:color w:val="auto"/>
              </w:rPr>
              <w:t>2021</w:t>
            </w:r>
          </w:p>
        </w:tc>
      </w:tr>
      <w:tr>
        <w:trPr>
          <w:trHeight w:val="19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Free Subscribers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16,446,752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15,702,545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13,699,910</w:t>
            </w:r>
          </w:p>
        </w:tc>
      </w:tr>
      <w:tr>
        <w:trPr>
          <w:trHeight w:val="199"/>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Active Free Subscribers</w:t>
            </w:r>
          </w:p>
        </w:tc>
        <w:tc>
          <w:tcPr>
            <w:tcW w:w="320" w:type="dxa"/>
            <w:vAlign w:val="bottom"/>
          </w:tcPr>
          <w:p>
            <w:pPr>
              <w:spacing w:after="0"/>
              <w:rPr>
                <w:sz w:val="17"/>
                <w:szCs w:val="17"/>
                <w:color w:val="auto"/>
              </w:rPr>
            </w:pP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4,067,199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4,295,508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4,528,969</w:t>
            </w:r>
          </w:p>
        </w:tc>
      </w:tr>
      <w:tr>
        <w:trPr>
          <w:trHeight w:val="19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Paid Subscribers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737,140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841,277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971,534</w:t>
            </w:r>
          </w:p>
        </w:tc>
      </w:tr>
      <w:tr>
        <w:trPr>
          <w:trHeight w:val="199"/>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ARPU</w:t>
            </w:r>
          </w:p>
        </w:tc>
        <w:tc>
          <w:tcPr>
            <w:tcW w:w="3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503</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w:t>
            </w:r>
          </w:p>
        </w:tc>
      </w:tr>
      <w:tr>
        <w:trPr>
          <w:trHeight w:val="19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New "Marketing" Billings (in thousands)</w:t>
            </w:r>
          </w:p>
        </w:tc>
        <w:tc>
          <w:tcPr>
            <w:tcW w:w="3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278,260</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333,612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596,732</w:t>
            </w:r>
          </w:p>
        </w:tc>
      </w:tr>
      <w:tr>
        <w:trPr>
          <w:trHeight w:val="199"/>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Net "Renewal" Billings (in thousands)</w:t>
            </w:r>
          </w:p>
        </w:tc>
        <w:tc>
          <w:tcPr>
            <w:tcW w:w="3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96,767</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120,272</w:t>
            </w:r>
          </w:p>
        </w:tc>
        <w:tc>
          <w:tcPr>
            <w:tcW w:w="1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121,205</w:t>
            </w:r>
          </w:p>
        </w:tc>
      </w:tr>
      <w:tr>
        <w:trPr>
          <w:trHeight w:val="19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Billings (in thousands)</w:t>
            </w:r>
          </w:p>
        </w:tc>
        <w:tc>
          <w:tcPr>
            <w:tcW w:w="3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7,384</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11,956</w:t>
            </w:r>
          </w:p>
        </w:tc>
      </w:tr>
      <w:tr>
        <w:trPr>
          <w:trHeight w:val="203"/>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Total Billings (in thousands)</w:t>
            </w:r>
          </w:p>
        </w:tc>
        <w:tc>
          <w:tcPr>
            <w:tcW w:w="32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382,411</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459,487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729,893</w:t>
            </w:r>
          </w:p>
        </w:tc>
      </w:tr>
    </w:tbl>
    <w:p>
      <w:pPr>
        <w:spacing w:after="0" w:line="200" w:lineRule="exact"/>
        <w:rPr>
          <w:sz w:val="20"/>
          <w:szCs w:val="20"/>
          <w:color w:val="auto"/>
        </w:rPr>
      </w:pPr>
    </w:p>
    <w:p>
      <w:pPr>
        <w:ind w:left="280" w:right="80"/>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Free Subscribers</w:t>
      </w:r>
      <w:r>
        <w:rPr>
          <w:rFonts w:ascii="Times New Roman" w:cs="Times New Roman" w:eastAsia="Times New Roman" w:hAnsi="Times New Roman"/>
          <w:sz w:val="16"/>
          <w:szCs w:val="16"/>
          <w:color w:val="auto"/>
        </w:rPr>
        <w:t>. Free Subscribers are defined as unique subscribers who have subscribed to one of our free investment publications via a valid email address and continue to</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remain directly opted in, excluding any Paid Subscribers who also have free subscriptions. Free subscriptions are often daily publications that include some commentary about the stock market, investing ideas, or other specialized topics. Included within our free publications are advertisements and editorial support for our current marketing campaigns. While subscribed to our publications, Free Subscribers learn about our editors and analysts, get to know our products and services, and learn more about ways we can help them be a better investor.</w:t>
      </w:r>
    </w:p>
    <w:p>
      <w:pPr>
        <w:spacing w:after="0" w:line="120" w:lineRule="exact"/>
        <w:rPr>
          <w:sz w:val="20"/>
          <w:szCs w:val="20"/>
          <w:color w:val="auto"/>
        </w:rPr>
      </w:pPr>
    </w:p>
    <w:p>
      <w:pPr>
        <w:ind w:left="280" w:right="60"/>
        <w:spacing w:after="0" w:line="248" w:lineRule="auto"/>
        <w:rPr>
          <w:sz w:val="20"/>
          <w:szCs w:val="20"/>
          <w:color w:val="auto"/>
        </w:rPr>
      </w:pPr>
      <w:r>
        <w:rPr>
          <w:rFonts w:ascii="Times New Roman" w:cs="Times New Roman" w:eastAsia="Times New Roman" w:hAnsi="Times New Roman"/>
          <w:sz w:val="16"/>
          <w:szCs w:val="16"/>
          <w:color w:val="auto"/>
        </w:rPr>
        <w:t>In order to better describe our universe of Free Subscribers, we recognize sub-categories of Free Subscribers – Active and Passive Free Subscribers. Active Free Subscribers are those Free Subscribers with whom we have engaged during the most recent quarter and represent those individuals who have received and/or consumed our content and offers to purchase other publications on a regular basis during that same quarter. Our analysis indicates that this population of Active Free Subscribers is more likely to continue to consume content and convert to a Paid Subscriber. Passive Free Subscribers represent those individuals who have not directly received our content during the most recent quarter, however, they remain included in our Free Subscriber population as defined above and may continue to consume content from our platforms. We expect the composition of our Active and Passive Free Subscribers will change over time as we refine our marketing and data analysis techniques aimed at converting Free Subscribers to Paid Subscribers.</w:t>
      </w:r>
    </w:p>
    <w:p>
      <w:pPr>
        <w:spacing w:after="0" w:line="119" w:lineRule="exact"/>
        <w:rPr>
          <w:sz w:val="20"/>
          <w:szCs w:val="20"/>
          <w:color w:val="auto"/>
        </w:rPr>
      </w:pPr>
    </w:p>
    <w:p>
      <w:pPr>
        <w:ind w:left="280" w:right="40"/>
        <w:spacing w:after="0" w:line="256" w:lineRule="auto"/>
        <w:rPr>
          <w:sz w:val="20"/>
          <w:szCs w:val="20"/>
          <w:color w:val="auto"/>
        </w:rPr>
      </w:pPr>
      <w:r>
        <w:rPr>
          <w:rFonts w:ascii="Times New Roman" w:cs="Times New Roman" w:eastAsia="Times New Roman" w:hAnsi="Times New Roman"/>
          <w:sz w:val="16"/>
          <w:szCs w:val="16"/>
          <w:color w:val="auto"/>
        </w:rPr>
        <w:t>Free Subscribers increased by 0.7 million, or 4.7%, to 16.4 million at December 31, 2023 as compared to 15.7 million at December 31, 2022. As of December 31, 2023, Active Free Subscribers decreased by 0.2 million, or 5.3%, to 4.1 million as compared to 4.3 million as of December 31, 2022. The year over year decline in Active Free Subscribers is a result of decreased engagement with our Free Subscriber community as consumer engagement continues to be soft.</w:t>
      </w:r>
    </w:p>
    <w:p>
      <w:pPr>
        <w:spacing w:after="0" w:line="113" w:lineRule="exact"/>
        <w:rPr>
          <w:sz w:val="20"/>
          <w:szCs w:val="20"/>
          <w:color w:val="auto"/>
        </w:rPr>
      </w:pPr>
    </w:p>
    <w:p>
      <w:pPr>
        <w:ind w:left="280" w:right="40"/>
        <w:spacing w:after="0" w:line="268" w:lineRule="auto"/>
        <w:rPr>
          <w:sz w:val="20"/>
          <w:szCs w:val="20"/>
          <w:color w:val="auto"/>
        </w:rPr>
      </w:pPr>
      <w:r>
        <w:rPr>
          <w:rFonts w:ascii="Times New Roman" w:cs="Times New Roman" w:eastAsia="Times New Roman" w:hAnsi="Times New Roman"/>
          <w:sz w:val="16"/>
          <w:szCs w:val="16"/>
          <w:color w:val="auto"/>
        </w:rPr>
        <w:t>Free Subscribers increased by 2.0 million, or 14.6%, to 15.7 million as of December 31, 2022 as compared to 13.7 million as of December 31, 2021. As of December 31, 2022, Active Free Subscribers decreased by 0.2 million, or 5.2%, to 4.3 million as compared to 4.5 million as of December 31, 2021.</w:t>
      </w:r>
    </w:p>
    <w:p>
      <w:pPr>
        <w:spacing w:after="0" w:line="102" w:lineRule="exact"/>
        <w:rPr>
          <w:sz w:val="20"/>
          <w:szCs w:val="20"/>
          <w:color w:val="auto"/>
        </w:rPr>
      </w:pPr>
    </w:p>
    <w:p>
      <w:pPr>
        <w:ind w:left="280"/>
        <w:spacing w:after="0" w:line="253" w:lineRule="auto"/>
        <w:rPr>
          <w:sz w:val="20"/>
          <w:szCs w:val="20"/>
          <w:color w:val="auto"/>
        </w:rPr>
      </w:pPr>
      <w:r>
        <w:rPr>
          <w:rFonts w:ascii="Times New Roman" w:cs="Times New Roman" w:eastAsia="Times New Roman" w:hAnsi="Times New Roman"/>
          <w:sz w:val="16"/>
          <w:szCs w:val="16"/>
          <w:b w:val="1"/>
          <w:bCs w:val="1"/>
          <w:i w:val="1"/>
          <w:iCs w:val="1"/>
          <w:color w:val="auto"/>
        </w:rPr>
        <w:t xml:space="preserve">Paid Subscribers. </w:t>
      </w:r>
      <w:r>
        <w:rPr>
          <w:rFonts w:ascii="Times New Roman" w:cs="Times New Roman" w:eastAsia="Times New Roman" w:hAnsi="Times New Roman"/>
          <w:sz w:val="16"/>
          <w:szCs w:val="16"/>
          <w:color w:val="auto"/>
        </w:rPr>
        <w:t>We define Paid Subscribers as the total number of unique subscribers with at least one paid subscription at the end of the period. We view the number of Paid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Subscribers at the end of a given period as a key indicator of the attractiveness of our products and services, as well as the efficacy of our marketing in converting Free Subscribers to Paid Subscribers and generating direct-to-paid Paid Subscribers. We grow our Paid Subscriber base through performance marketing directly to prospective and existing subscribers across a variety of media, channels, and platforms.</w:t>
      </w:r>
    </w:p>
    <w:p>
      <w:pPr>
        <w:spacing w:after="0" w:line="115" w:lineRule="exact"/>
        <w:rPr>
          <w:sz w:val="20"/>
          <w:szCs w:val="20"/>
          <w:color w:val="auto"/>
        </w:rPr>
      </w:pPr>
    </w:p>
    <w:p>
      <w:pPr>
        <w:ind w:left="280" w:right="320"/>
        <w:spacing w:after="0" w:line="268" w:lineRule="auto"/>
        <w:rPr>
          <w:sz w:val="20"/>
          <w:szCs w:val="20"/>
          <w:color w:val="auto"/>
        </w:rPr>
      </w:pPr>
      <w:r>
        <w:rPr>
          <w:rFonts w:ascii="Times New Roman" w:cs="Times New Roman" w:eastAsia="Times New Roman" w:hAnsi="Times New Roman"/>
          <w:sz w:val="16"/>
          <w:szCs w:val="16"/>
          <w:color w:val="auto"/>
        </w:rPr>
        <w:t>Total Paid Subscribers decreased by 104 thousand, or 12.4%, to 737 thousand as of December 31, 2023 as compared to 841 thousand at December 31, 2022, driven by soft consumer engagement and a significant decrease in direct marketing spend as we focus on maintenance of profitability . The decreases from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386"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color w:val="auto"/>
        </w:rPr>
        <w:t>factors were compounded by the loss of approximately 16 thousand paid subscribers as part of the sale of Buttonwood Publishing in fourth quarter 2023.</w:t>
      </w:r>
    </w:p>
    <w:p>
      <w:pPr>
        <w:spacing w:after="0" w:line="143"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6"/>
          <w:szCs w:val="16"/>
          <w:color w:val="auto"/>
        </w:rPr>
        <w:t>Total Paid Subscribers decreased by 130 thousand, or 13.4%, to 841 thousand as of December 31, 2022 as compared to 972 thousand as of December 31, 2021, driven by volatility across asset classes, high-inflation environment, and fears of recession that left prospective and existing subscribers hesitant to purchase or upgrade as they assessed the latest economic data and the Federal Reserve’s potential next steps. These trends, which began in first quarter 2022, continued to slow our new subscriber acquisition through fourth quarter 2022. The decreases from these factors were partially offset by the addition of approximately 16 thousand paid subscribers that joined our list with the Buttonwood Publishing transaction in third quarter 2022.</w:t>
      </w:r>
    </w:p>
    <w:p>
      <w:pPr>
        <w:spacing w:after="0" w:line="11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6"/>
          <w:szCs w:val="16"/>
          <w:color w:val="auto"/>
        </w:rPr>
        <w:t>Subscriber count churn has ranged from approximately 2.3% to 2.7% per month between 2021 and 2023. Almost all of the subscribers who churned in 2023 did so having owned only one entry level publication. This is evidenced by the fact that their ARPU approximately matched the subscription price of our entry level publications. We believe our net revenue retention rate, which has averaged over 70% from 2021 to 2023, is a more meaningful gauge of subscriber satisfaction.</w:t>
      </w:r>
    </w:p>
    <w:p>
      <w:pPr>
        <w:spacing w:after="0" w:line="111" w:lineRule="exact"/>
        <w:rPr>
          <w:sz w:val="20"/>
          <w:szCs w:val="20"/>
          <w:color w:val="auto"/>
        </w:rPr>
      </w:pPr>
    </w:p>
    <w:p>
      <w:pPr>
        <w:jc w:val="both"/>
        <w:ind w:right="120"/>
        <w:spacing w:after="0" w:line="257" w:lineRule="auto"/>
        <w:rPr>
          <w:sz w:val="20"/>
          <w:szCs w:val="20"/>
          <w:color w:val="auto"/>
        </w:rPr>
      </w:pPr>
      <w:r>
        <w:rPr>
          <w:rFonts w:ascii="Times New Roman" w:cs="Times New Roman" w:eastAsia="Times New Roman" w:hAnsi="Times New Roman"/>
          <w:sz w:val="16"/>
          <w:szCs w:val="16"/>
          <w:b w:val="1"/>
          <w:bCs w:val="1"/>
          <w:i w:val="1"/>
          <w:iCs w:val="1"/>
          <w:color w:val="auto"/>
        </w:rPr>
        <w:t xml:space="preserve">Average Revenue Per User (“ARPU”). </w:t>
      </w:r>
      <w:r>
        <w:rPr>
          <w:rFonts w:ascii="Times New Roman" w:cs="Times New Roman" w:eastAsia="Times New Roman" w:hAnsi="Times New Roman"/>
          <w:sz w:val="16"/>
          <w:szCs w:val="16"/>
          <w:color w:val="auto"/>
        </w:rPr>
        <w:t>We calculate ARPU as the trailing four quarters of net Billings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divided by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the average number of quarterly total Paid Subscribers over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that period. We believe ARPU is a key indicator of how successful we are in attracting subscribers to higher-value content. We believe that our high ARPU is indicative of the trust we build with our subscribers and of the value they see in our products and services.</w:t>
      </w:r>
    </w:p>
    <w:p>
      <w:pPr>
        <w:spacing w:after="0" w:line="11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 xml:space="preserve">ARPU decreased by $16, or 3.1%, to $503 as of December 31, 2023 as compared to $519 as of December 31, 2022. The year-over-year decrease was driven by a 17% decrease in trailing four quarter Billings, while trailing four quarter average Paid Subscribers only decreased by 14%. The decrease in trailing four quarter Billings was driven by reduced engagement of prospective and existing subscribers, as further discussed in </w:t>
      </w:r>
      <w:r>
        <w:rPr>
          <w:rFonts w:ascii="Times New Roman" w:cs="Times New Roman" w:eastAsia="Times New Roman" w:hAnsi="Times New Roman"/>
          <w:sz w:val="16"/>
          <w:szCs w:val="16"/>
          <w:i w:val="1"/>
          <w:iCs w:val="1"/>
          <w:color w:val="auto"/>
        </w:rPr>
        <w:t>—Billings</w:t>
      </w:r>
      <w:r>
        <w:rPr>
          <w:rFonts w:ascii="Times New Roman" w:cs="Times New Roman" w:eastAsia="Times New Roman" w:hAnsi="Times New Roman"/>
          <w:sz w:val="16"/>
          <w:szCs w:val="16"/>
          <w:color w:val="auto"/>
        </w:rPr>
        <w:t xml:space="preserve"> below.</w:t>
      </w:r>
    </w:p>
    <w:p>
      <w:pPr>
        <w:spacing w:after="0" w:line="11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ARPU decreased by $223, or 30.1%, to $519 as of December 31, 2022 as compared to $742 as of December 31, 2021. The year-over-year decrease was driven by a 37% decrease in trailing four quarter Billings in 2021, which significantly outpaced the decrease in trailing four quarter average Paid Subscribers of 10%. The decrease in trailing four quarter Billings was due in part to the volatility across asset classes, high-inflation environment, and fears of recession that had been in place since first quarter 2022, which we believe left prospective and existing subscribers hesitant to purchase or upgrade as they assess the latest economic data and the Federal Reserve’s potential next steps. Most of our new subscribers join us via entry level publications, which are generally at lower price points, and thus are initially dilutive to ARPU.</w:t>
      </w:r>
    </w:p>
    <w:p>
      <w:pPr>
        <w:spacing w:after="0" w:line="118"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While they have declined somewhat recently, our ARPUs remain high relative to other subscription businesses, and we attribute this to the quality of our content and effective sales and marketing efforts regarding higher value content, bundled subscriptions and membership subscriptions. These subscriptions have compelling economics that allow us to recoup our initial marketing spend made to acquire these subscribers. Specifically, our payback period was estimated at 1.5 years, 1.5 years, and 0.9 years for the years ended December 31, 2023, 2022 and 2021, respectively. Our payback period remains elevated primarily due to a combination of increased customer acquisition costs and the hesitancy of these subscribers to make additional purchases. The payback period was lower in 2021 with conversion rates still relatively high and, to a far lesser degree, lower costs for media spend as demand was somewhat constrained as the pandemic lingered.</w:t>
      </w:r>
    </w:p>
    <w:p>
      <w:pPr>
        <w:spacing w:after="0" w:line="120"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6"/>
          <w:szCs w:val="16"/>
          <w:b w:val="1"/>
          <w:bCs w:val="1"/>
          <w:i w:val="1"/>
          <w:iCs w:val="1"/>
          <w:color w:val="auto"/>
        </w:rPr>
        <w:t xml:space="preserve">Billings. </w:t>
      </w:r>
      <w:r>
        <w:rPr>
          <w:rFonts w:ascii="Times New Roman" w:cs="Times New Roman" w:eastAsia="Times New Roman" w:hAnsi="Times New Roman"/>
          <w:sz w:val="16"/>
          <w:szCs w:val="16"/>
          <w:color w:val="auto"/>
        </w:rPr>
        <w:t>Billings represents amounts invoiced to customers. We measure and monitor our Billings because it provides insight into trends in cash generation from our marketing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campaigns. We generally bill our subscribers at the time of sale and receive full cash payment up front, and defer and recognize a portion of the related revenue ratably over time for term and membership subscriptions. For certain subscriptions, we may invoice our Paid Subscribers at the beginning of the term, in annual or monthly installments, and, from time to time, in multi-year installments. Only amounts invoiced to a Paid Subscriber in a given period are included in Billings. While we believe that Billings provides valuable insight into the cash that will be generated from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148590</wp:posOffset>
            </wp:positionV>
            <wp:extent cx="7176135" cy="400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980"/>
          </w:cols>
          <w:pgMar w:left="600" w:top="1386" w:right="319" w:bottom="1440" w:gutter="0" w:footer="0" w:header="0"/>
        </w:sectPr>
      </w:pPr>
    </w:p>
    <w:bookmarkStart w:id="50" w:name="page51"/>
    <w:bookmarkEnd w:id="50"/>
    <w:p>
      <w:pPr>
        <w:ind w:right="140"/>
        <w:spacing w:after="0" w:line="252" w:lineRule="auto"/>
        <w:rPr>
          <w:sz w:val="20"/>
          <w:szCs w:val="20"/>
          <w:color w:val="auto"/>
        </w:rPr>
      </w:pPr>
      <w:r>
        <w:rPr>
          <w:rFonts w:ascii="Times New Roman" w:cs="Times New Roman" w:eastAsia="Times New Roman" w:hAnsi="Times New Roman"/>
          <w:sz w:val="16"/>
          <w:szCs w:val="16"/>
          <w:color w:val="auto"/>
        </w:rPr>
        <w:t>of our subscriptions, this metric may vary from period to period for a number of reasons and, therefore, Billings has a number of limitations as a quarter-over-quarter or year-over-year comparative measure. These reasons include, but are not limited to, the following: (i) a variety of contractual terms could result in some periods having a higher proportion of annual or membership subscriptions than other periods; (ii) fluctuations in payment terms may affect the Billings recognized in a particular period; and (iii) the timing of large campaigns may vary significantly from period to period.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break down our Billings into three sub-categories: New Marketing Billings, Net Renewal Billings, and Other Billings.</w:t>
      </w:r>
    </w:p>
    <w:p>
      <w:pPr>
        <w:spacing w:after="0" w:line="143" w:lineRule="exact"/>
        <w:rPr>
          <w:sz w:val="20"/>
          <w:szCs w:val="20"/>
          <w:color w:val="auto"/>
        </w:rPr>
      </w:pPr>
    </w:p>
    <w:p>
      <w:pPr>
        <w:jc w:val="both"/>
        <w:ind w:right="80"/>
        <w:spacing w:after="0" w:line="310" w:lineRule="auto"/>
        <w:rPr>
          <w:sz w:val="20"/>
          <w:szCs w:val="20"/>
          <w:color w:val="auto"/>
        </w:rPr>
      </w:pPr>
      <w:r>
        <w:rPr>
          <w:rFonts w:ascii="Times New Roman" w:cs="Times New Roman" w:eastAsia="Times New Roman" w:hAnsi="Times New Roman"/>
          <w:sz w:val="14"/>
          <w:szCs w:val="14"/>
          <w:color w:val="auto"/>
        </w:rPr>
        <w:t>New Marketing Billings are Billings from all new subscription sales. New Marketing Billings decreased by $55.4 million, or 16.6%, to $278.3 million in 2023 as compared to $333.6 million in 2022. Soft consumer engagement driven by external factors led us to significantly decrease our direct marketing spend to maintain profitability. As a result, we generated fewer new subscribers. Existing subscribers were also reluctant to purchase higher priced subscriptions, also contributing to the decline.</w:t>
      </w:r>
    </w:p>
    <w:p>
      <w:pPr>
        <w:spacing w:after="0" w:line="78" w:lineRule="exact"/>
        <w:rPr>
          <w:sz w:val="20"/>
          <w:szCs w:val="20"/>
          <w:color w:val="auto"/>
        </w:rPr>
      </w:pPr>
    </w:p>
    <w:p>
      <w:pPr>
        <w:spacing w:after="0" w:line="341" w:lineRule="auto"/>
        <w:rPr>
          <w:sz w:val="20"/>
          <w:szCs w:val="20"/>
          <w:color w:val="auto"/>
        </w:rPr>
      </w:pPr>
      <w:r>
        <w:rPr>
          <w:rFonts w:ascii="Times New Roman" w:cs="Times New Roman" w:eastAsia="Times New Roman" w:hAnsi="Times New Roman"/>
          <w:sz w:val="14"/>
          <w:szCs w:val="14"/>
          <w:color w:val="auto"/>
        </w:rPr>
        <w:t>New Marketing Billings decreased by $263.1 million, or 44.1%, to $333.6 million in 2022 as compared to $596.7 million in 2021. The same factors impacting 2023 began in 2022. However, the decline in 2022 was far more substantial as we came off of record levels of engagement, direct marketing spend, and a partial year of low inflation in 2021.</w:t>
      </w:r>
    </w:p>
    <w:p>
      <w:pPr>
        <w:spacing w:after="0" w:line="57" w:lineRule="exact"/>
        <w:rPr>
          <w:sz w:val="20"/>
          <w:szCs w:val="20"/>
          <w:color w:val="auto"/>
        </w:rPr>
      </w:pPr>
    </w:p>
    <w:p>
      <w:pPr>
        <w:jc w:val="both"/>
        <w:ind w:right="360"/>
        <w:spacing w:after="0" w:line="341" w:lineRule="auto"/>
        <w:rPr>
          <w:sz w:val="20"/>
          <w:szCs w:val="20"/>
          <w:color w:val="auto"/>
        </w:rPr>
      </w:pPr>
      <w:r>
        <w:rPr>
          <w:rFonts w:ascii="Times New Roman" w:cs="Times New Roman" w:eastAsia="Times New Roman" w:hAnsi="Times New Roman"/>
          <w:sz w:val="14"/>
          <w:szCs w:val="14"/>
          <w:color w:val="auto"/>
        </w:rPr>
        <w:t>Net Renewal Billings are Billings from renewals and maintenance fee payments. Net Renewal Billings decreased by $23.5 million, or 19.5%, to $96.8 million in 2023 as compared to $120.3 million in 2022. This is primarily a function of a significant decrease (approximately 120 thousand) in average Paid Subscribers in 2023 versus 2022.</w:t>
      </w:r>
    </w:p>
    <w:p>
      <w:pPr>
        <w:spacing w:after="0" w:line="57" w:lineRule="exact"/>
        <w:rPr>
          <w:sz w:val="20"/>
          <w:szCs w:val="20"/>
          <w:color w:val="auto"/>
        </w:rPr>
      </w:pPr>
    </w:p>
    <w:p>
      <w:pPr>
        <w:ind w:right="100"/>
        <w:spacing w:after="0" w:line="310" w:lineRule="auto"/>
        <w:rPr>
          <w:sz w:val="20"/>
          <w:szCs w:val="20"/>
          <w:color w:val="auto"/>
        </w:rPr>
      </w:pPr>
      <w:r>
        <w:rPr>
          <w:rFonts w:ascii="Times New Roman" w:cs="Times New Roman" w:eastAsia="Times New Roman" w:hAnsi="Times New Roman"/>
          <w:sz w:val="14"/>
          <w:szCs w:val="14"/>
          <w:color w:val="auto"/>
        </w:rPr>
        <w:t>Net Renewal Billings decreased by $0.9 million, or 0.8%, to $120.3 million in 2022 as compared to $121.2 million in 2021. A decrease in net renewal billings from term subscriptions of $9.6 million was almost entirely offset by an increase in net renewal billings from membership maintenance fees of $8.7 million, following a significant 40% increase in membership subscribers in 2021. Those new membership subscribers will first pay maintenance fees on the anniversary of their first membership subscription.</w:t>
      </w:r>
    </w:p>
    <w:p>
      <w:pPr>
        <w:spacing w:after="0" w:line="78"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6"/>
          <w:szCs w:val="16"/>
          <w:color w:val="auto"/>
        </w:rPr>
        <w:t>Other Billings are Billings from revenue share, advertising and conferences. Other Billings increased by $1.8 million or 31.8 % to $7.4 million in 2023 as compared to $5.6 million in 2022 as a result of increasing revenue share activity with external parties.</w:t>
      </w:r>
    </w:p>
    <w:p>
      <w:pPr>
        <w:spacing w:after="0" w:line="104"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6"/>
          <w:szCs w:val="16"/>
          <w:color w:val="auto"/>
        </w:rPr>
        <w:t>Other Billings decreased by $6.4 million or 53.1% to $5.6 million in 2022 as compared to $12.0 million in 2021 as a result of decreasing revenue share activity with external parties.</w:t>
      </w:r>
    </w:p>
    <w:p>
      <w:pPr>
        <w:spacing w:after="0" w:line="104"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6"/>
          <w:szCs w:val="16"/>
          <w:color w:val="auto"/>
        </w:rPr>
        <w:t>Total Billings decreased by $77.1 million, or 16.8%, to $382.4 million in 2023 as compared to $459.5 million in 2022. Levels of engagement as measured by landing page visits steadied in 2023; however the overall rate of conversion to paid products continued to decline. Many external factors that began in 2022 continue to impact prospective and existing subscribers such as inflation, volatility across asset classes and federal reserve tightening. While the growth of 12 month inflation rates has declined year over year, the consumer price index was still up 3.4%. We believe this continues to create reluctance among prospective and existing subscribers to purchase our higher priced subscriptions.</w:t>
      </w:r>
    </w:p>
    <w:p>
      <w:pPr>
        <w:spacing w:after="0" w:line="11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6"/>
          <w:szCs w:val="16"/>
          <w:color w:val="auto"/>
        </w:rPr>
        <w:t>Billings decreased by $270.4 million, or 37.0%, to $459.5 million in 2022 as compared to $729.9 million in 2021. We believe the decrease is due in large part to reduced engagement of prospective and existing subscribers. This began in the second half of 2021 as consumers prioritized travel and leisure in lieu of spending time focusing on their investments. 2022 brought additional challenges with uncertainty stemming from external factors such as 40-year high inflation, volatility across asset classes, federal reserve tightening, and the war in Ukraine, which we believe further contributed to prospective and existing subscribers delaying their 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-193675</wp:posOffset>
            </wp:positionH>
            <wp:positionV relativeFrom="paragraph">
              <wp:posOffset>148590</wp:posOffset>
            </wp:positionV>
            <wp:extent cx="7176135" cy="40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940"/>
          </w:cols>
          <w:pgMar w:left="600" w:top="1386"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b w:val="1"/>
          <w:bCs w:val="1"/>
          <w:color w:val="auto"/>
        </w:rPr>
        <w:t>Components of MarketWise’s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Revenue</w:t>
      </w:r>
    </w:p>
    <w:p>
      <w:pPr>
        <w:spacing w:after="0" w:line="145"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6"/>
          <w:szCs w:val="16"/>
          <w:color w:val="auto"/>
        </w:rPr>
        <w:t>We generate net revenue primarily from services provided in delivering term and membership subscription-based financial research, publications, and SaaS offerings to individual subscribers through our online platforms, advertising arrangements, print products, events, and revenue share agreements.</w:t>
      </w:r>
    </w:p>
    <w:p>
      <w:pPr>
        <w:spacing w:after="0" w:line="104"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6"/>
          <w:szCs w:val="16"/>
          <w:color w:val="auto"/>
        </w:rPr>
        <w:t>We earn net revenue from the sale of advertising placements on our websites and from the sale of print products and events. We also recognize net revenue through revenue share agreements where we earn a commission for successful sales by other parties generated through the use of our customer list.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Employee Compensation Costs</w:t>
      </w:r>
    </w:p>
    <w:p>
      <w:pPr>
        <w:spacing w:after="0" w:line="145"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6"/>
          <w:szCs w:val="16"/>
          <w:color w:val="auto"/>
        </w:rPr>
        <w:t>Employee compensation costs, or payroll and payroll-related costs, include salaries, bonuses, benefits, and stock-based compensation for employees classified within cost of revenue, sales and marketing, and general and administrative, and also includes sales commissions for sales and marketing employees.</w:t>
      </w:r>
    </w:p>
    <w:p>
      <w:pPr>
        <w:spacing w:after="0" w:line="10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6"/>
          <w:szCs w:val="16"/>
          <w:color w:val="auto"/>
        </w:rPr>
        <w:t>During the year ended December 31, 2023 we recorded stock-based compensation related to the MarketWise, Inc. 2021 Incentive Award Plan effective on July 21, 2021 (as amended, the “2021 Incentive Award Plan”), our Employee Stock Purchase Plan (“ESPP”), and profits interests. During the year ended December 31, 2022 we recorded stock-based compensation related to our 2021 Incentive Award Plan and our ESPP. During the year ended December 31, 2021 we recorded stock-based compensation related to our 2021 Incentive Award Plan and the incentive compensation equity interest which MarketWise, LLC granted to certain key employees prior to consummation of the Transaction ("Class B Units'’).</w:t>
      </w:r>
    </w:p>
    <w:p>
      <w:pPr>
        <w:spacing w:after="0" w:line="118"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6"/>
          <w:szCs w:val="16"/>
          <w:color w:val="auto"/>
        </w:rPr>
        <w:t>We recognized stock-based compensation expenses related to our 2021 Incentive Award Plan and our ESPP of $22.6 million and $9.0 million for the years ended December 31, 2023 and 2022,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Stock-based compensation expense during 2021 is primarily related to the Class B Units. We recognized stock-based compensation expenses related to the Class B Units of</w:t>
      </w:r>
    </w:p>
    <w:p>
      <w:pPr>
        <w:spacing w:after="0" w:line="19"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6"/>
          <w:szCs w:val="16"/>
          <w:color w:val="auto"/>
        </w:rPr>
        <w:t>$1,058.4 million for the year ended December 31, 2021, which includes profits distributions to holders of Class B Units of $123.4 million. Prior to the Transactions, the Class B Units were classified as liabilities as opposed to equity and remeasured to fair value at the end of each reporting period, with the change in fair value being charged to stock-based compensation expense. Because the Class B Units were classified as liabilities on our consolidated balance sheet prior to the Transactions, all profits distributions made to the holders of the Class B Units were considered to be stock-based compensation expenses.</w:t>
      </w:r>
    </w:p>
    <w:p>
      <w:pPr>
        <w:spacing w:after="0" w:line="12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Upon completion of the Transactions, all Class B Units of MarketWise, LLC fully vested as of the transaction date, and the original operating agreement of MarketWise, LLC (“Prior MarketWise Operating Agreement”) was terminated and replaced by the MarketWise Operating Agreement consistent with the Company’s Up-C structure. The MarketWise Operating Agreement does not contain the put and call options that existed under the Prior MarketWise Operating Agreement, and the LLC Units are treated as common equity under the MarketWise Operating Agreement and do not generate stock-based compensation expense. Therefore, the Class B Units liability was reclassified to equity as of the transaction date and stock-based compensation expense associated with the Class B Units ceased after the transaction date.</w:t>
      </w:r>
    </w:p>
    <w:p>
      <w:pPr>
        <w:spacing w:after="0" w:line="11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6"/>
          <w:szCs w:val="16"/>
          <w:color w:val="auto"/>
        </w:rPr>
        <w:t>As a result of the Transactions, in which all Class B Units were converted into LLC Units, we no longer recognize stock-based compensation expenses related to the Class B Units for periods after the consummation of the Transactions. While going forward we do not expect to incur the levels of stock-based compensation expense we have historically as a result the liability-award classification of the Class B Units, we will continue to incur stock-based compensation expense in the ordinary course of business.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See also </w:t>
      </w:r>
      <w:r>
        <w:rPr>
          <w:rFonts w:ascii="Times New Roman" w:cs="Times New Roman" w:eastAsia="Times New Roman" w:hAnsi="Times New Roman"/>
          <w:sz w:val="16"/>
          <w:szCs w:val="16"/>
          <w:i w:val="1"/>
          <w:iCs w:val="1"/>
          <w:color w:val="auto"/>
        </w:rPr>
        <w:t>Note 11 – Stock-Based Compensation</w:t>
      </w:r>
      <w:r>
        <w:rPr>
          <w:rFonts w:ascii="Times New Roman" w:cs="Times New Roman" w:eastAsia="Times New Roman" w:hAnsi="Times New Roman"/>
          <w:sz w:val="16"/>
          <w:szCs w:val="16"/>
          <w:color w:val="auto"/>
        </w:rPr>
        <w:t xml:space="preserve"> to our consolidated financial statements included elsewhere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38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color w:val="auto"/>
        </w:rPr>
        <w:t>The total amount of stock-based compensation expense included within each of the respective line items in the consolidated statement of operations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98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40" w:type="dxa"/>
            <w:vAlign w:val="bottom"/>
            <w:gridSpan w:val="6"/>
          </w:tcPr>
          <w:p>
            <w:pPr>
              <w:jc w:val="right"/>
              <w:ind w:right="202"/>
              <w:spacing w:after="0"/>
              <w:rPr>
                <w:sz w:val="20"/>
                <w:szCs w:val="20"/>
                <w:color w:val="auto"/>
              </w:rPr>
            </w:pPr>
            <w:r>
              <w:rPr>
                <w:rFonts w:ascii="Times New Roman" w:cs="Times New Roman" w:eastAsia="Times New Roman" w:hAnsi="Times New Roman"/>
                <w:sz w:val="12"/>
                <w:szCs w:val="12"/>
                <w:b w:val="1"/>
                <w:bCs w:val="1"/>
                <w:color w:val="auto"/>
              </w:rPr>
              <w:t>Year Ended December 31, 2023</w:t>
            </w:r>
          </w:p>
        </w:tc>
        <w:tc>
          <w:tcPr>
            <w:tcW w:w="1040" w:type="dxa"/>
            <w:vAlign w:val="bottom"/>
          </w:tcPr>
          <w:p>
            <w:pPr>
              <w:spacing w:after="0"/>
              <w:rPr>
                <w:sz w:val="14"/>
                <w:szCs w:val="14"/>
                <w:color w:val="auto"/>
              </w:rPr>
            </w:pPr>
          </w:p>
        </w:tc>
      </w:tr>
      <w:tr>
        <w:trPr>
          <w:trHeight w:val="20"/>
        </w:trPr>
        <w:tc>
          <w:tcPr>
            <w:tcW w:w="69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2"/>
        </w:trPr>
        <w:tc>
          <w:tcPr>
            <w:tcW w:w="69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4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5"/>
              <w:spacing w:after="0"/>
              <w:rPr>
                <w:sz w:val="20"/>
                <w:szCs w:val="20"/>
                <w:color w:val="auto"/>
              </w:rPr>
            </w:pPr>
            <w:r>
              <w:rPr>
                <w:rFonts w:ascii="Times New Roman" w:cs="Times New Roman" w:eastAsia="Times New Roman" w:hAnsi="Times New Roman"/>
                <w:sz w:val="12"/>
                <w:szCs w:val="12"/>
                <w:b w:val="1"/>
                <w:bCs w:val="1"/>
                <w:color w:val="auto"/>
              </w:rPr>
              <w:t>2021</w:t>
            </w:r>
          </w:p>
        </w:tc>
      </w:tr>
      <w:tr>
        <w:trPr>
          <w:trHeight w:val="19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820" w:type="dxa"/>
            <w:vAlign w:val="bottom"/>
            <w:shd w:val="clear" w:color="auto" w:fill="CCEEFF"/>
          </w:tcPr>
          <w:p>
            <w:pPr>
              <w:jc w:val="right"/>
              <w:ind w:right="667"/>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171,804</w:t>
            </w:r>
          </w:p>
        </w:tc>
      </w:tr>
      <w:tr>
        <w:trPr>
          <w:trHeight w:val="199"/>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8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48,098</w:t>
            </w:r>
          </w:p>
        </w:tc>
      </w:tr>
      <w:tr>
        <w:trPr>
          <w:trHeight w:val="19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2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17,277</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843,449</w:t>
            </w:r>
          </w:p>
        </w:tc>
      </w:tr>
      <w:tr>
        <w:trPr>
          <w:trHeight w:val="190"/>
        </w:trPr>
        <w:tc>
          <w:tcPr>
            <w:tcW w:w="698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Total stock based-compensation expense</w:t>
            </w:r>
          </w:p>
        </w:tc>
        <w:tc>
          <w:tcPr>
            <w:tcW w:w="820" w:type="dxa"/>
            <w:vAlign w:val="bottom"/>
            <w:tcBorders>
              <w:bottom w:val="single" w:sz="8" w:color="auto"/>
            </w:tcBorders>
          </w:tcPr>
          <w:p>
            <w:pPr>
              <w:jc w:val="right"/>
              <w:ind w:right="667"/>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23,384</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9,045</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1,063,351</w:t>
            </w:r>
          </w:p>
        </w:tc>
      </w:tr>
      <w:tr>
        <w:trPr>
          <w:trHeight w:val="20"/>
        </w:trPr>
        <w:tc>
          <w:tcPr>
            <w:tcW w:w="69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Cost of Revenue</w:t>
      </w:r>
    </w:p>
    <w:p>
      <w:pPr>
        <w:spacing w:after="0" w:line="14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6"/>
          <w:szCs w:val="16"/>
          <w:color w:val="auto"/>
        </w:rPr>
        <w:t>Cost of revenue consists primarily of payroll and payroll-related costs associated with producing and publishing MarketWise’s content, hosting fees, customer service, credit card processing fees, product costs, and allocated overhead. Cost of revenue is exclusive of depreciation and amortization, which is shown as a separate line item.</w:t>
      </w:r>
    </w:p>
    <w:p>
      <w:pPr>
        <w:spacing w:after="0" w:line="104" w:lineRule="exact"/>
        <w:rPr>
          <w:sz w:val="20"/>
          <w:szCs w:val="20"/>
          <w:color w:val="auto"/>
        </w:rPr>
      </w:pPr>
    </w:p>
    <w:p>
      <w:pPr>
        <w:ind w:right="600"/>
        <w:spacing w:after="0" w:line="268" w:lineRule="auto"/>
        <w:rPr>
          <w:sz w:val="20"/>
          <w:szCs w:val="20"/>
          <w:color w:val="auto"/>
        </w:rPr>
      </w:pPr>
      <w:r>
        <w:rPr>
          <w:rFonts w:ascii="Times New Roman" w:cs="Times New Roman" w:eastAsia="Times New Roman" w:hAnsi="Times New Roman"/>
          <w:sz w:val="16"/>
          <w:szCs w:val="16"/>
          <w:color w:val="auto"/>
        </w:rPr>
        <w:t>Within cost of revenue are stock-based compensation expenses related to the 2021 Incentive Award Plan and the ESPP of $2.9 million and $2.0 million for the years ended December 31, 2023 and 2022, respectively.</w:t>
      </w:r>
    </w:p>
    <w:p>
      <w:pPr>
        <w:spacing w:after="0" w:line="104"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6"/>
          <w:szCs w:val="16"/>
          <w:color w:val="auto"/>
        </w:rPr>
        <w:t>Cost of revenue also includes stock-based compensation expenses related to the Class B units of $170.5 million for the year ended December 31, 2021, which includes profits distributions to holders of Class B Units of $22.8 million.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Sales and Marketing</w:t>
      </w:r>
    </w:p>
    <w:p>
      <w:pPr>
        <w:spacing w:after="0" w:line="145"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6"/>
          <w:szCs w:val="16"/>
          <w:color w:val="auto"/>
        </w:rPr>
        <w:t>Sales and marketing expenses consist primarily of payroll and related costs, amortization of deferred contract acquisition costs, agency costs, advertising campaigns, and branding initiatives. Sales and marketing expenses are exclusive of depreciation and amortization shown as a separate line item.</w:t>
      </w:r>
    </w:p>
    <w:p>
      <w:pPr>
        <w:spacing w:after="0" w:line="104"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6"/>
          <w:szCs w:val="16"/>
          <w:color w:val="auto"/>
        </w:rPr>
        <w:t>Within sales and marketing are stock-based compensation expenses related to the 2021 Incentive Award Plan and the ESPP of $3.2 million and $2.2 million for the years ended December 31, 2023 and 2022, respectively.</w:t>
      </w:r>
    </w:p>
    <w:p>
      <w:pPr>
        <w:spacing w:after="0" w:line="104"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6"/>
          <w:szCs w:val="16"/>
          <w:color w:val="auto"/>
        </w:rPr>
        <w:t>Sales and marketing also includes stock-based compensation expenses related to the Class B units of $46.4 million for the year ended December 31, 2021, which includes profits distributions to holders of Class B Units of $3.8 million.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 and Administrative</w:t>
      </w:r>
    </w:p>
    <w:p>
      <w:pPr>
        <w:spacing w:after="0" w:line="145"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6"/>
          <w:szCs w:val="16"/>
          <w:color w:val="auto"/>
        </w:rPr>
        <w:t>General and administrative expenses consist primarily of payroll and related costs associated with our finance, legal, information technology, human resources, executive, and administrative personnel, legal fees, corporate insurance, office expenses, professional fees, and travel and entertainment costs.</w:t>
      </w:r>
    </w:p>
    <w:p>
      <w:pPr>
        <w:spacing w:after="0" w:line="104"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16"/>
          <w:szCs w:val="16"/>
          <w:color w:val="auto"/>
        </w:rPr>
        <w:t>Within general and administrative are stock-based compensation expenses related to the 2021 Incentive Award Plan and the ESPP of $16.5 million and $4.9 million for the years ended December 31, 2023 and 2022, respectively.</w:t>
      </w:r>
    </w:p>
    <w:p>
      <w:pPr>
        <w:spacing w:after="0" w:line="104"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6"/>
          <w:szCs w:val="16"/>
          <w:color w:val="auto"/>
        </w:rPr>
        <w:t>General and administrative also includes stock-based compensation expenses related to the Class B units of $841.5 million for the year ended December 31, 2021, which includes profits distributions to holders of Class B Units of $96.8 million.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w:t>
      </w:r>
    </w:p>
    <w:p>
      <w:pPr>
        <w:spacing w:after="0" w:line="14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6"/>
          <w:szCs w:val="16"/>
          <w:color w:val="auto"/>
        </w:rPr>
        <w:t>Research and development expenses consist primarily of payroll and related costs, technical services, software expenses, and hosting expenses. Research and development expenses are exclusive of depreciation and amortization shown as a separate line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386"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b w:val="1"/>
          <w:bCs w:val="1"/>
          <w:i w:val="1"/>
          <w:iCs w:val="1"/>
          <w:color w:val="auto"/>
        </w:rPr>
        <w:t>Depreciation and Amortization</w:t>
      </w:r>
    </w:p>
    <w:p>
      <w:pPr>
        <w:spacing w:after="0" w:line="145"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6"/>
          <w:szCs w:val="16"/>
          <w:color w:val="auto"/>
        </w:rPr>
        <w:t>Depreciation and amortization expenses consist of amortization of trade names, customer relationship intangibles, and software development costs, as well as depreciation on other property and equipment such as leasehold improvements, furniture and fixtures, and computer equipment.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Impairment Losses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Impairment losses include charges for deferred contract acquisition costs, intangible assets, and right of use assets related to our Buttonwood Publishing business.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Related Party Expense</w:t>
      </w:r>
    </w:p>
    <w:p>
      <w:pPr>
        <w:spacing w:after="0" w:line="14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6"/>
          <w:szCs w:val="16"/>
          <w:color w:val="auto"/>
        </w:rPr>
        <w:t>Related party expenses primarily consist of Board of Director compensation, revenue share expenses, and expenses for certain corporate functions performed by a related party for certain historic periods.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Income (Expense), Net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Other income, net primarily consists of the net gains on our embedded derivative instruments and on sales of cryptocurrencies.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(Expense) Income, Net</w:t>
      </w:r>
    </w:p>
    <w:p>
      <w:pPr>
        <w:spacing w:after="0" w:line="14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6"/>
          <w:szCs w:val="16"/>
          <w:color w:val="auto"/>
        </w:rPr>
        <w:t>Interest (expense) income, net primarily consists of interest income from our money market accounts, as well as interest expense related to the 2021 Credit Facility (as defined and further discussed below).</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Income (Loss) Attributable to Noncontrolling Interests</w:t>
      </w:r>
    </w:p>
    <w:p>
      <w:pPr>
        <w:spacing w:after="0" w:line="14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The Transactions occurred on July 21, 2021. As a result, net income (loss) for the year ended December 31, 2021 was attributed to the pre-Transactions period from January 1, 2021 through July 21, 2021 and to the post-Transactions period from July 22, 2021 through December 31, 2021. Net income (loss) in the pre-Transactions period was attributable to consolidated MarketWise, LLC and its respective noncontrolling interests and in the post-Transactions period was attributable to consolidated MarketWise, Inc. and its respective noncontrolling interests.</w:t>
      </w:r>
    </w:p>
    <w:p>
      <w:pPr>
        <w:spacing w:after="0" w:line="116" w:lineRule="exact"/>
        <w:rPr>
          <w:sz w:val="20"/>
          <w:szCs w:val="20"/>
          <w:color w:val="auto"/>
        </w:rPr>
      </w:pPr>
    </w:p>
    <w:p>
      <w:pPr>
        <w:ind w:left="560" w:right="60" w:hanging="286"/>
        <w:spacing w:after="0" w:line="252" w:lineRule="auto"/>
        <w:tabs>
          <w:tab w:leader="none" w:pos="556"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income for the years ended December 31, 2023 and 2022 were fully in the post-Transactions period and therefore attributable to consolidated MarketWise, Inc. and its respective noncontrolling interests. As of December 31, 2023, MarketWise, Inc.’s controlling interest in MarketWise, LLC was 11.2% and the noncontrolling interest was 88.8%. For the year ended December 31, 2023 net income attributable to controlling interests included a $1.8 million tax provision, which is 100% attributable to the controlling interest.</w:t>
      </w:r>
    </w:p>
    <w:p>
      <w:pPr>
        <w:spacing w:after="0" w:line="115" w:lineRule="exact"/>
        <w:rPr>
          <w:rFonts w:ascii="Times New Roman" w:cs="Times New Roman" w:eastAsia="Times New Roman" w:hAnsi="Times New Roman"/>
          <w:sz w:val="16"/>
          <w:szCs w:val="16"/>
          <w:color w:val="auto"/>
        </w:rPr>
      </w:pPr>
    </w:p>
    <w:p>
      <w:pPr>
        <w:ind w:left="560" w:right="40" w:hanging="286"/>
        <w:spacing w:after="0" w:line="252" w:lineRule="auto"/>
        <w:tabs>
          <w:tab w:leader="none" w:pos="556"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loss for year ended December 31, 2021 was attributed to the pre-Transactions period from January 1, 2021 through July 21, 2021 and to the post-Transactions period from July 22, 2021 through December 31, 2021. Immediately following the Transactions, MarketWise, Inc.’s controlling interest in MarketWise, LLC was 7.9% and its noncontrolling interest was 92.1%. For the post-Transactions period, net income attributable to controlling interests included a $15.7 million gain on warrant liabilities and a $2.4 million tax provision, both of which are 100% attributable to the controlling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384" w:right="319" w:bottom="1440" w:gutter="0" w:footer="0" w:header="0"/>
        </w:sectPr>
      </w:pPr>
    </w:p>
    <w:bookmarkStart w:id="54" w:name="page55"/>
    <w:bookmarkEnd w:id="54"/>
    <w:p>
      <w:pPr>
        <w:ind w:left="6"/>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4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The following table sets forth our results of operations for the periods presented:</w:t>
      </w:r>
    </w:p>
    <w:p>
      <w:pPr>
        <w:spacing w:after="0" w:line="173" w:lineRule="exact"/>
        <w:rPr>
          <w:sz w:val="20"/>
          <w:szCs w:val="20"/>
          <w:color w:val="auto"/>
        </w:rPr>
      </w:pPr>
    </w:p>
    <w:tbl>
      <w:tblPr>
        <w:tblLayout w:type="fixed"/>
        <w:tblInd w:w="6" w:type="dxa"/>
        <w:tblCellMar>
          <w:top w:w="0" w:type="dxa"/>
          <w:left w:w="0" w:type="dxa"/>
          <w:bottom w:w="0" w:type="dxa"/>
          <w:right w:w="0" w:type="dxa"/>
        </w:tblCellMar>
      </w:tblPr>
      <w:tr>
        <w:trPr>
          <w:trHeight w:val="165"/>
        </w:trPr>
        <w:tc>
          <w:tcPr>
            <w:tcW w:w="698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940" w:type="dxa"/>
            <w:vAlign w:val="bottom"/>
            <w:gridSpan w:val="6"/>
          </w:tcPr>
          <w:p>
            <w:pPr>
              <w:jc w:val="right"/>
              <w:ind w:right="202"/>
              <w:spacing w:after="0"/>
              <w:rPr>
                <w:sz w:val="20"/>
                <w:szCs w:val="20"/>
                <w:color w:val="auto"/>
              </w:rPr>
            </w:pPr>
            <w:r>
              <w:rPr>
                <w:rFonts w:ascii="Times New Roman" w:cs="Times New Roman" w:eastAsia="Times New Roman" w:hAnsi="Times New Roman"/>
                <w:sz w:val="12"/>
                <w:szCs w:val="12"/>
                <w:b w:val="1"/>
                <w:bCs w:val="1"/>
                <w:color w:val="auto"/>
              </w:rPr>
              <w:t>Year Ended December 31, 2023</w:t>
            </w:r>
          </w:p>
        </w:tc>
        <w:tc>
          <w:tcPr>
            <w:tcW w:w="1040" w:type="dxa"/>
            <w:vAlign w:val="bottom"/>
          </w:tcPr>
          <w:p>
            <w:pPr>
              <w:spacing w:after="0"/>
              <w:rPr>
                <w:sz w:val="14"/>
                <w:szCs w:val="14"/>
                <w:color w:val="auto"/>
              </w:rPr>
            </w:pP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2"/>
        </w:trPr>
        <w:tc>
          <w:tcPr>
            <w:tcW w:w="69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2"/>
                <w:szCs w:val="12"/>
                <w:b w:val="1"/>
                <w:bCs w:val="1"/>
                <w:color w:val="auto"/>
              </w:rPr>
              <w:t>2023</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2"/>
                <w:szCs w:val="12"/>
                <w:b w:val="1"/>
                <w:bCs w:val="1"/>
                <w:color w:val="auto"/>
              </w:rPr>
              <w:t>2021</w:t>
            </w:r>
          </w:p>
        </w:tc>
      </w:tr>
      <w:tr>
        <w:trPr>
          <w:trHeight w:val="19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w:t>
            </w:r>
          </w:p>
        </w:tc>
        <w:tc>
          <w:tcPr>
            <w:tcW w:w="3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443,245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510,040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547,899</w:t>
            </w:r>
          </w:p>
        </w:tc>
      </w:tr>
      <w:tr>
        <w:trPr>
          <w:trHeight w:val="199"/>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Related party revenue</w:t>
            </w: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4,937</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2,363</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1,284</w:t>
            </w:r>
          </w:p>
        </w:tc>
      </w:tr>
      <w:tr>
        <w:trPr>
          <w:trHeight w:val="190"/>
        </w:trPr>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net revenue</w:t>
            </w: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448,182</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512,403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549,183</w:t>
            </w:r>
          </w:p>
        </w:tc>
      </w:tr>
      <w:tr>
        <w:trPr>
          <w:trHeight w:val="199"/>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9"/>
        </w:trPr>
        <w:tc>
          <w:tcPr>
            <w:tcW w:w="6980" w:type="dxa"/>
            <w:vAlign w:val="bottom"/>
            <w:shd w:val="clear" w:color="auto" w:fill="CCEEFF"/>
          </w:tcPr>
          <w:p>
            <w:pPr>
              <w:ind w:left="200"/>
              <w:spacing w:after="0" w:line="199" w:lineRule="exact"/>
              <w:rPr>
                <w:sz w:val="20"/>
                <w:szCs w:val="20"/>
                <w:color w:val="auto"/>
              </w:rPr>
            </w:pPr>
            <w:r>
              <w:rPr>
                <w:rFonts w:ascii="Times New Roman" w:cs="Times New Roman" w:eastAsia="Times New Roman" w:hAnsi="Times New Roman"/>
                <w:sz w:val="16"/>
                <w:szCs w:val="16"/>
                <w:color w:val="auto"/>
              </w:rPr>
              <w:t>Cost of revenue</w:t>
            </w:r>
            <w:r>
              <w:rPr>
                <w:rFonts w:ascii="Times New Roman" w:cs="Times New Roman" w:eastAsia="Times New Roman" w:hAnsi="Times New Roman"/>
                <w:sz w:val="20"/>
                <w:szCs w:val="20"/>
                <w:color w:val="auto"/>
                <w:vertAlign w:val="superscript"/>
              </w:rPr>
              <w:t>(1)(2)</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56,802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62,697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239,251</w:t>
            </w:r>
          </w:p>
        </w:tc>
      </w:tr>
      <w:tr>
        <w:trPr>
          <w:trHeight w:val="199"/>
        </w:trPr>
        <w:tc>
          <w:tcPr>
            <w:tcW w:w="6980" w:type="dxa"/>
            <w:vAlign w:val="bottom"/>
          </w:tcPr>
          <w:p>
            <w:pPr>
              <w:ind w:left="200"/>
              <w:spacing w:after="0" w:line="199" w:lineRule="exact"/>
              <w:rPr>
                <w:sz w:val="20"/>
                <w:szCs w:val="20"/>
                <w:color w:val="auto"/>
              </w:rPr>
            </w:pPr>
            <w:r>
              <w:rPr>
                <w:rFonts w:ascii="Times New Roman" w:cs="Times New Roman" w:eastAsia="Times New Roman" w:hAnsi="Times New Roman"/>
                <w:sz w:val="16"/>
                <w:szCs w:val="16"/>
                <w:color w:val="auto"/>
              </w:rPr>
              <w:t>Sales and marketing</w:t>
            </w:r>
            <w:r>
              <w:rPr>
                <w:rFonts w:ascii="Times New Roman" w:cs="Times New Roman" w:eastAsia="Times New Roman" w:hAnsi="Times New Roman"/>
                <w:sz w:val="20"/>
                <w:szCs w:val="20"/>
                <w:color w:val="auto"/>
                <w:vertAlign w:val="superscript"/>
              </w:rPr>
              <w:t>(1)(2)</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198,592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235,326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296,934</w:t>
            </w:r>
          </w:p>
        </w:tc>
      </w:tr>
      <w:tr>
        <w:trPr>
          <w:trHeight w:val="199"/>
        </w:trPr>
        <w:tc>
          <w:tcPr>
            <w:tcW w:w="6980" w:type="dxa"/>
            <w:vAlign w:val="bottom"/>
            <w:shd w:val="clear" w:color="auto" w:fill="CCEEFF"/>
          </w:tcPr>
          <w:p>
            <w:pPr>
              <w:ind w:left="200"/>
              <w:spacing w:after="0" w:line="199" w:lineRule="exact"/>
              <w:rPr>
                <w:sz w:val="20"/>
                <w:szCs w:val="20"/>
                <w:color w:val="auto"/>
              </w:rPr>
            </w:pPr>
            <w:r>
              <w:rPr>
                <w:rFonts w:ascii="Times New Roman" w:cs="Times New Roman" w:eastAsia="Times New Roman" w:hAnsi="Times New Roman"/>
                <w:sz w:val="16"/>
                <w:szCs w:val="16"/>
                <w:color w:val="auto"/>
              </w:rPr>
              <w:t>General and administrative</w:t>
            </w:r>
            <w:r>
              <w:rPr>
                <w:rFonts w:ascii="Times New Roman" w:cs="Times New Roman" w:eastAsia="Times New Roman" w:hAnsi="Times New Roman"/>
                <w:sz w:val="20"/>
                <w:szCs w:val="20"/>
                <w:color w:val="auto"/>
                <w:vertAlign w:val="superscript"/>
              </w:rPr>
              <w:t>(1)(2)</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125,176</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114,810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960,183</w:t>
            </w:r>
          </w:p>
        </w:tc>
      </w:tr>
      <w:tr>
        <w:trPr>
          <w:trHeight w:val="199"/>
        </w:trPr>
        <w:tc>
          <w:tcPr>
            <w:tcW w:w="6980" w:type="dxa"/>
            <w:vAlign w:val="bottom"/>
          </w:tcPr>
          <w:p>
            <w:pPr>
              <w:ind w:left="200"/>
              <w:spacing w:after="0" w:line="199" w:lineRule="exact"/>
              <w:rPr>
                <w:sz w:val="20"/>
                <w:szCs w:val="20"/>
                <w:color w:val="auto"/>
              </w:rPr>
            </w:pPr>
            <w:r>
              <w:rPr>
                <w:rFonts w:ascii="Times New Roman" w:cs="Times New Roman" w:eastAsia="Times New Roman" w:hAnsi="Times New Roman"/>
                <w:sz w:val="16"/>
                <w:szCs w:val="16"/>
                <w:color w:val="auto"/>
              </w:rPr>
              <w:t>Research and development</w:t>
            </w:r>
            <w:r>
              <w:rPr>
                <w:rFonts w:ascii="Times New Roman" w:cs="Times New Roman" w:eastAsia="Times New Roman" w:hAnsi="Times New Roman"/>
                <w:sz w:val="20"/>
                <w:szCs w:val="20"/>
                <w:color w:val="auto"/>
                <w:vertAlign w:val="superscript"/>
              </w:rPr>
              <w:t>(1)(2)</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7,487</w:t>
            </w:r>
          </w:p>
        </w:tc>
      </w:tr>
      <w:tr>
        <w:trPr>
          <w:trHeight w:val="199"/>
        </w:trPr>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3,821</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2,676</w:t>
            </w:r>
          </w:p>
        </w:tc>
      </w:tr>
      <w:tr>
        <w:trPr>
          <w:trHeight w:val="199"/>
        </w:trPr>
        <w:tc>
          <w:tcPr>
            <w:tcW w:w="6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Impairment losses</w:t>
            </w:r>
          </w:p>
        </w:tc>
        <w:tc>
          <w:tcPr>
            <w:tcW w:w="3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6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Related party expense</w:t>
            </w:r>
          </w:p>
        </w:tc>
        <w:tc>
          <w:tcPr>
            <w:tcW w:w="3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10,245</w:t>
            </w:r>
          </w:p>
        </w:tc>
      </w:tr>
      <w:tr>
        <w:trPr>
          <w:trHeight w:val="190"/>
        </w:trPr>
        <w:tc>
          <w:tcPr>
            <w:tcW w:w="698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396,377</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425,120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1,516,776</w:t>
            </w:r>
          </w:p>
        </w:tc>
      </w:tr>
      <w:tr>
        <w:trPr>
          <w:trHeight w:val="19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51,805</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87,283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(967,593)</w:t>
            </w:r>
          </w:p>
        </w:tc>
      </w:tr>
      <w:tr>
        <w:trPr>
          <w:trHeight w:val="199"/>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3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16,178</w:t>
            </w:r>
          </w:p>
        </w:tc>
      </w:tr>
      <w:tr>
        <w:trPr>
          <w:trHeight w:val="19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income, net</w:t>
            </w:r>
          </w:p>
        </w:tc>
        <w:tc>
          <w:tcPr>
            <w:tcW w:w="3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4,904</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r>
      <w:tr>
        <w:trPr>
          <w:trHeight w:val="19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56,098</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102,660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(951,525)</w:t>
            </w:r>
          </w:p>
        </w:tc>
      </w:tr>
      <w:tr>
        <w:trPr>
          <w:trHeight w:val="19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3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2,358</w:t>
            </w:r>
          </w:p>
        </w:tc>
      </w:tr>
      <w:tr>
        <w:trPr>
          <w:trHeight w:val="190"/>
        </w:trPr>
        <w:tc>
          <w:tcPr>
            <w:tcW w:w="69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54,295</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101,170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(953,883)</w:t>
            </w:r>
          </w:p>
        </w:tc>
      </w:tr>
      <w:tr>
        <w:trPr>
          <w:trHeight w:val="19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3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52,513</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83,180</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59,426</w:t>
            </w:r>
          </w:p>
        </w:tc>
      </w:tr>
      <w:tr>
        <w:trPr>
          <w:trHeight w:val="190"/>
        </w:trPr>
        <w:tc>
          <w:tcPr>
            <w:tcW w:w="698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 attributable to MarketWise, Inc.</w:t>
            </w:r>
          </w:p>
        </w:tc>
        <w:tc>
          <w:tcPr>
            <w:tcW w:w="3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1,782</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17,990</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(1,013,309)</w:t>
            </w:r>
          </w:p>
        </w:tc>
      </w:tr>
      <w:tr>
        <w:trPr>
          <w:trHeight w:val="20"/>
        </w:trPr>
        <w:tc>
          <w:tcPr>
            <w:tcW w:w="6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color w:val="auto"/>
        </w:rPr>
        <w:t>__________________</w:t>
      </w:r>
    </w:p>
    <w:p>
      <w:pPr>
        <w:spacing w:after="0" w:line="16" w:lineRule="exact"/>
        <w:rPr>
          <w:sz w:val="20"/>
          <w:szCs w:val="20"/>
          <w:color w:val="auto"/>
        </w:rPr>
      </w:pPr>
    </w:p>
    <w:p>
      <w:pPr>
        <w:ind w:left="266" w:hanging="266"/>
        <w:spacing w:after="0"/>
        <w:tabs>
          <w:tab w:leader="none" w:pos="266"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Included within cost of revenue, sales and marketing, and general and administrative expenses are stock-based compensation expenses as follows:</w:t>
      </w:r>
    </w:p>
    <w:p>
      <w:pPr>
        <w:spacing w:after="0" w:line="33" w:lineRule="exact"/>
        <w:rPr>
          <w:sz w:val="20"/>
          <w:szCs w:val="20"/>
          <w:color w:val="auto"/>
        </w:rPr>
      </w:pPr>
    </w:p>
    <w:tbl>
      <w:tblPr>
        <w:tblLayout w:type="fixed"/>
        <w:tblInd w:w="146" w:type="dxa"/>
        <w:tblCellMar>
          <w:top w:w="0" w:type="dxa"/>
          <w:left w:w="0" w:type="dxa"/>
          <w:bottom w:w="0" w:type="dxa"/>
          <w:right w:w="0" w:type="dxa"/>
        </w:tblCellMar>
      </w:tblPr>
      <w:tr>
        <w:trPr>
          <w:trHeight w:val="165"/>
        </w:trPr>
        <w:tc>
          <w:tcPr>
            <w:tcW w:w="680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800" w:type="dxa"/>
            <w:vAlign w:val="bottom"/>
          </w:tcPr>
          <w:p>
            <w:pPr>
              <w:spacing w:after="0"/>
              <w:rPr>
                <w:sz w:val="14"/>
                <w:szCs w:val="14"/>
                <w:color w:val="auto"/>
              </w:rPr>
            </w:pPr>
          </w:p>
        </w:tc>
        <w:tc>
          <w:tcPr>
            <w:tcW w:w="2360" w:type="dxa"/>
            <w:vAlign w:val="bottom"/>
            <w:gridSpan w:val="6"/>
          </w:tcPr>
          <w:p>
            <w:pPr>
              <w:jc w:val="right"/>
              <w:ind w:right="162"/>
              <w:spacing w:after="0"/>
              <w:rPr>
                <w:sz w:val="20"/>
                <w:szCs w:val="20"/>
                <w:color w:val="auto"/>
              </w:rPr>
            </w:pPr>
            <w:r>
              <w:rPr>
                <w:rFonts w:ascii="Times New Roman" w:cs="Times New Roman" w:eastAsia="Times New Roman" w:hAnsi="Times New Roman"/>
                <w:sz w:val="12"/>
                <w:szCs w:val="12"/>
                <w:b w:val="1"/>
                <w:bCs w:val="1"/>
                <w:color w:val="auto"/>
              </w:rPr>
              <w:t>Year Ended December 31, 2021</w:t>
            </w:r>
          </w:p>
        </w:tc>
        <w:tc>
          <w:tcPr>
            <w:tcW w:w="1020" w:type="dxa"/>
            <w:vAlign w:val="bottom"/>
          </w:tcPr>
          <w:p>
            <w:pPr>
              <w:spacing w:after="0"/>
              <w:rPr>
                <w:sz w:val="14"/>
                <w:szCs w:val="14"/>
                <w:color w:val="auto"/>
              </w:rPr>
            </w:pPr>
          </w:p>
        </w:tc>
      </w:tr>
      <w:tr>
        <w:trPr>
          <w:trHeight w:val="20"/>
        </w:trPr>
        <w:tc>
          <w:tcPr>
            <w:tcW w:w="6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62"/>
        </w:trPr>
        <w:tc>
          <w:tcPr>
            <w:tcW w:w="68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2"/>
                <w:szCs w:val="12"/>
                <w:b w:val="1"/>
                <w:bCs w:val="1"/>
                <w:color w:val="auto"/>
              </w:rPr>
              <w:t>2021</w:t>
            </w:r>
          </w:p>
        </w:tc>
      </w:tr>
      <w:tr>
        <w:trPr>
          <w:trHeight w:val="19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800" w:type="dxa"/>
            <w:vAlign w:val="bottom"/>
            <w:shd w:val="clear" w:color="auto" w:fill="CCEEFF"/>
          </w:tcPr>
          <w:p>
            <w:pPr>
              <w:jc w:val="right"/>
              <w:ind w:right="627"/>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171,804</w:t>
            </w:r>
          </w:p>
        </w:tc>
      </w:tr>
      <w:tr>
        <w:trPr>
          <w:trHeight w:val="199"/>
        </w:trPr>
        <w:tc>
          <w:tcPr>
            <w:tcW w:w="6800" w:type="dxa"/>
            <w:vAlign w:val="bottom"/>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8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48,098</w:t>
            </w:r>
          </w:p>
        </w:tc>
      </w:tr>
      <w:tr>
        <w:trPr>
          <w:trHeight w:val="199"/>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0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17,277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4,864</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843,449</w:t>
            </w:r>
          </w:p>
        </w:tc>
      </w:tr>
      <w:tr>
        <w:trPr>
          <w:trHeight w:val="190"/>
        </w:trPr>
        <w:tc>
          <w:tcPr>
            <w:tcW w:w="68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Total stock based-compensation expense</w:t>
            </w:r>
          </w:p>
        </w:tc>
        <w:tc>
          <w:tcPr>
            <w:tcW w:w="800" w:type="dxa"/>
            <w:vAlign w:val="bottom"/>
            <w:tcBorders>
              <w:bottom w:val="single" w:sz="8" w:color="auto"/>
            </w:tcBorders>
          </w:tcPr>
          <w:p>
            <w:pPr>
              <w:jc w:val="right"/>
              <w:ind w:right="627"/>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23,384</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9,045</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1,063,351</w:t>
            </w:r>
          </w:p>
        </w:tc>
      </w:tr>
      <w:tr>
        <w:trPr>
          <w:trHeight w:val="20"/>
        </w:trPr>
        <w:tc>
          <w:tcPr>
            <w:tcW w:w="6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6" w:hanging="266"/>
        <w:spacing w:after="0"/>
        <w:tabs>
          <w:tab w:leader="none" w:pos="266"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 of revenue, sales and marketing, general and administrative, and research and development expenses are exclusive of depreciation and amortization shown as a separate line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176135" cy="40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6"/>
          </w:cols>
          <w:pgMar w:left="314" w:top="1384" w:right="319" w:bottom="1440" w:gutter="0" w:footer="0" w:header="0"/>
        </w:sectPr>
      </w:pPr>
    </w:p>
    <w:bookmarkStart w:id="55" w:name="page56"/>
    <w:bookmarkEnd w:id="55"/>
    <w:p>
      <w:pPr>
        <w:ind w:left="6"/>
        <w:spacing w:after="0"/>
        <w:rPr>
          <w:sz w:val="20"/>
          <w:szCs w:val="20"/>
          <w:color w:val="auto"/>
        </w:rPr>
      </w:pPr>
      <w:r>
        <w:rPr>
          <w:rFonts w:ascii="Times New Roman" w:cs="Times New Roman" w:eastAsia="Times New Roman" w:hAnsi="Times New Roman"/>
          <w:sz w:val="16"/>
          <w:szCs w:val="16"/>
          <w:color w:val="auto"/>
        </w:rPr>
        <w:t>The following table sets forth our consolidated statements of operations data expressed as a percentage of net revenue for the periods indicated:</w:t>
      </w:r>
    </w:p>
    <w:p>
      <w:pPr>
        <w:spacing w:after="0" w:line="173" w:lineRule="exact"/>
        <w:rPr>
          <w:sz w:val="20"/>
          <w:szCs w:val="20"/>
          <w:color w:val="auto"/>
        </w:rPr>
      </w:pPr>
    </w:p>
    <w:p>
      <w:pPr>
        <w:ind w:left="8146"/>
        <w:spacing w:after="0"/>
        <w:rPr>
          <w:sz w:val="20"/>
          <w:szCs w:val="20"/>
          <w:color w:val="auto"/>
        </w:rPr>
      </w:pPr>
      <w:r>
        <w:rPr>
          <w:rFonts w:ascii="Times New Roman" w:cs="Times New Roman" w:eastAsia="Times New Roman" w:hAnsi="Times New Roman"/>
          <w:sz w:val="12"/>
          <w:szCs w:val="12"/>
          <w:b w:val="1"/>
          <w:bCs w:val="1"/>
          <w:color w:val="auto"/>
        </w:rPr>
        <w:t>Year Ended December 31, 2023</w:t>
      </w:r>
    </w:p>
    <w:p>
      <w:pPr>
        <w:spacing w:after="0" w:line="28" w:lineRule="exact"/>
        <w:rPr>
          <w:sz w:val="20"/>
          <w:szCs w:val="20"/>
          <w:color w:val="auto"/>
        </w:rPr>
      </w:pPr>
    </w:p>
    <w:tbl>
      <w:tblPr>
        <w:tblLayout w:type="fixed"/>
        <w:tblInd w:w="6" w:type="dxa"/>
        <w:tblCellMar>
          <w:top w:w="0" w:type="dxa"/>
          <w:left w:w="0" w:type="dxa"/>
          <w:bottom w:w="0" w:type="dxa"/>
          <w:right w:w="0" w:type="dxa"/>
        </w:tblCellMar>
      </w:tblPr>
      <w:tr>
        <w:trPr>
          <w:trHeight w:val="182"/>
        </w:trPr>
        <w:tc>
          <w:tcPr>
            <w:tcW w:w="6700" w:type="dxa"/>
            <w:vAlign w:val="bottom"/>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154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2022</w:t>
            </w:r>
          </w:p>
        </w:tc>
        <w:tc>
          <w:tcPr>
            <w:tcW w:w="58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ind w:right="523"/>
              <w:spacing w:after="0"/>
              <w:rPr>
                <w:sz w:val="20"/>
                <w:szCs w:val="20"/>
                <w:color w:val="auto"/>
              </w:rPr>
            </w:pPr>
            <w:r>
              <w:rPr>
                <w:rFonts w:ascii="Times New Roman" w:cs="Times New Roman" w:eastAsia="Times New Roman" w:hAnsi="Times New Roman"/>
                <w:sz w:val="12"/>
                <w:szCs w:val="12"/>
                <w:b w:val="1"/>
                <w:bCs w:val="1"/>
                <w:color w:val="auto"/>
              </w:rPr>
              <w:t>2021</w:t>
            </w:r>
          </w:p>
        </w:tc>
      </w:tr>
      <w:tr>
        <w:trPr>
          <w:trHeight w:val="196"/>
        </w:trPr>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w:t>
            </w:r>
          </w:p>
        </w:tc>
        <w:tc>
          <w:tcPr>
            <w:tcW w:w="8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100.0 %</w:t>
            </w: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199"/>
        </w:trPr>
        <w:tc>
          <w:tcPr>
            <w:tcW w:w="7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99"/>
        </w:trPr>
        <w:tc>
          <w:tcPr>
            <w:tcW w:w="7580" w:type="dxa"/>
            <w:vAlign w:val="bottom"/>
            <w:gridSpan w:val="2"/>
            <w:shd w:val="clear" w:color="auto" w:fill="CCEEFF"/>
          </w:tcPr>
          <w:p>
            <w:pPr>
              <w:ind w:left="200"/>
              <w:spacing w:after="0" w:line="199" w:lineRule="exact"/>
              <w:rPr>
                <w:sz w:val="20"/>
                <w:szCs w:val="20"/>
                <w:color w:val="auto"/>
              </w:rPr>
            </w:pPr>
            <w:r>
              <w:rPr>
                <w:rFonts w:ascii="Times New Roman" w:cs="Times New Roman" w:eastAsia="Times New Roman" w:hAnsi="Times New Roman"/>
                <w:sz w:val="16"/>
                <w:szCs w:val="16"/>
                <w:color w:val="auto"/>
              </w:rPr>
              <w:t>Cost of revenue</w:t>
            </w:r>
            <w:r>
              <w:rPr>
                <w:rFonts w:ascii="Times New Roman" w:cs="Times New Roman" w:eastAsia="Times New Roman" w:hAnsi="Times New Roman"/>
                <w:sz w:val="20"/>
                <w:szCs w:val="20"/>
                <w:color w:val="auto"/>
                <w:vertAlign w:val="superscript"/>
              </w:rPr>
              <w:t>(1)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12.7 %</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12.2 %</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43.6 %</w:t>
            </w:r>
          </w:p>
        </w:tc>
      </w:tr>
      <w:tr>
        <w:trPr>
          <w:trHeight w:val="199"/>
        </w:trPr>
        <w:tc>
          <w:tcPr>
            <w:tcW w:w="7580" w:type="dxa"/>
            <w:vAlign w:val="bottom"/>
            <w:gridSpan w:val="2"/>
          </w:tcPr>
          <w:p>
            <w:pPr>
              <w:ind w:left="200"/>
              <w:spacing w:after="0" w:line="199" w:lineRule="exact"/>
              <w:rPr>
                <w:sz w:val="20"/>
                <w:szCs w:val="20"/>
                <w:color w:val="auto"/>
              </w:rPr>
            </w:pPr>
            <w:r>
              <w:rPr>
                <w:rFonts w:ascii="Times New Roman" w:cs="Times New Roman" w:eastAsia="Times New Roman" w:hAnsi="Times New Roman"/>
                <w:sz w:val="16"/>
                <w:szCs w:val="16"/>
                <w:color w:val="auto"/>
              </w:rPr>
              <w:t>Sales and marketing</w:t>
            </w:r>
            <w:r>
              <w:rPr>
                <w:rFonts w:ascii="Times New Roman" w:cs="Times New Roman" w:eastAsia="Times New Roman" w:hAnsi="Times New Roman"/>
                <w:sz w:val="20"/>
                <w:szCs w:val="20"/>
                <w:color w:val="auto"/>
                <w:vertAlign w:val="superscript"/>
              </w:rPr>
              <w:t>(1)</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44.3 %</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45.9 %</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54.1 %</w:t>
            </w:r>
          </w:p>
        </w:tc>
      </w:tr>
      <w:tr>
        <w:trPr>
          <w:trHeight w:val="199"/>
        </w:trPr>
        <w:tc>
          <w:tcPr>
            <w:tcW w:w="7580" w:type="dxa"/>
            <w:vAlign w:val="bottom"/>
            <w:gridSpan w:val="2"/>
            <w:shd w:val="clear" w:color="auto" w:fill="CCEEFF"/>
          </w:tcPr>
          <w:p>
            <w:pPr>
              <w:ind w:left="200"/>
              <w:spacing w:after="0" w:line="199" w:lineRule="exact"/>
              <w:rPr>
                <w:sz w:val="20"/>
                <w:szCs w:val="20"/>
                <w:color w:val="auto"/>
              </w:rPr>
            </w:pPr>
            <w:r>
              <w:rPr>
                <w:rFonts w:ascii="Times New Roman" w:cs="Times New Roman" w:eastAsia="Times New Roman" w:hAnsi="Times New Roman"/>
                <w:sz w:val="16"/>
                <w:szCs w:val="16"/>
                <w:color w:val="auto"/>
              </w:rPr>
              <w:t>General and administrative</w:t>
            </w:r>
            <w:r>
              <w:rPr>
                <w:rFonts w:ascii="Times New Roman" w:cs="Times New Roman" w:eastAsia="Times New Roman" w:hAnsi="Times New Roman"/>
                <w:sz w:val="20"/>
                <w:szCs w:val="20"/>
                <w:color w:val="auto"/>
                <w:vertAlign w:val="superscript"/>
              </w:rPr>
              <w:t>(1)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27.9 %</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22.4 %</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174.8 %</w:t>
            </w:r>
          </w:p>
        </w:tc>
      </w:tr>
      <w:tr>
        <w:trPr>
          <w:trHeight w:val="199"/>
        </w:trPr>
        <w:tc>
          <w:tcPr>
            <w:tcW w:w="7580" w:type="dxa"/>
            <w:vAlign w:val="bottom"/>
            <w:gridSpan w:val="2"/>
          </w:tcPr>
          <w:p>
            <w:pPr>
              <w:ind w:left="200"/>
              <w:spacing w:after="0" w:line="199" w:lineRule="exact"/>
              <w:rPr>
                <w:sz w:val="20"/>
                <w:szCs w:val="20"/>
                <w:color w:val="auto"/>
              </w:rPr>
            </w:pPr>
            <w:r>
              <w:rPr>
                <w:rFonts w:ascii="Times New Roman" w:cs="Times New Roman" w:eastAsia="Times New Roman" w:hAnsi="Times New Roman"/>
                <w:sz w:val="16"/>
                <w:szCs w:val="16"/>
                <w:color w:val="auto"/>
              </w:rPr>
              <w:t>Research and development</w:t>
            </w:r>
            <w:r>
              <w:rPr>
                <w:rFonts w:ascii="Times New Roman" w:cs="Times New Roman" w:eastAsia="Times New Roman" w:hAnsi="Times New Roman"/>
                <w:sz w:val="20"/>
                <w:szCs w:val="20"/>
                <w:color w:val="auto"/>
                <w:vertAlign w:val="superscript"/>
              </w:rPr>
              <w:t>(1)</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199"/>
        </w:trPr>
        <w:tc>
          <w:tcPr>
            <w:tcW w:w="7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0.9 %</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r>
      <w:tr>
        <w:trPr>
          <w:trHeight w:val="199"/>
        </w:trPr>
        <w:tc>
          <w:tcPr>
            <w:tcW w:w="75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Impairment losses</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199"/>
        </w:trPr>
        <w:tc>
          <w:tcPr>
            <w:tcW w:w="7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Related party expense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r>
      <w:tr>
        <w:trPr>
          <w:trHeight w:val="190"/>
        </w:trPr>
        <w:tc>
          <w:tcPr>
            <w:tcW w:w="67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8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88.4 %</w:t>
            </w:r>
          </w:p>
        </w:tc>
        <w:tc>
          <w:tcPr>
            <w:tcW w:w="10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83.0 %</w:t>
            </w:r>
          </w:p>
        </w:tc>
        <w:tc>
          <w:tcPr>
            <w:tcW w:w="100" w:type="dxa"/>
            <w:vAlign w:val="bottom"/>
            <w:tcBorders>
              <w:bottom w:val="single" w:sz="8" w:color="CCEEFF"/>
            </w:tcBorders>
          </w:tcPr>
          <w:p>
            <w:pPr>
              <w:spacing w:after="0"/>
              <w:rPr>
                <w:sz w:val="16"/>
                <w:szCs w:val="16"/>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276.2 %</w:t>
            </w:r>
          </w:p>
        </w:tc>
      </w:tr>
      <w:tr>
        <w:trPr>
          <w:trHeight w:val="19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11.6 %</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17.0 %</w:t>
            </w: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(176.2)%</w:t>
            </w:r>
          </w:p>
        </w:tc>
      </w:tr>
      <w:tr>
        <w:trPr>
          <w:trHeight w:val="199"/>
        </w:trPr>
        <w:tc>
          <w:tcPr>
            <w:tcW w:w="7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income (expense), net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2.9 %</w:t>
            </w:r>
          </w:p>
        </w:tc>
      </w:tr>
      <w:tr>
        <w:trPr>
          <w:trHeight w:val="199"/>
        </w:trPr>
        <w:tc>
          <w:tcPr>
            <w:tcW w:w="7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income, net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0.0 %</w:t>
            </w:r>
          </w:p>
        </w:tc>
      </w:tr>
      <w:tr>
        <w:trPr>
          <w:trHeight w:val="190"/>
        </w:trPr>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88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12.5 %</w:t>
            </w:r>
          </w:p>
        </w:tc>
        <w:tc>
          <w:tcPr>
            <w:tcW w:w="10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20.0 %</w:t>
            </w:r>
          </w:p>
        </w:tc>
        <w:tc>
          <w:tcPr>
            <w:tcW w:w="100" w:type="dxa"/>
            <w:vAlign w:val="bottom"/>
            <w:tcBorders>
              <w:bottom w:val="single" w:sz="8" w:color="CCEEFF"/>
            </w:tcBorders>
          </w:tcPr>
          <w:p>
            <w:pPr>
              <w:spacing w:after="0"/>
              <w:rPr>
                <w:sz w:val="16"/>
                <w:szCs w:val="16"/>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(173.3)%</w:t>
            </w:r>
          </w:p>
        </w:tc>
      </w:tr>
      <w:tr>
        <w:trPr>
          <w:trHeight w:val="19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8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00" w:type="dxa"/>
            <w:vAlign w:val="bottom"/>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0.4 %</w:t>
            </w:r>
          </w:p>
        </w:tc>
      </w:tr>
      <w:tr>
        <w:trPr>
          <w:trHeight w:val="190"/>
        </w:trPr>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8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12.1 %</w:t>
            </w: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19.7 %</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(173.7)%</w:t>
            </w:r>
          </w:p>
        </w:tc>
      </w:tr>
      <w:tr>
        <w:trPr>
          <w:trHeight w:val="19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88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11.7 %</w:t>
            </w:r>
          </w:p>
        </w:tc>
        <w:tc>
          <w:tcPr>
            <w:tcW w:w="10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100" w:type="dxa"/>
            <w:vAlign w:val="bottom"/>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10.8 %</w:t>
            </w:r>
          </w:p>
        </w:tc>
      </w:tr>
      <w:tr>
        <w:trPr>
          <w:trHeight w:val="190"/>
        </w:trPr>
        <w:tc>
          <w:tcPr>
            <w:tcW w:w="7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 (loss) attributable to MarketWise, Inc.</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w:t>
            </w:r>
          </w:p>
        </w:tc>
      </w:tr>
      <w:tr>
        <w:trPr>
          <w:trHeight w:val="20"/>
        </w:trPr>
        <w:tc>
          <w:tcPr>
            <w:tcW w:w="67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color w:val="auto"/>
        </w:rPr>
        <w:t>__________________</w:t>
      </w:r>
    </w:p>
    <w:p>
      <w:pPr>
        <w:spacing w:after="0" w:line="16" w:lineRule="exact"/>
        <w:rPr>
          <w:sz w:val="20"/>
          <w:szCs w:val="20"/>
          <w:color w:val="auto"/>
        </w:rPr>
      </w:pPr>
    </w:p>
    <w:p>
      <w:pPr>
        <w:ind w:left="266" w:hanging="266"/>
        <w:spacing w:after="0"/>
        <w:tabs>
          <w:tab w:leader="none" w:pos="266"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 of revenue, sales and marketing, general and administrative, and research and development expenses are exclusive of depreciation and amortization shown as a separate line item.</w:t>
      </w:r>
    </w:p>
    <w:p>
      <w:pPr>
        <w:spacing w:after="0" w:line="14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Comparison of Years Ended December 31, 2023 and 2022</w:t>
      </w:r>
    </w:p>
    <w:p>
      <w:pPr>
        <w:spacing w:after="0" w:line="14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i w:val="1"/>
          <w:iCs w:val="1"/>
          <w:color w:val="auto"/>
        </w:rPr>
        <w:t>Net Revenue</w:t>
      </w:r>
    </w:p>
    <w:p>
      <w:pPr>
        <w:spacing w:after="0" w:line="187" w:lineRule="exact"/>
        <w:rPr>
          <w:sz w:val="20"/>
          <w:szCs w:val="20"/>
          <w:color w:val="auto"/>
        </w:rPr>
      </w:pPr>
    </w:p>
    <w:tbl>
      <w:tblPr>
        <w:tblLayout w:type="fixed"/>
        <w:tblInd w:w="6" w:type="dxa"/>
        <w:tblCellMar>
          <w:top w:w="0" w:type="dxa"/>
          <w:left w:w="0" w:type="dxa"/>
          <w:bottom w:w="0" w:type="dxa"/>
          <w:right w:w="0" w:type="dxa"/>
        </w:tblCellMar>
      </w:tblPr>
      <w:tr>
        <w:trPr>
          <w:trHeight w:val="165"/>
        </w:trPr>
        <w:tc>
          <w:tcPr>
            <w:tcW w:w="510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340" w:type="dxa"/>
            <w:vAlign w:val="bottom"/>
          </w:tcPr>
          <w:p>
            <w:pPr>
              <w:spacing w:after="0"/>
              <w:rPr>
                <w:sz w:val="14"/>
                <w:szCs w:val="14"/>
                <w:color w:val="auto"/>
              </w:rPr>
            </w:pPr>
          </w:p>
        </w:tc>
        <w:tc>
          <w:tcPr>
            <w:tcW w:w="2620" w:type="dxa"/>
            <w:vAlign w:val="bottom"/>
            <w:gridSpan w:val="4"/>
          </w:tcPr>
          <w:p>
            <w:pPr>
              <w:jc w:val="right"/>
              <w:ind w:right="71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1560" w:type="dxa"/>
            <w:vAlign w:val="bottom"/>
            <w:vMerge w:val="restart"/>
          </w:tcPr>
          <w:p>
            <w:pPr>
              <w:jc w:val="right"/>
              <w:ind w:right="43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532"/>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51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w:t>
            </w:r>
          </w:p>
        </w:tc>
        <w:tc>
          <w:tcPr>
            <w:tcW w:w="340" w:type="dxa"/>
            <w:vAlign w:val="bottom"/>
            <w:tcBorders>
              <w:top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6"/>
                <w:szCs w:val="16"/>
                <w:color w:val="auto"/>
              </w:rPr>
              <w:t>448,182</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512,403</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(64,221)</w:t>
            </w: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6" w:right="120"/>
        <w:spacing w:after="0" w:line="256" w:lineRule="auto"/>
        <w:rPr>
          <w:sz w:val="20"/>
          <w:szCs w:val="20"/>
          <w:color w:val="auto"/>
        </w:rPr>
      </w:pPr>
      <w:r>
        <w:rPr>
          <w:rFonts w:ascii="Times New Roman" w:cs="Times New Roman" w:eastAsia="Times New Roman" w:hAnsi="Times New Roman"/>
          <w:sz w:val="16"/>
          <w:szCs w:val="16"/>
          <w:color w:val="auto"/>
        </w:rPr>
        <w:t>The decrease in net revenue was primarily driven by a $56.5 million decrease in term subscription revenue and a $10.0 million decrease in membership subscription revenue, partially offset by a $2.3 million increase in non-subscription revenue. Revenue from Buttonwood Publishing, the business we acquired in August 2022, was $3.9 million and $2.0 million for the years ended December 31, 2023 and 2022, respectively.</w:t>
      </w:r>
    </w:p>
    <w:p>
      <w:pPr>
        <w:spacing w:after="0" w:line="113" w:lineRule="exact"/>
        <w:rPr>
          <w:sz w:val="20"/>
          <w:szCs w:val="20"/>
          <w:color w:val="auto"/>
        </w:rPr>
      </w:pPr>
    </w:p>
    <w:p>
      <w:pPr>
        <w:jc w:val="both"/>
        <w:ind w:left="6" w:right="460"/>
        <w:spacing w:after="0" w:line="256" w:lineRule="auto"/>
        <w:rPr>
          <w:sz w:val="20"/>
          <w:szCs w:val="20"/>
          <w:color w:val="auto"/>
        </w:rPr>
      </w:pPr>
      <w:r>
        <w:rPr>
          <w:rFonts w:ascii="Times New Roman" w:cs="Times New Roman" w:eastAsia="Times New Roman" w:hAnsi="Times New Roman"/>
          <w:sz w:val="16"/>
          <w:szCs w:val="16"/>
          <w:color w:val="auto"/>
        </w:rPr>
        <w:t>Term subscription revenue decreased during the year ended December 31, 2023 primarily due to lower Billings as compared to the 2022 period which was driven by reduced engagement of prospective and existing subscribers in the 2023 period. Membership subscription revenue, which is initially deferred and recognized over a five-year period, decreased during the year ended December 31, 2023 as a result of lower volume of membership subscriptions in current and prior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176135" cy="400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6"/>
          </w:cols>
          <w:pgMar w:left="314" w:top="1386"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10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340" w:type="dxa"/>
            <w:vAlign w:val="bottom"/>
          </w:tcPr>
          <w:p>
            <w:pPr>
              <w:spacing w:after="0"/>
              <w:rPr>
                <w:sz w:val="14"/>
                <w:szCs w:val="14"/>
                <w:color w:val="auto"/>
              </w:rPr>
            </w:pPr>
          </w:p>
        </w:tc>
        <w:tc>
          <w:tcPr>
            <w:tcW w:w="2720" w:type="dxa"/>
            <w:vAlign w:val="bottom"/>
            <w:gridSpan w:val="5"/>
          </w:tcPr>
          <w:p>
            <w:pPr>
              <w:ind w:left="46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1560" w:type="dxa"/>
            <w:vAlign w:val="bottom"/>
            <w:vMerge w:val="restart"/>
          </w:tcPr>
          <w:p>
            <w:pPr>
              <w:jc w:val="right"/>
              <w:ind w:right="424"/>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525"/>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504"/>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Cost of revenue</w:t>
            </w: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56,802</w:t>
            </w:r>
          </w:p>
        </w:tc>
        <w:tc>
          <w:tcPr>
            <w:tcW w:w="100" w:type="dxa"/>
            <w:vAlign w:val="bottom"/>
          </w:tcPr>
          <w:p>
            <w:pPr>
              <w:spacing w:after="0"/>
              <w:rPr>
                <w:sz w:val="19"/>
                <w:szCs w:val="19"/>
                <w:color w:val="auto"/>
              </w:rPr>
            </w:pPr>
          </w:p>
        </w:tc>
        <w:tc>
          <w:tcPr>
            <w:tcW w:w="34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62,697</w:t>
            </w:r>
          </w:p>
        </w:tc>
        <w:tc>
          <w:tcPr>
            <w:tcW w:w="100" w:type="dxa"/>
            <w:vAlign w:val="bottom"/>
          </w:tcPr>
          <w:p>
            <w:pPr>
              <w:spacing w:after="0"/>
              <w:rPr>
                <w:sz w:val="19"/>
                <w:szCs w:val="19"/>
                <w:color w:val="auto"/>
              </w:rPr>
            </w:pP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Sales and marketing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198,592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235,326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(36,734)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22"/>
        </w:trPr>
        <w:tc>
          <w:tcPr>
            <w:tcW w:w="5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tcPr>
          <w:p>
            <w:pPr>
              <w:spacing w:after="0"/>
              <w:rPr>
                <w:sz w:val="19"/>
                <w:szCs w:val="19"/>
                <w:color w:val="auto"/>
              </w:rPr>
            </w:pPr>
          </w:p>
        </w:tc>
        <w:tc>
          <w:tcPr>
            <w:tcW w:w="110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125,176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8,831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0" w:type="dxa"/>
            <w:vAlign w:val="bottom"/>
          </w:tcPr>
          <w:p>
            <w:pPr>
              <w:spacing w:after="0"/>
              <w:rPr>
                <w:sz w:val="1"/>
                <w:szCs w:val="1"/>
                <w:color w:val="auto"/>
              </w:rPr>
            </w:pPr>
          </w:p>
        </w:tc>
      </w:tr>
      <w:tr>
        <w:trPr>
          <w:trHeight w:val="222"/>
        </w:trPr>
        <w:tc>
          <w:tcPr>
            <w:tcW w:w="5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3,821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23.6 %</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Impairment losses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2,583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22"/>
        </w:trPr>
        <w:tc>
          <w:tcPr>
            <w:tcW w:w="51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Related party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50.9 %</w:t>
            </w:r>
          </w:p>
        </w:tc>
        <w:tc>
          <w:tcPr>
            <w:tcW w:w="0" w:type="dxa"/>
            <w:vAlign w:val="bottom"/>
          </w:tcPr>
          <w:p>
            <w:pPr>
              <w:spacing w:after="0"/>
              <w:rPr>
                <w:sz w:val="1"/>
                <w:szCs w:val="1"/>
                <w:color w:val="auto"/>
              </w:rPr>
            </w:pPr>
          </w:p>
        </w:tc>
      </w:tr>
      <w:tr>
        <w:trPr>
          <w:trHeight w:val="214"/>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396,377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425,120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(28,743)</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Cost of Revenue</w:t>
      </w:r>
    </w:p>
    <w:p>
      <w:pPr>
        <w:spacing w:after="0" w:line="145" w:lineRule="exact"/>
        <w:rPr>
          <w:sz w:val="20"/>
          <w:szCs w:val="20"/>
          <w:color w:val="auto"/>
        </w:rPr>
      </w:pPr>
    </w:p>
    <w:p>
      <w:pPr>
        <w:ind w:left="280" w:right="40"/>
        <w:spacing w:after="0" w:line="256" w:lineRule="auto"/>
        <w:rPr>
          <w:sz w:val="20"/>
          <w:szCs w:val="20"/>
          <w:color w:val="auto"/>
        </w:rPr>
      </w:pPr>
      <w:r>
        <w:rPr>
          <w:rFonts w:ascii="Times New Roman" w:cs="Times New Roman" w:eastAsia="Times New Roman" w:hAnsi="Times New Roman"/>
          <w:sz w:val="16"/>
          <w:szCs w:val="16"/>
          <w:color w:val="auto"/>
        </w:rPr>
        <w:t>Cost of revenue decreased primarily driven by a $3.1 million decrease in salaries, taxes and benefits, a $2.1 million decrease in credit card fees, a $1.2 million decrease in outside labor, primarily related to customer service, and a $0.6 million decrease related to subscription printing and postage. This was partially offset by a $1.0 million increase in stock-based compensation expense and a $0.8 million increase in freelance editorial expense.</w:t>
      </w:r>
    </w:p>
    <w:p>
      <w:pPr>
        <w:spacing w:after="0" w:line="11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Sales and Marketing</w:t>
      </w:r>
    </w:p>
    <w:p>
      <w:pPr>
        <w:spacing w:after="0" w:line="145" w:lineRule="exact"/>
        <w:rPr>
          <w:sz w:val="20"/>
          <w:szCs w:val="20"/>
          <w:color w:val="auto"/>
        </w:rPr>
      </w:pPr>
    </w:p>
    <w:p>
      <w:pPr>
        <w:ind w:left="280" w:right="60"/>
        <w:spacing w:after="0" w:line="256" w:lineRule="auto"/>
        <w:rPr>
          <w:sz w:val="20"/>
          <w:szCs w:val="20"/>
          <w:color w:val="auto"/>
        </w:rPr>
      </w:pPr>
      <w:r>
        <w:rPr>
          <w:rFonts w:ascii="Times New Roman" w:cs="Times New Roman" w:eastAsia="Times New Roman" w:hAnsi="Times New Roman"/>
          <w:sz w:val="16"/>
          <w:szCs w:val="16"/>
          <w:color w:val="auto"/>
        </w:rPr>
        <w:t>Sales and marketing expense decreased primarily driven by a $53.0 million decrease in marketing expense as we have reduced our marketing spend as part of our cost reduction initiatives and due to higher per unit subscriber acquisition costs. This was partially offset by a $14.2 million increase in amortization of deferred contract acquisition costs, a $1.1 million increase in salaries, taxes and benefits, and a $1.0 million increase in stock-based compensation expense.</w:t>
      </w:r>
    </w:p>
    <w:p>
      <w:pPr>
        <w:spacing w:after="0" w:line="11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General and Administrative</w:t>
      </w:r>
    </w:p>
    <w:p>
      <w:pPr>
        <w:spacing w:after="0" w:line="145" w:lineRule="exact"/>
        <w:rPr>
          <w:sz w:val="20"/>
          <w:szCs w:val="20"/>
          <w:color w:val="auto"/>
        </w:rPr>
      </w:pPr>
    </w:p>
    <w:p>
      <w:pPr>
        <w:ind w:left="280" w:right="40"/>
        <w:spacing w:after="0" w:line="250" w:lineRule="auto"/>
        <w:rPr>
          <w:sz w:val="20"/>
          <w:szCs w:val="20"/>
          <w:color w:val="auto"/>
        </w:rPr>
      </w:pPr>
      <w:r>
        <w:rPr>
          <w:rFonts w:ascii="Times New Roman" w:cs="Times New Roman" w:eastAsia="Times New Roman" w:hAnsi="Times New Roman"/>
          <w:sz w:val="16"/>
          <w:szCs w:val="16"/>
          <w:color w:val="auto"/>
        </w:rPr>
        <w:t>General and administrative expense increased primarily driven by a $12.4 million increase in stock-based compensation expense which included $10.7 million related to grants of fully vested shares and $0.7 million related to the accelerated vesting of RSUs of certain former executives, a $9.6 million increase in incentive compensation, and a $2.6 million increase related to sales tax. This was partially offset by a $3.8 million decrease in severance expense, a $3.2 million decrease in professional fees, a $3.1 million decrease in salaries, taxes and benefits, a $1.1 million decrease in non-software subscriptions, a $1.0 million decrease in insurance expense, and a $0.9 million decrease in software expense.</w:t>
      </w:r>
    </w:p>
    <w:p>
      <w:pPr>
        <w:spacing w:after="0" w:line="1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Impairment Losses</w:t>
      </w:r>
    </w:p>
    <w:p>
      <w:pPr>
        <w:spacing w:after="0" w:line="145" w:lineRule="exact"/>
        <w:rPr>
          <w:sz w:val="20"/>
          <w:szCs w:val="20"/>
          <w:color w:val="auto"/>
        </w:rPr>
      </w:pPr>
    </w:p>
    <w:p>
      <w:pPr>
        <w:ind w:left="280" w:right="280"/>
        <w:spacing w:after="0" w:line="268" w:lineRule="auto"/>
        <w:rPr>
          <w:sz w:val="20"/>
          <w:szCs w:val="20"/>
          <w:color w:val="auto"/>
        </w:rPr>
      </w:pPr>
      <w:r>
        <w:rPr>
          <w:rFonts w:ascii="Times New Roman" w:cs="Times New Roman" w:eastAsia="Times New Roman" w:hAnsi="Times New Roman"/>
          <w:sz w:val="16"/>
          <w:szCs w:val="16"/>
          <w:color w:val="auto"/>
        </w:rPr>
        <w:t>Impairment losses increased due to charges related to deferred contract acquisition costs, intangible assets, and operating lease right of use assets related to our Buttonwood Publishing business that we sold in December 2023.</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Comparison of the Years Ended December 31, 2022 and 2021</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Revenue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10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340" w:type="dxa"/>
            <w:vAlign w:val="bottom"/>
          </w:tcPr>
          <w:p>
            <w:pPr>
              <w:spacing w:after="0"/>
              <w:rPr>
                <w:sz w:val="14"/>
                <w:szCs w:val="14"/>
                <w:color w:val="auto"/>
              </w:rPr>
            </w:pPr>
          </w:p>
        </w:tc>
        <w:tc>
          <w:tcPr>
            <w:tcW w:w="2620" w:type="dxa"/>
            <w:vAlign w:val="bottom"/>
            <w:gridSpan w:val="4"/>
          </w:tcPr>
          <w:p>
            <w:pPr>
              <w:jc w:val="right"/>
              <w:ind w:right="71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1560" w:type="dxa"/>
            <w:vAlign w:val="bottom"/>
            <w:vMerge w:val="restart"/>
          </w:tcPr>
          <w:p>
            <w:pPr>
              <w:jc w:val="right"/>
              <w:ind w:right="43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532"/>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510"/>
              <w:spacing w:after="0"/>
              <w:rPr>
                <w:sz w:val="20"/>
                <w:szCs w:val="20"/>
                <w:color w:val="auto"/>
              </w:rPr>
            </w:pPr>
            <w:r>
              <w:rPr>
                <w:rFonts w:ascii="Times New Roman" w:cs="Times New Roman" w:eastAsia="Times New Roman" w:hAnsi="Times New Roman"/>
                <w:sz w:val="12"/>
                <w:szCs w:val="12"/>
                <w:b w:val="1"/>
                <w:bCs w:val="1"/>
                <w:color w:val="auto"/>
              </w:rPr>
              <w:t>2021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w:t>
            </w:r>
          </w:p>
        </w:tc>
        <w:tc>
          <w:tcPr>
            <w:tcW w:w="340" w:type="dxa"/>
            <w:vAlign w:val="bottom"/>
            <w:tcBorders>
              <w:top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6"/>
                <w:szCs w:val="16"/>
                <w:color w:val="auto"/>
              </w:rPr>
              <w:t>512,403</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549,183</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(36,780)</w:t>
            </w: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384" w:right="319" w:bottom="1440" w:gutter="0" w:footer="0" w:header="0"/>
        </w:sectPr>
      </w:pPr>
    </w:p>
    <w:bookmarkStart w:id="57" w:name="page58"/>
    <w:bookmarkEnd w:id="57"/>
    <w:p>
      <w:pPr>
        <w:ind w:right="100"/>
        <w:spacing w:after="0" w:line="256" w:lineRule="auto"/>
        <w:rPr>
          <w:sz w:val="20"/>
          <w:szCs w:val="20"/>
          <w:color w:val="auto"/>
        </w:rPr>
      </w:pPr>
      <w:r>
        <w:rPr>
          <w:rFonts w:ascii="Times New Roman" w:cs="Times New Roman" w:eastAsia="Times New Roman" w:hAnsi="Times New Roman"/>
          <w:sz w:val="16"/>
          <w:szCs w:val="16"/>
          <w:color w:val="auto"/>
        </w:rPr>
        <w:t>The decrease in net revenue was primarily driven by a $38.1 million decrease in term subscription revenue and a $1.8 million decrease in non-subscription revenue, partially offset by a $3.1 million increase in membership subscription revenue. Revenue from Buttonwood Publishing, the business we acquired in August 2022, was $2.0 million for the year ended December 31, 2022.</w:t>
      </w:r>
    </w:p>
    <w:p>
      <w:pPr>
        <w:spacing w:after="0" w:line="113" w:lineRule="exact"/>
        <w:rPr>
          <w:sz w:val="20"/>
          <w:szCs w:val="20"/>
          <w:color w:val="auto"/>
        </w:rPr>
      </w:pPr>
    </w:p>
    <w:p>
      <w:pPr>
        <w:ind w:right="60"/>
        <w:spacing w:after="0" w:line="299" w:lineRule="auto"/>
        <w:rPr>
          <w:sz w:val="20"/>
          <w:szCs w:val="20"/>
          <w:color w:val="auto"/>
        </w:rPr>
      </w:pPr>
      <w:r>
        <w:rPr>
          <w:rFonts w:ascii="Times New Roman" w:cs="Times New Roman" w:eastAsia="Times New Roman" w:hAnsi="Times New Roman"/>
          <w:sz w:val="14"/>
          <w:szCs w:val="14"/>
          <w:color w:val="auto"/>
        </w:rPr>
        <w:t>Term subscription revenue decreased during the year ended December 31, 2022 primarily due to lower Billings as compared to the 2021 period — our highest Billings in company history — which was driven by reduced engagement of prospective and existing subscribers in the 2022 period. Membership subscription revenue for the year ended December 31, 2022 benefited from the recognition of the deferred revenue we recorded in prior years. Membership subscription revenue, which is initially deferred and recognized over a five-year period, increased as a result of higher volume of membership subscriptions in current and prior years, which continued to benefit us for the year ended December 31, 2022.</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Operating Expenses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10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340" w:type="dxa"/>
            <w:vAlign w:val="bottom"/>
          </w:tcPr>
          <w:p>
            <w:pPr>
              <w:spacing w:after="0"/>
              <w:rPr>
                <w:sz w:val="14"/>
                <w:szCs w:val="14"/>
                <w:color w:val="auto"/>
              </w:rPr>
            </w:pPr>
          </w:p>
        </w:tc>
        <w:tc>
          <w:tcPr>
            <w:tcW w:w="2720" w:type="dxa"/>
            <w:vAlign w:val="bottom"/>
            <w:gridSpan w:val="5"/>
          </w:tcPr>
          <w:p>
            <w:pPr>
              <w:ind w:left="46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1560" w:type="dxa"/>
            <w:vAlign w:val="bottom"/>
            <w:vMerge w:val="restart"/>
          </w:tcPr>
          <w:p>
            <w:pPr>
              <w:jc w:val="right"/>
              <w:ind w:right="424"/>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526"/>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jc w:val="right"/>
              <w:ind w:right="504"/>
              <w:spacing w:after="0"/>
              <w:rPr>
                <w:sz w:val="20"/>
                <w:szCs w:val="20"/>
                <w:color w:val="auto"/>
              </w:rPr>
            </w:pPr>
            <w:r>
              <w:rPr>
                <w:rFonts w:ascii="Times New Roman" w:cs="Times New Roman" w:eastAsia="Times New Roman" w:hAnsi="Times New Roman"/>
                <w:sz w:val="12"/>
                <w:szCs w:val="12"/>
                <w:b w:val="1"/>
                <w:bCs w:val="1"/>
                <w:color w:val="auto"/>
              </w:rPr>
              <w:t>2021</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5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Cost of revenue</w:t>
            </w: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62,697</w:t>
            </w:r>
          </w:p>
        </w:tc>
        <w:tc>
          <w:tcPr>
            <w:tcW w:w="100" w:type="dxa"/>
            <w:vAlign w:val="bottom"/>
          </w:tcPr>
          <w:p>
            <w:pPr>
              <w:spacing w:after="0"/>
              <w:rPr>
                <w:sz w:val="19"/>
                <w:szCs w:val="19"/>
                <w:color w:val="auto"/>
              </w:rPr>
            </w:pPr>
          </w:p>
        </w:tc>
        <w:tc>
          <w:tcPr>
            <w:tcW w:w="34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239,251</w:t>
            </w:r>
          </w:p>
        </w:tc>
        <w:tc>
          <w:tcPr>
            <w:tcW w:w="100" w:type="dxa"/>
            <w:vAlign w:val="bottom"/>
          </w:tcPr>
          <w:p>
            <w:pPr>
              <w:spacing w:after="0"/>
              <w:rPr>
                <w:sz w:val="19"/>
                <w:szCs w:val="19"/>
                <w:color w:val="auto"/>
              </w:rPr>
            </w:pP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(176,554)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(73.8)%</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Sales and marketing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235,326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296,934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(61,608)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0" w:type="dxa"/>
            <w:vAlign w:val="bottom"/>
          </w:tcPr>
          <w:p>
            <w:pPr>
              <w:spacing w:after="0"/>
              <w:rPr>
                <w:sz w:val="1"/>
                <w:szCs w:val="1"/>
                <w:color w:val="auto"/>
              </w:rPr>
            </w:pPr>
          </w:p>
        </w:tc>
      </w:tr>
      <w:tr>
        <w:trPr>
          <w:trHeight w:val="222"/>
        </w:trPr>
        <w:tc>
          <w:tcPr>
            <w:tcW w:w="5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tcPr>
          <w:p>
            <w:pPr>
              <w:spacing w:after="0"/>
              <w:rPr>
                <w:sz w:val="19"/>
                <w:szCs w:val="19"/>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114,810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960,183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(845,373)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(88.0)%</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8,817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17.8 %</w:t>
            </w:r>
          </w:p>
        </w:tc>
        <w:tc>
          <w:tcPr>
            <w:tcW w:w="0" w:type="dxa"/>
            <w:vAlign w:val="bottom"/>
          </w:tcPr>
          <w:p>
            <w:pPr>
              <w:spacing w:after="0"/>
              <w:rPr>
                <w:sz w:val="1"/>
                <w:szCs w:val="1"/>
                <w:color w:val="auto"/>
              </w:rPr>
            </w:pPr>
          </w:p>
        </w:tc>
      </w:tr>
      <w:tr>
        <w:trPr>
          <w:trHeight w:val="222"/>
        </w:trPr>
        <w:tc>
          <w:tcPr>
            <w:tcW w:w="5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3,091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15.5 %</w:t>
            </w:r>
          </w:p>
        </w:tc>
        <w:tc>
          <w:tcPr>
            <w:tcW w:w="0" w:type="dxa"/>
            <w:vAlign w:val="bottom"/>
          </w:tcPr>
          <w:p>
            <w:pPr>
              <w:spacing w:after="0"/>
              <w:rPr>
                <w:sz w:val="1"/>
                <w:szCs w:val="1"/>
                <w:color w:val="auto"/>
              </w:rPr>
            </w:pPr>
          </w:p>
        </w:tc>
      </w:tr>
      <w:tr>
        <w:trPr>
          <w:trHeight w:val="222"/>
        </w:trPr>
        <w:tc>
          <w:tcPr>
            <w:tcW w:w="5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Related party expenses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(9,866)</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0" w:type="dxa"/>
            <w:vAlign w:val="bottom"/>
          </w:tcPr>
          <w:p>
            <w:pPr>
              <w:spacing w:after="0"/>
              <w:rPr>
                <w:sz w:val="1"/>
                <w:szCs w:val="1"/>
                <w:color w:val="auto"/>
              </w:rPr>
            </w:pPr>
          </w:p>
        </w:tc>
      </w:tr>
      <w:tr>
        <w:trPr>
          <w:trHeight w:val="214"/>
        </w:trPr>
        <w:tc>
          <w:tcPr>
            <w:tcW w:w="5100" w:type="dxa"/>
            <w:vAlign w:val="bottom"/>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rPr>
              <w:t>425,120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1,516,776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(1,091,656)</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Cost of Revenue</w:t>
      </w:r>
    </w:p>
    <w:p>
      <w:pPr>
        <w:spacing w:after="0" w:line="145" w:lineRule="exact"/>
        <w:rPr>
          <w:sz w:val="20"/>
          <w:szCs w:val="20"/>
          <w:color w:val="auto"/>
        </w:rPr>
      </w:pPr>
    </w:p>
    <w:p>
      <w:pPr>
        <w:ind w:left="280" w:right="200"/>
        <w:spacing w:after="0" w:line="310" w:lineRule="auto"/>
        <w:rPr>
          <w:sz w:val="20"/>
          <w:szCs w:val="20"/>
          <w:color w:val="auto"/>
        </w:rPr>
      </w:pPr>
      <w:r>
        <w:rPr>
          <w:rFonts w:ascii="Times New Roman" w:cs="Times New Roman" w:eastAsia="Times New Roman" w:hAnsi="Times New Roman"/>
          <w:sz w:val="14"/>
          <w:szCs w:val="14"/>
          <w:color w:val="auto"/>
        </w:rPr>
        <w:t>Cost of revenue decreased primarily driven by a $170.5 million decrease in stock-based compensation expense related to holders of Class B Units, a $5.7 million decrease in credit card fees, a $1.9 million decrease in freelance editorial expense, and a $1.5 million decrease in outsourced customer service. This was partially offset a $2.6 million increase in salaries, taxes and benefits, and a $0.7 million increase in stock-based compensation expense related to awards under the 2021 Incentive Award Plan.</w:t>
      </w:r>
    </w:p>
    <w:p>
      <w:pPr>
        <w:spacing w:after="0" w:line="78" w:lineRule="exact"/>
        <w:rPr>
          <w:sz w:val="20"/>
          <w:szCs w:val="20"/>
          <w:color w:val="auto"/>
        </w:rPr>
      </w:pPr>
    </w:p>
    <w:p>
      <w:pPr>
        <w:ind w:left="280" w:right="400"/>
        <w:spacing w:after="0" w:line="268" w:lineRule="auto"/>
        <w:rPr>
          <w:sz w:val="20"/>
          <w:szCs w:val="20"/>
          <w:color w:val="auto"/>
        </w:rPr>
      </w:pPr>
      <w:r>
        <w:rPr>
          <w:rFonts w:ascii="Times New Roman" w:cs="Times New Roman" w:eastAsia="Times New Roman" w:hAnsi="Times New Roman"/>
          <w:sz w:val="16"/>
          <w:szCs w:val="16"/>
          <w:color w:val="auto"/>
        </w:rPr>
        <w:t>Approximately $22.8 million of the decrease in Class B stock-based compensation expense was due to distributions, and $147.7 million of the decrease was related to the change in fair value and the accelerated vesting of the Class B units, both of which were related to the Transactions.</w:t>
      </w:r>
    </w:p>
    <w:p>
      <w:pPr>
        <w:spacing w:after="0" w:line="1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Sales and Marketing</w:t>
      </w:r>
    </w:p>
    <w:p>
      <w:pPr>
        <w:spacing w:after="0" w:line="145" w:lineRule="exact"/>
        <w:rPr>
          <w:sz w:val="20"/>
          <w:szCs w:val="20"/>
          <w:color w:val="auto"/>
        </w:rPr>
      </w:pPr>
    </w:p>
    <w:p>
      <w:pPr>
        <w:ind w:left="280" w:right="140"/>
        <w:spacing w:after="0" w:line="252" w:lineRule="auto"/>
        <w:rPr>
          <w:sz w:val="20"/>
          <w:szCs w:val="20"/>
          <w:color w:val="auto"/>
        </w:rPr>
      </w:pPr>
      <w:r>
        <w:rPr>
          <w:rFonts w:ascii="Times New Roman" w:cs="Times New Roman" w:eastAsia="Times New Roman" w:hAnsi="Times New Roman"/>
          <w:sz w:val="16"/>
          <w:szCs w:val="16"/>
          <w:color w:val="auto"/>
        </w:rPr>
        <w:t>Sales and marketing expense decreased primarily driven by a $46.4 million decrease in stock-based compensation expense related to holders of Class B Units, and a $46.0 million decrease in marketing as we have reduced our marketing spend as part of our cost reduction initiatives and due to higher per unit subscriber acquisition costs resulting from higher post-COVID increases in demand for display advertising. This was partially offset by a $26.0 million increase in amortization of deferred contract acquisition costs, and a $4.6 million increase in salaries, taxes and benefits.</w:t>
      </w:r>
    </w:p>
    <w:p>
      <w:pPr>
        <w:spacing w:after="0" w:line="116" w:lineRule="exact"/>
        <w:rPr>
          <w:sz w:val="20"/>
          <w:szCs w:val="20"/>
          <w:color w:val="auto"/>
        </w:rPr>
      </w:pPr>
    </w:p>
    <w:p>
      <w:pPr>
        <w:ind w:left="280" w:right="80"/>
        <w:spacing w:after="0" w:line="268" w:lineRule="auto"/>
        <w:rPr>
          <w:sz w:val="20"/>
          <w:szCs w:val="20"/>
          <w:color w:val="auto"/>
        </w:rPr>
      </w:pPr>
      <w:r>
        <w:rPr>
          <w:rFonts w:ascii="Times New Roman" w:cs="Times New Roman" w:eastAsia="Times New Roman" w:hAnsi="Times New Roman"/>
          <w:sz w:val="16"/>
          <w:szCs w:val="16"/>
          <w:color w:val="auto"/>
        </w:rPr>
        <w:t>Approximately $3.8 million of the decrease in Class B stock-based compensation expense was due to distributions, and $42.6 million of the decrease was related to the change in fair value and the accelerated vesting of the Class B units, both of which were related to the Transactions.</w:t>
      </w:r>
    </w:p>
    <w:p>
      <w:pPr>
        <w:spacing w:after="0" w:line="1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General and Administrative</w:t>
      </w:r>
    </w:p>
    <w:p>
      <w:pPr>
        <w:spacing w:after="0" w:line="145" w:lineRule="exact"/>
        <w:rPr>
          <w:sz w:val="20"/>
          <w:szCs w:val="20"/>
          <w:color w:val="auto"/>
        </w:rPr>
      </w:pPr>
    </w:p>
    <w:p>
      <w:pPr>
        <w:ind w:left="280" w:right="100"/>
        <w:spacing w:after="0" w:line="268" w:lineRule="auto"/>
        <w:rPr>
          <w:sz w:val="20"/>
          <w:szCs w:val="20"/>
          <w:color w:val="auto"/>
        </w:rPr>
      </w:pPr>
      <w:r>
        <w:rPr>
          <w:rFonts w:ascii="Times New Roman" w:cs="Times New Roman" w:eastAsia="Times New Roman" w:hAnsi="Times New Roman"/>
          <w:sz w:val="16"/>
          <w:szCs w:val="16"/>
          <w:color w:val="auto"/>
        </w:rPr>
        <w:t>General and administrative expense decreased primarily driven by a $841.5 million decrease in stock-based compensation expense related to holders of Class B Units, a $16.7 million decrease in incentive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386" w:right="319" w:bottom="1440" w:gutter="0" w:footer="0" w:header="0"/>
        </w:sectPr>
      </w:pPr>
    </w:p>
    <w:bookmarkStart w:id="58" w:name="page59"/>
    <w:bookmarkEnd w:id="58"/>
    <w:p>
      <w:pPr>
        <w:ind w:left="280" w:right="60"/>
        <w:spacing w:after="0" w:line="252" w:lineRule="auto"/>
        <w:rPr>
          <w:sz w:val="20"/>
          <w:szCs w:val="20"/>
          <w:color w:val="auto"/>
        </w:rPr>
      </w:pPr>
      <w:r>
        <w:rPr>
          <w:rFonts w:ascii="Times New Roman" w:cs="Times New Roman" w:eastAsia="Times New Roman" w:hAnsi="Times New Roman"/>
          <w:sz w:val="16"/>
          <w:szCs w:val="16"/>
          <w:color w:val="auto"/>
        </w:rPr>
        <w:t>and profits interest expenses, and a $3.8 million decrease related to sales tax. This was partially offset by a $9.4 million increase in severance expense, a $4.0 million increase in professional fees primarily due to higher fees related to the warrant exchange transaction and fees capitalized related to the Transactions in third quarter 2021, a $2.9 million increase in stock-based compensation related to awards under the 2021 Incentive Award Plan and the ESPP, a $2.9 million increase in software expense, and a $1.5 million increase in insurance expense.</w:t>
      </w:r>
    </w:p>
    <w:p>
      <w:pPr>
        <w:spacing w:after="0" w:line="116" w:lineRule="exact"/>
        <w:rPr>
          <w:sz w:val="20"/>
          <w:szCs w:val="20"/>
          <w:color w:val="auto"/>
        </w:rPr>
      </w:pPr>
    </w:p>
    <w:p>
      <w:pPr>
        <w:ind w:left="280" w:right="400"/>
        <w:spacing w:after="0" w:line="268" w:lineRule="auto"/>
        <w:rPr>
          <w:sz w:val="20"/>
          <w:szCs w:val="20"/>
          <w:color w:val="auto"/>
        </w:rPr>
      </w:pPr>
      <w:r>
        <w:rPr>
          <w:rFonts w:ascii="Times New Roman" w:cs="Times New Roman" w:eastAsia="Times New Roman" w:hAnsi="Times New Roman"/>
          <w:sz w:val="16"/>
          <w:szCs w:val="16"/>
          <w:color w:val="auto"/>
        </w:rPr>
        <w:t>Approximately $96.8 million of the decrease in Class B stock-based compensation expense was due to distributions, and $744.7 million of the decrease was related to the change in fair value and the accelerated vesting of the Class B units, both of which were related to the Transactions.</w:t>
      </w:r>
    </w:p>
    <w:p>
      <w:pPr>
        <w:spacing w:after="0" w:line="1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Related Party Expense</w:t>
      </w:r>
    </w:p>
    <w:p>
      <w:pPr>
        <w:spacing w:after="0" w:line="145" w:lineRule="exact"/>
        <w:rPr>
          <w:sz w:val="20"/>
          <w:szCs w:val="20"/>
          <w:color w:val="auto"/>
        </w:rPr>
      </w:pPr>
    </w:p>
    <w:p>
      <w:pPr>
        <w:ind w:left="280" w:right="380"/>
        <w:spacing w:after="0" w:line="268" w:lineRule="auto"/>
        <w:rPr>
          <w:sz w:val="20"/>
          <w:szCs w:val="20"/>
          <w:color w:val="auto"/>
        </w:rPr>
      </w:pPr>
      <w:r>
        <w:rPr>
          <w:rFonts w:ascii="Times New Roman" w:cs="Times New Roman" w:eastAsia="Times New Roman" w:hAnsi="Times New Roman"/>
          <w:sz w:val="16"/>
          <w:szCs w:val="16"/>
          <w:color w:val="auto"/>
        </w:rPr>
        <w:t>Related party expense decreased driven by a discretionary, one-time, non-employee bonus payment of $10.0 million to the Company’s founder, who is a Class B common stockholder, in July 2021.</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145"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16"/>
          <w:szCs w:val="16"/>
          <w:color w:val="auto"/>
        </w:rPr>
        <w:t>In addition to our results determined in accordance with GAAP, we believe that the below non-GAAP financial measures are useful in evaluating our ability to generate cash. We use the below non-GAAP financial measures, collectively, to evaluate our ongoing operations and for internal planning and forecasting purposes. We believe that non-GAAP financial information, when taken collectively, may be helpful to investors because it provides consistency and comparability with past financial performance. This non-GAAP financial information is presented for supplemental informational purposes only and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stated in accordance with GAAP. Investors are encouraged to review the related GAAP financial measures and the reconciliations of these non-GAAP financial measures to their most directly comparable GAAP financial measures.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78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3"/>
          </w:tcPr>
          <w:p>
            <w:pPr>
              <w:ind w:left="98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960" w:type="dxa"/>
            <w:vAlign w:val="bottom"/>
          </w:tcPr>
          <w:p>
            <w:pPr>
              <w:spacing w:after="0"/>
              <w:rPr>
                <w:sz w:val="14"/>
                <w:szCs w:val="14"/>
                <w:color w:val="auto"/>
              </w:rPr>
            </w:pPr>
          </w:p>
        </w:tc>
      </w:tr>
      <w:tr>
        <w:trPr>
          <w:trHeight w:val="20"/>
        </w:trPr>
        <w:tc>
          <w:tcPr>
            <w:tcW w:w="4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gridSpan w:val="3"/>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2"/>
        </w:trPr>
        <w:tc>
          <w:tcPr>
            <w:tcW w:w="4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427"/>
              <w:spacing w:after="0"/>
              <w:rPr>
                <w:sz w:val="20"/>
                <w:szCs w:val="20"/>
                <w:color w:val="auto"/>
              </w:rPr>
            </w:pPr>
            <w:r>
              <w:rPr>
                <w:rFonts w:ascii="Times New Roman" w:cs="Times New Roman" w:eastAsia="Times New Roman" w:hAnsi="Times New Roman"/>
                <w:sz w:val="12"/>
                <w:szCs w:val="12"/>
                <w:b w:val="1"/>
                <w:bCs w:val="1"/>
                <w:color w:val="auto"/>
              </w:rPr>
              <w:t>2023</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427"/>
              <w:spacing w:after="0"/>
              <w:rPr>
                <w:sz w:val="20"/>
                <w:szCs w:val="20"/>
                <w:color w:val="auto"/>
              </w:rPr>
            </w:pPr>
            <w:r>
              <w:rPr>
                <w:rFonts w:ascii="Times New Roman" w:cs="Times New Roman" w:eastAsia="Times New Roman" w:hAnsi="Times New Roman"/>
                <w:sz w:val="12"/>
                <w:szCs w:val="12"/>
                <w:b w:val="1"/>
                <w:bCs w:val="1"/>
                <w:color w:val="auto"/>
              </w:rPr>
              <w:t>2021</w:t>
            </w:r>
          </w:p>
        </w:tc>
        <w:tc>
          <w:tcPr>
            <w:tcW w:w="80" w:type="dxa"/>
            <w:vAlign w:val="bottom"/>
          </w:tcPr>
          <w:p>
            <w:pPr>
              <w:spacing w:after="0"/>
              <w:rPr>
                <w:sz w:val="14"/>
                <w:szCs w:val="14"/>
                <w:color w:val="auto"/>
              </w:rPr>
            </w:pPr>
          </w:p>
        </w:tc>
        <w:tc>
          <w:tcPr>
            <w:tcW w:w="1540" w:type="dxa"/>
            <w:vAlign w:val="bottom"/>
            <w:gridSpan w:val="3"/>
          </w:tcPr>
          <w:p>
            <w:pPr>
              <w:ind w:left="260"/>
              <w:spacing w:after="0"/>
              <w:rPr>
                <w:sz w:val="20"/>
                <w:szCs w:val="20"/>
                <w:color w:val="auto"/>
              </w:rPr>
            </w:pPr>
            <w:r>
              <w:rPr>
                <w:rFonts w:ascii="Times New Roman" w:cs="Times New Roman" w:eastAsia="Times New Roman" w:hAnsi="Times New Roman"/>
                <w:sz w:val="12"/>
                <w:szCs w:val="12"/>
                <w:b w:val="1"/>
                <w:bCs w:val="1"/>
                <w:color w:val="auto"/>
              </w:rPr>
              <w:t>2023 vs 2022</w:t>
            </w:r>
          </w:p>
        </w:tc>
        <w:tc>
          <w:tcPr>
            <w:tcW w:w="960" w:type="dxa"/>
            <w:vAlign w:val="bottom"/>
          </w:tcPr>
          <w:p>
            <w:pPr>
              <w:jc w:val="right"/>
              <w:ind w:right="210"/>
              <w:spacing w:after="0"/>
              <w:rPr>
                <w:sz w:val="20"/>
                <w:szCs w:val="20"/>
                <w:color w:val="auto"/>
              </w:rPr>
            </w:pPr>
            <w:r>
              <w:rPr>
                <w:rFonts w:ascii="Times New Roman" w:cs="Times New Roman" w:eastAsia="Times New Roman" w:hAnsi="Times New Roman"/>
                <w:sz w:val="12"/>
                <w:szCs w:val="12"/>
                <w:b w:val="1"/>
                <w:bCs w:val="1"/>
                <w:color w:val="auto"/>
              </w:rPr>
              <w:t>2022 vs 2021</w:t>
            </w:r>
          </w:p>
        </w:tc>
      </w:tr>
      <w:tr>
        <w:trPr>
          <w:trHeight w:val="196"/>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CFFO</w:t>
            </w:r>
          </w:p>
        </w:tc>
        <w:tc>
          <w:tcPr>
            <w:tcW w:w="28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6"/>
                <w:szCs w:val="16"/>
                <w:color w:val="auto"/>
              </w:rPr>
              <w:t>66,368</w:t>
            </w:r>
          </w:p>
        </w:tc>
        <w:tc>
          <w:tcPr>
            <w:tcW w:w="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6"/>
                <w:szCs w:val="16"/>
                <w:color w:val="auto"/>
              </w:rPr>
              <w:t>59,324</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6"/>
                <w:szCs w:val="16"/>
                <w:color w:val="auto"/>
              </w:rPr>
              <w:t>197,081</w:t>
            </w:r>
          </w:p>
        </w:tc>
        <w:tc>
          <w:tcPr>
            <w:tcW w:w="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r>
      <w:tr>
        <w:trPr>
          <w:trHeight w:val="203"/>
        </w:trPr>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Adjusted CFFO Margin</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17.4 %</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12.9 %</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27.0 %</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Adjusted CFFO / Adjusted CFFO Margin</w:t>
      </w:r>
    </w:p>
    <w:p>
      <w:pPr>
        <w:spacing w:after="0" w:line="145"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6"/>
          <w:szCs w:val="16"/>
          <w:color w:val="auto"/>
        </w:rPr>
        <w:t xml:space="preserve">In addition to our results determined in accordance with GAAP, we disclose the non-GAAP financial measure Adjusted CFFO and Adjusted CFFO Margin. We define Adjusted CFFO as cash flow from operations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profits distributions that were recorded as stock-based compensation expense from the Class B Units, </w:t>
      </w:r>
      <w:r>
        <w:rPr>
          <w:rFonts w:ascii="Times New Roman" w:cs="Times New Roman" w:eastAsia="Times New Roman" w:hAnsi="Times New Roman"/>
          <w:sz w:val="16"/>
          <w:szCs w:val="16"/>
          <w:i w:val="1"/>
          <w:iCs w:val="1"/>
          <w:color w:val="auto"/>
        </w:rPr>
        <w:t>plus</w:t>
      </w:r>
      <w:r>
        <w:rPr>
          <w:rFonts w:ascii="Times New Roman" w:cs="Times New Roman" w:eastAsia="Times New Roman" w:hAnsi="Times New Roman"/>
          <w:sz w:val="16"/>
          <w:szCs w:val="16"/>
          <w:color w:val="auto"/>
        </w:rPr>
        <w:t xml:space="preserve"> or </w:t>
      </w:r>
      <w:r>
        <w:rPr>
          <w:rFonts w:ascii="Times New Roman" w:cs="Times New Roman" w:eastAsia="Times New Roman" w:hAnsi="Times New Roman"/>
          <w:sz w:val="16"/>
          <w:szCs w:val="16"/>
          <w:i w:val="1"/>
          <w:iCs w:val="1"/>
          <w:color w:val="auto"/>
        </w:rPr>
        <w:t>minus</w:t>
      </w:r>
      <w:r>
        <w:rPr>
          <w:rFonts w:ascii="Times New Roman" w:cs="Times New Roman" w:eastAsia="Times New Roman" w:hAnsi="Times New Roman"/>
          <w:sz w:val="16"/>
          <w:szCs w:val="16"/>
          <w:color w:val="auto"/>
        </w:rPr>
        <w:t xml:space="preserve"> any non-recurring items. Profits distributions to Class B unitholders included amounts attributable to the holders’ potential tax liability with respect to the Class B Units (</w:t>
      </w:r>
      <w:r>
        <w:rPr>
          <w:rFonts w:ascii="Times New Roman" w:cs="Times New Roman" w:eastAsia="Times New Roman" w:hAnsi="Times New Roman"/>
          <w:sz w:val="16"/>
          <w:szCs w:val="16"/>
          <w:i w:val="1"/>
          <w:iCs w:val="1"/>
          <w:color w:val="auto"/>
        </w:rPr>
        <w:t>i.e.</w:t>
      </w:r>
      <w:r>
        <w:rPr>
          <w:rFonts w:ascii="Times New Roman" w:cs="Times New Roman" w:eastAsia="Times New Roman" w:hAnsi="Times New Roman"/>
          <w:sz w:val="16"/>
          <w:szCs w:val="16"/>
          <w:color w:val="auto"/>
        </w:rPr>
        <w:t>, there was no tax withholding, and the full amount of allocable profit was distributed, subject to the terms of the Prior MarketWise Operating Agreement). We define Adjusted CFFO Margin as Adjusted CFFO as a percentage of Billings.</w:t>
      </w:r>
    </w:p>
    <w:p>
      <w:pPr>
        <w:spacing w:after="0" w:line="11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6"/>
          <w:szCs w:val="16"/>
          <w:color w:val="auto"/>
        </w:rPr>
        <w:t>We believe that Adjusted CFFO and Adjusted CFFO Margin are useful indicators that provide information to management and investors about our ability to generate cash, and for internal planning and forecasting purposes.</w:t>
      </w:r>
    </w:p>
    <w:p>
      <w:pPr>
        <w:spacing w:after="0" w:line="104"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16"/>
          <w:szCs w:val="16"/>
          <w:color w:val="auto"/>
        </w:rPr>
        <w:t>We have presented Adjusted CFFO because we believe it provides investors with greater comparability of our ability to generate cash without the effects of stock-based compensation expense related to holders of Class B Units that will not continue following the consummation of the Transactions, in which all Class B Units were converted into LLC Units. Following the consummation of the Transactions, we will make certain tax distributions to the MarketWise Members in amounts sufficient to pay individual income taxes on their respective allocation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386" w:right="319" w:bottom="1440" w:gutter="0" w:footer="0" w:header="0"/>
        </w:sectPr>
      </w:pPr>
    </w:p>
    <w:bookmarkStart w:id="59" w:name="page60"/>
    <w:bookmarkEnd w:id="59"/>
    <w:p>
      <w:pPr>
        <w:ind w:right="200"/>
        <w:spacing w:after="0" w:line="341" w:lineRule="auto"/>
        <w:rPr>
          <w:sz w:val="20"/>
          <w:szCs w:val="20"/>
          <w:color w:val="auto"/>
        </w:rPr>
      </w:pPr>
      <w:r>
        <w:rPr>
          <w:rFonts w:ascii="Times New Roman" w:cs="Times New Roman" w:eastAsia="Times New Roman" w:hAnsi="Times New Roman"/>
          <w:sz w:val="14"/>
          <w:szCs w:val="14"/>
          <w:color w:val="auto"/>
        </w:rPr>
        <w:t>profits of MarketWise, LLC at then prevailing individual income tax rates. These distributions will not be recorded on MarketWise, Inc.’s income statement, and will be reflected on MarketWise, Inc.’s cash flow statement as cash used in financing activities. The cash used to make these distributions will not be available to us for use in the business.</w:t>
      </w:r>
    </w:p>
    <w:p>
      <w:pPr>
        <w:spacing w:after="0" w:line="57" w:lineRule="exact"/>
        <w:rPr>
          <w:sz w:val="20"/>
          <w:szCs w:val="20"/>
          <w:color w:val="auto"/>
        </w:rPr>
      </w:pPr>
    </w:p>
    <w:p>
      <w:pPr>
        <w:jc w:val="both"/>
        <w:ind w:right="280"/>
        <w:spacing w:after="0" w:line="256" w:lineRule="auto"/>
        <w:rPr>
          <w:sz w:val="20"/>
          <w:szCs w:val="20"/>
          <w:color w:val="auto"/>
        </w:rPr>
      </w:pPr>
      <w:r>
        <w:rPr>
          <w:rFonts w:ascii="Times New Roman" w:cs="Times New Roman" w:eastAsia="Times New Roman" w:hAnsi="Times New Roman"/>
          <w:sz w:val="16"/>
          <w:szCs w:val="16"/>
          <w:color w:val="auto"/>
        </w:rPr>
        <w:t>Adjusted CFFO and Adjusted CFFO Margin have limitations as analytical tools, and should not be considered in isolation or as substitutes for analysis of other GAAP financial measures, such as cash flow from operations or operating cash flow margin. Some of the limitations of using Adjusted CFFO and Adjusted CFFO Margin are that these metrics may be calculated differently by other companies in our industry.</w:t>
      </w:r>
    </w:p>
    <w:p>
      <w:pPr>
        <w:spacing w:after="0" w:line="113"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6"/>
          <w:szCs w:val="16"/>
          <w:color w:val="auto"/>
        </w:rPr>
        <w:t>We expect Adjusted CFFO and Adjusted CFFO Margin to fluctuate in future periods as we invest in our business to execute our growth strategy. These activities, along with any non-recurring items as described above, may result in fluctuations in Adjusted CFFO and Adjusted CFFO Margin in future periods.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provides a reconciliation of net cash provided by operating activities, the most directly comparable financial measure calculated in accordance with GAAP, to</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Adjusted CFFO for each of the periods presented: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4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40" w:type="dxa"/>
            <w:vAlign w:val="bottom"/>
            <w:gridSpan w:val="6"/>
          </w:tcPr>
          <w:p>
            <w:pPr>
              <w:jc w:val="right"/>
              <w:ind w:right="162"/>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ind w:left="102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1000" w:type="dxa"/>
            <w:vAlign w:val="bottom"/>
          </w:tcPr>
          <w:p>
            <w:pPr>
              <w:spacing w:after="0"/>
              <w:rPr>
                <w:sz w:val="14"/>
                <w:szCs w:val="14"/>
                <w:color w:val="auto"/>
              </w:rPr>
            </w:pPr>
          </w:p>
        </w:tc>
      </w:tr>
      <w:tr>
        <w:trPr>
          <w:trHeight w:val="20"/>
        </w:trPr>
        <w:tc>
          <w:tcPr>
            <w:tcW w:w="5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3"/>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62"/>
        </w:trPr>
        <w:tc>
          <w:tcPr>
            <w:tcW w:w="5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305"/>
              <w:spacing w:after="0"/>
              <w:rPr>
                <w:sz w:val="20"/>
                <w:szCs w:val="20"/>
                <w:color w:val="auto"/>
              </w:rPr>
            </w:pPr>
            <w:r>
              <w:rPr>
                <w:rFonts w:ascii="Times New Roman" w:cs="Times New Roman" w:eastAsia="Times New Roman" w:hAnsi="Times New Roman"/>
                <w:sz w:val="12"/>
                <w:szCs w:val="12"/>
                <w:b w:val="1"/>
                <w:bCs w:val="1"/>
                <w:color w:val="auto"/>
              </w:rPr>
              <w:t>2023</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365"/>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jc w:val="right"/>
              <w:ind w:right="345"/>
              <w:spacing w:after="0"/>
              <w:rPr>
                <w:sz w:val="20"/>
                <w:szCs w:val="20"/>
                <w:color w:val="auto"/>
              </w:rPr>
            </w:pPr>
            <w:r>
              <w:rPr>
                <w:rFonts w:ascii="Times New Roman" w:cs="Times New Roman" w:eastAsia="Times New Roman" w:hAnsi="Times New Roman"/>
                <w:sz w:val="12"/>
                <w:szCs w:val="12"/>
                <w:b w:val="1"/>
                <w:bCs w:val="1"/>
                <w:color w:val="auto"/>
              </w:rPr>
              <w:t>2021</w:t>
            </w:r>
          </w:p>
        </w:tc>
        <w:tc>
          <w:tcPr>
            <w:tcW w:w="100" w:type="dxa"/>
            <w:vAlign w:val="bottom"/>
          </w:tcPr>
          <w:p>
            <w:pPr>
              <w:spacing w:after="0"/>
              <w:rPr>
                <w:sz w:val="14"/>
                <w:szCs w:val="14"/>
                <w:color w:val="auto"/>
              </w:rPr>
            </w:pPr>
          </w:p>
        </w:tc>
        <w:tc>
          <w:tcPr>
            <w:tcW w:w="1580" w:type="dxa"/>
            <w:vAlign w:val="bottom"/>
            <w:gridSpan w:val="3"/>
          </w:tcPr>
          <w:p>
            <w:pPr>
              <w:ind w:left="280"/>
              <w:spacing w:after="0"/>
              <w:rPr>
                <w:sz w:val="20"/>
                <w:szCs w:val="20"/>
                <w:color w:val="auto"/>
              </w:rPr>
            </w:pPr>
            <w:r>
              <w:rPr>
                <w:rFonts w:ascii="Times New Roman" w:cs="Times New Roman" w:eastAsia="Times New Roman" w:hAnsi="Times New Roman"/>
                <w:sz w:val="12"/>
                <w:szCs w:val="12"/>
                <w:b w:val="1"/>
                <w:bCs w:val="1"/>
                <w:color w:val="auto"/>
              </w:rPr>
              <w:t>2023 vs 2022</w:t>
            </w:r>
          </w:p>
        </w:tc>
        <w:tc>
          <w:tcPr>
            <w:tcW w:w="1000" w:type="dxa"/>
            <w:vAlign w:val="bottom"/>
          </w:tcPr>
          <w:p>
            <w:pPr>
              <w:jc w:val="right"/>
              <w:ind w:right="205"/>
              <w:spacing w:after="0"/>
              <w:rPr>
                <w:sz w:val="20"/>
                <w:szCs w:val="20"/>
                <w:color w:val="auto"/>
              </w:rPr>
            </w:pPr>
            <w:r>
              <w:rPr>
                <w:rFonts w:ascii="Times New Roman" w:cs="Times New Roman" w:eastAsia="Times New Roman" w:hAnsi="Times New Roman"/>
                <w:sz w:val="12"/>
                <w:szCs w:val="12"/>
                <w:b w:val="1"/>
                <w:bCs w:val="1"/>
                <w:color w:val="auto"/>
              </w:rPr>
              <w:t>2022 vs 2021</w:t>
            </w:r>
          </w:p>
        </w:tc>
      </w:tr>
      <w:tr>
        <w:trPr>
          <w:trHeight w:val="196"/>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62,428</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48,374</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63,632</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29.1 %</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r>
      <w:tr>
        <w:trPr>
          <w:trHeight w:val="152"/>
        </w:trPr>
        <w:tc>
          <w:tcPr>
            <w:tcW w:w="5040" w:type="dxa"/>
            <w:vAlign w:val="bottom"/>
          </w:tcPr>
          <w:p>
            <w:pPr>
              <w:spacing w:after="0" w:line="152" w:lineRule="exact"/>
              <w:rPr>
                <w:sz w:val="20"/>
                <w:szCs w:val="20"/>
                <w:color w:val="auto"/>
              </w:rPr>
            </w:pPr>
            <w:r>
              <w:rPr>
                <w:rFonts w:ascii="Times New Roman" w:cs="Times New Roman" w:eastAsia="Times New Roman" w:hAnsi="Times New Roman"/>
                <w:sz w:val="16"/>
                <w:szCs w:val="16"/>
                <w:color w:val="auto"/>
              </w:rPr>
              <w:t>Profits distributions to Class B unitholders included in stock-based</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10"/>
        </w:trPr>
        <w:tc>
          <w:tcPr>
            <w:tcW w:w="5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 expense</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123,449</w:t>
            </w:r>
          </w:p>
        </w:tc>
        <w:tc>
          <w:tcPr>
            <w:tcW w:w="100" w:type="dxa"/>
            <w:vAlign w:val="bottom"/>
          </w:tcPr>
          <w:p>
            <w:pPr>
              <w:spacing w:after="0"/>
              <w:rPr>
                <w:sz w:val="18"/>
                <w:szCs w:val="18"/>
                <w:color w:val="auto"/>
              </w:rPr>
            </w:pPr>
          </w:p>
        </w:tc>
        <w:tc>
          <w:tcPr>
            <w:tcW w:w="1580" w:type="dxa"/>
            <w:vAlign w:val="bottom"/>
            <w:gridSpan w:val="3"/>
          </w:tcPr>
          <w:p>
            <w:pPr>
              <w:ind w:left="940"/>
              <w:spacing w:after="0"/>
              <w:rPr>
                <w:sz w:val="20"/>
                <w:szCs w:val="20"/>
                <w:color w:val="auto"/>
              </w:rPr>
            </w:pPr>
            <w:r>
              <w:rPr>
                <w:rFonts w:ascii="Times New Roman" w:cs="Times New Roman" w:eastAsia="Times New Roman" w:hAnsi="Times New Roman"/>
                <w:sz w:val="16"/>
                <w:szCs w:val="16"/>
                <w:color w:val="auto"/>
              </w:rPr>
              <w:t>N/M</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r>
      <w:tr>
        <w:trPr>
          <w:trHeight w:val="199"/>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Non-recurring expenses</w:t>
            </w: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3,940</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10,950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9.5 %</w:t>
            </w:r>
          </w:p>
        </w:tc>
      </w:tr>
      <w:tr>
        <w:trPr>
          <w:trHeight w:val="190"/>
        </w:trPr>
        <w:tc>
          <w:tcPr>
            <w:tcW w:w="5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CFFO</w:t>
            </w:r>
          </w:p>
        </w:tc>
        <w:tc>
          <w:tcPr>
            <w:tcW w:w="26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66,368</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59,324</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197,081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w:t>
            </w:r>
          </w:p>
        </w:tc>
      </w:tr>
      <w:tr>
        <w:trPr>
          <w:trHeight w:val="20"/>
        </w:trPr>
        <w:tc>
          <w:tcPr>
            <w:tcW w:w="5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6"/>
          <w:szCs w:val="16"/>
          <w:color w:val="auto"/>
        </w:rPr>
        <w:t>The following table provides the calculation of net cash provided by operating activities margin as a percentage of total net revenue, the most directly comparable financial measure in accordance with GAAP, and Adjusted CFFO Margin for each of the periods presented: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72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gridSpan w:val="4"/>
          </w:tcPr>
          <w:p>
            <w:pPr>
              <w:ind w:left="4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3"/>
          </w:tcPr>
          <w:p>
            <w:pPr>
              <w:ind w:left="980"/>
              <w:spacing w:after="0"/>
              <w:rPr>
                <w:sz w:val="20"/>
                <w:szCs w:val="20"/>
                <w:color w:val="auto"/>
              </w:rPr>
            </w:pPr>
            <w:r>
              <w:rPr>
                <w:rFonts w:ascii="Times New Roman" w:cs="Times New Roman" w:eastAsia="Times New Roman" w:hAnsi="Times New Roman"/>
                <w:sz w:val="12"/>
                <w:szCs w:val="12"/>
                <w:b w:val="1"/>
                <w:bCs w:val="1"/>
                <w:color w:val="auto"/>
              </w:rPr>
              <w:t>% change</w:t>
            </w:r>
          </w:p>
        </w:tc>
        <w:tc>
          <w:tcPr>
            <w:tcW w:w="960" w:type="dxa"/>
            <w:vAlign w:val="bottom"/>
          </w:tcPr>
          <w:p>
            <w:pPr>
              <w:spacing w:after="0"/>
              <w:rPr>
                <w:sz w:val="14"/>
                <w:szCs w:val="14"/>
                <w:color w:val="auto"/>
              </w:rPr>
            </w:pPr>
          </w:p>
        </w:tc>
      </w:tr>
      <w:tr>
        <w:trPr>
          <w:trHeight w:val="20"/>
        </w:trPr>
        <w:tc>
          <w:tcPr>
            <w:tcW w:w="4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gridSpan w:val="3"/>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2"/>
        </w:trPr>
        <w:tc>
          <w:tcPr>
            <w:tcW w:w="4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404"/>
              <w:spacing w:after="0"/>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424"/>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444"/>
              <w:spacing w:after="0"/>
              <w:rPr>
                <w:sz w:val="20"/>
                <w:szCs w:val="20"/>
                <w:color w:val="auto"/>
              </w:rPr>
            </w:pPr>
            <w:r>
              <w:rPr>
                <w:rFonts w:ascii="Times New Roman" w:cs="Times New Roman" w:eastAsia="Times New Roman" w:hAnsi="Times New Roman"/>
                <w:sz w:val="12"/>
                <w:szCs w:val="12"/>
                <w:b w:val="1"/>
                <w:bCs w:val="1"/>
                <w:color w:val="auto"/>
              </w:rPr>
              <w:t>2021</w:t>
            </w:r>
          </w:p>
        </w:tc>
        <w:tc>
          <w:tcPr>
            <w:tcW w:w="80" w:type="dxa"/>
            <w:vAlign w:val="bottom"/>
          </w:tcPr>
          <w:p>
            <w:pPr>
              <w:spacing w:after="0"/>
              <w:rPr>
                <w:sz w:val="14"/>
                <w:szCs w:val="14"/>
                <w:color w:val="auto"/>
              </w:rPr>
            </w:pPr>
          </w:p>
        </w:tc>
        <w:tc>
          <w:tcPr>
            <w:tcW w:w="1540" w:type="dxa"/>
            <w:vAlign w:val="bottom"/>
            <w:gridSpan w:val="3"/>
          </w:tcPr>
          <w:p>
            <w:pPr>
              <w:ind w:left="260"/>
              <w:spacing w:after="0"/>
              <w:rPr>
                <w:sz w:val="20"/>
                <w:szCs w:val="20"/>
                <w:color w:val="auto"/>
              </w:rPr>
            </w:pPr>
            <w:r>
              <w:rPr>
                <w:rFonts w:ascii="Times New Roman" w:cs="Times New Roman" w:eastAsia="Times New Roman" w:hAnsi="Times New Roman"/>
                <w:sz w:val="12"/>
                <w:szCs w:val="12"/>
                <w:b w:val="1"/>
                <w:bCs w:val="1"/>
                <w:color w:val="auto"/>
              </w:rPr>
              <w:t>2023 vs 2022</w:t>
            </w:r>
          </w:p>
        </w:tc>
        <w:tc>
          <w:tcPr>
            <w:tcW w:w="960" w:type="dxa"/>
            <w:vAlign w:val="bottom"/>
          </w:tcPr>
          <w:p>
            <w:pPr>
              <w:jc w:val="right"/>
              <w:ind w:right="205"/>
              <w:spacing w:after="0"/>
              <w:rPr>
                <w:sz w:val="20"/>
                <w:szCs w:val="20"/>
                <w:color w:val="auto"/>
              </w:rPr>
            </w:pPr>
            <w:r>
              <w:rPr>
                <w:rFonts w:ascii="Times New Roman" w:cs="Times New Roman" w:eastAsia="Times New Roman" w:hAnsi="Times New Roman"/>
                <w:sz w:val="12"/>
                <w:szCs w:val="12"/>
                <w:b w:val="1"/>
                <w:bCs w:val="1"/>
                <w:color w:val="auto"/>
              </w:rPr>
              <w:t>2022 vs 2021</w:t>
            </w:r>
          </w:p>
        </w:tc>
      </w:tr>
      <w:tr>
        <w:trPr>
          <w:trHeight w:val="196"/>
        </w:trPr>
        <w:tc>
          <w:tcPr>
            <w:tcW w:w="4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62,428</w:t>
            </w: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48,374</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63,632</w:t>
            </w:r>
          </w:p>
        </w:tc>
        <w:tc>
          <w:tcPr>
            <w:tcW w:w="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29.1 %</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r>
      <w:tr>
        <w:trPr>
          <w:trHeight w:val="199"/>
        </w:trPr>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net revenue</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color w:val="auto"/>
              </w:rPr>
              <w:t>448,182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rPr>
              <w:t>512,403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rPr>
              <w:t>549,183</w:t>
            </w:r>
          </w:p>
        </w:tc>
        <w:tc>
          <w:tcPr>
            <w:tcW w:w="1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190"/>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 margin</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13.9 %</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9.4 %</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11.6 %</w:t>
            </w: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22"/>
        </w:trPr>
        <w:tc>
          <w:tcPr>
            <w:tcW w:w="4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99"/>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CFFO</w:t>
            </w:r>
          </w:p>
        </w:tc>
        <w:tc>
          <w:tcPr>
            <w:tcW w:w="3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66,368</w:t>
            </w:r>
          </w:p>
        </w:tc>
        <w:tc>
          <w:tcPr>
            <w:tcW w:w="40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59,324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197,081</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r>
      <w:tr>
        <w:trPr>
          <w:trHeight w:val="199"/>
        </w:trPr>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Billings</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color w:val="auto"/>
              </w:rPr>
              <w:t>382,411</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rPr>
              <w:t>459,487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color w:val="auto"/>
              </w:rPr>
              <w:t>729,893</w:t>
            </w:r>
          </w:p>
        </w:tc>
        <w:tc>
          <w:tcPr>
            <w:tcW w:w="1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(37.0)%</w:t>
            </w:r>
          </w:p>
        </w:tc>
      </w:tr>
      <w:tr>
        <w:trPr>
          <w:trHeight w:val="215"/>
        </w:trPr>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CFFO Margin</w:t>
            </w: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17.4 %</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12.9 %</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27.0 %</w:t>
            </w:r>
          </w:p>
        </w:tc>
        <w:tc>
          <w:tcPr>
            <w:tcW w:w="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386" w:right="319" w:bottom="1440" w:gutter="0" w:footer="0" w:header="0"/>
        </w:sectPr>
      </w:pPr>
    </w:p>
    <w:bookmarkStart w:id="60" w:name="page61"/>
    <w:bookmarkEnd w:id="60"/>
    <w:p>
      <w:pPr>
        <w:ind w:right="300"/>
        <w:spacing w:after="0" w:line="268" w:lineRule="auto"/>
        <w:rPr>
          <w:sz w:val="20"/>
          <w:szCs w:val="20"/>
          <w:color w:val="auto"/>
        </w:rPr>
      </w:pPr>
      <w:r>
        <w:rPr>
          <w:rFonts w:ascii="Times New Roman" w:cs="Times New Roman" w:eastAsia="Times New Roman" w:hAnsi="Times New Roman"/>
          <w:sz w:val="16"/>
          <w:szCs w:val="16"/>
          <w:color w:val="auto"/>
        </w:rPr>
        <w:t>CFFO for the year ended December 31, 2023 was primarily due to net income of $54.3 million adjusted for non-cash items of $37.1 million and a net decrease in our operating assets and liabilities of $29.0 million.</w:t>
      </w:r>
    </w:p>
    <w:p>
      <w:pPr>
        <w:spacing w:after="0" w:line="10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6"/>
          <w:szCs w:val="16"/>
          <w:color w:val="auto"/>
        </w:rPr>
        <w:t>Adjusted CFFO increased by $7.0 million, or 11.9%, in 2023. Adjusted CFFO in 2023 was impacted by a decrease of $77.1 million in Billings, and net changes in working capital of $29.0 million, partially offset by non-cash charges including stock-based compensation of $37.1 million.</w:t>
      </w:r>
    </w:p>
    <w:p>
      <w:pPr>
        <w:spacing w:after="0" w:line="104"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6"/>
          <w:szCs w:val="16"/>
          <w:color w:val="auto"/>
        </w:rPr>
        <w:t>The difference between Adjusted CFFO and CFFO in 2023 is $3.9 million, which are one-time costs related to severance payments. The difference between Adjusted CFFO and CFFO in 2022 is $11.0 million, which are one-time costs related to severance payments and professional fees related to our warrant exchange transaction.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Adjusted CFFO decreased by $137.8 million, or 69.9%, in 2022, primarily driven by an decrease of $270.4 million in Billings.</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w:t>
      </w:r>
    </w:p>
    <w:p>
      <w:pPr>
        <w:spacing w:after="0" w:line="145" w:lineRule="exact"/>
        <w:rPr>
          <w:sz w:val="20"/>
          <w:szCs w:val="20"/>
          <w:color w:val="auto"/>
        </w:rPr>
      </w:pPr>
    </w:p>
    <w:p>
      <w:pPr>
        <w:jc w:val="both"/>
        <w:ind w:right="280"/>
        <w:spacing w:after="0" w:line="299" w:lineRule="auto"/>
        <w:rPr>
          <w:sz w:val="20"/>
          <w:szCs w:val="20"/>
          <w:color w:val="auto"/>
        </w:rPr>
      </w:pPr>
      <w:r>
        <w:rPr>
          <w:rFonts w:ascii="Times New Roman" w:cs="Times New Roman" w:eastAsia="Times New Roman" w:hAnsi="Times New Roman"/>
          <w:sz w:val="14"/>
          <w:szCs w:val="14"/>
          <w:color w:val="auto"/>
        </w:rPr>
        <w:t>A substantial portion of our cash on hand is the result of the nature of our subscription business. We receive cash up front from our sales of annual, multi-year, and membership subscriptions. For tax and GAAP purposes, however, this revenue is deferred and recognized over the term of the subscription, or in the case of membership subscriptions, over four years for tax and five years for GAAP. Tax distributions are made to MarketWise Members to satisfy their tax obligations when revenue is recognized for tax purposes, not when cash is received. The timing difference between when cash is received and when tax distributions are made results in an accumulation of cash on our balance sheet.</w:t>
      </w:r>
    </w:p>
    <w:p>
      <w:pPr>
        <w:spacing w:after="0" w:line="86"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6"/>
          <w:szCs w:val="16"/>
          <w:color w:val="auto"/>
        </w:rPr>
        <w:t>We refer to this accumulation of cash as our “float” which we view as a valuable resource that we may invest or use to expand our operations. We expect that as we grow our business, the amount of our float will increase.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estimates that the amount of float was approximately $120.5 million and $94.1 million as of December 31, 2023 and December 31, 2022, respectively.</w:t>
      </w:r>
    </w:p>
    <w:p>
      <w:pPr>
        <w:spacing w:after="0" w:line="143"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6"/>
          <w:szCs w:val="16"/>
          <w:color w:val="auto"/>
        </w:rPr>
        <w:t>The Company invests a portion of this cash in financial instruments to achieve reasonable returns on a risk-adjusted basis. The investment allocation decisions are based in part on the anticipated liquidity requirements of the Company including working capital, estimated tax related distributions, and broader capital allocation objectives.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year ended December 31, 2023, the Company earned interest income of $5.7 million on our cash portfolio.</w:t>
      </w:r>
    </w:p>
    <w:p>
      <w:pPr>
        <w:spacing w:after="0" w:line="143"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4"/>
          <w:szCs w:val="14"/>
          <w:color w:val="auto"/>
        </w:rPr>
        <w:t>The Company may allocate a portion of our “float” to investments meeting pre-determined guidelines, including U.S.-listed equity securities, with the objective to provide an acceptable rate of return while complying with established risk tolerances and liquidity parameters. The Board of Directors is responsible for approving investment decisions. Gains and losses on marketable securities may fluctuate significantly from period to period in the future and could have a significant impact on the Company’s results of operations.</w:t>
      </w:r>
    </w:p>
    <w:p>
      <w:pPr>
        <w:spacing w:after="0" w:line="78"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6"/>
          <w:szCs w:val="16"/>
          <w:color w:val="auto"/>
        </w:rPr>
        <w:t>As of December 31, 2023, our principal sources of liquidity were cash, cash equivalents, and restricted cash of $155.2 million. Cash and cash equivalents are comprised of bank deposits, money market funds, and certificates of deposit. Restricted cash is comprised of reserves held with credit card processors for chargebacks and refunds. We have financed our operations primarily through cash received from operations, and our sources of liquidity have enabled us to make continued investments in supporting the growth of our business. The 2021 Credit Facility (as defined and further discussed below) can be used to finance permitted acquisitions, for working capital and general corporate purposes. We expect that our operating cash flows, in addition to cash on hand, will enable us to continue to make investments in the future, and to pay dividends. We expect our operating cash flows to further improve as we increase our operational efficiency and experience economies of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61" w:name="page62"/>
    <w:bookmarkEnd w:id="61"/>
    <w:p>
      <w:pPr>
        <w:ind w:right="40"/>
        <w:spacing w:after="0" w:line="252" w:lineRule="auto"/>
        <w:rPr>
          <w:sz w:val="20"/>
          <w:szCs w:val="20"/>
          <w:color w:val="auto"/>
        </w:rPr>
      </w:pPr>
      <w:r>
        <w:rPr>
          <w:rFonts w:ascii="Times New Roman" w:cs="Times New Roman" w:eastAsia="Times New Roman" w:hAnsi="Times New Roman"/>
          <w:sz w:val="16"/>
          <w:szCs w:val="16"/>
          <w:color w:val="auto"/>
        </w:rPr>
        <w:t>In 2023, we commenced paying quarterly dividends on shares of our Class A common stock and distributions on our LLC units. We also declared a special dividend and a special distribution on October 18, 2023. There can be no assurance that we will continue to pay dividends or in the future. The payment of any future dividends and distributions will be at the discretion of our Board of Directors and will depend on our results of operations, capital requirements, financial condition, prospects, contractual arrangements, any limitations on payment of dividends present in any debt agreements, and other factors that our Board of Directors may deem relevant.</w:t>
      </w:r>
    </w:p>
    <w:p>
      <w:pPr>
        <w:spacing w:after="0" w:line="116"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6"/>
          <w:szCs w:val="16"/>
          <w:color w:val="auto"/>
        </w:rPr>
        <w:t>We believe that our existing cash and cash equivalents and cash flow from operations will be sufficient to support working capital and capital expenditure requirements for at least the next 12 months. While we believe that our existing cash and cash equivalents and cash flow from operations will be sufficient to support working capital and capital expenditure requirements for the long term, our future capital requirements will depend on many factors, including our subscription growth rate, subscription renewal activity, including the timing and the amount of cash received from subscribers, the pace of expansion of sales and marketing activities, the timing and extent of spending to support development efforts, the introduction of new and enhanced products, and the level of costs to operate as a public company. We may, in the future, enter into arrangements to acquire or invest in complementary businesses, products, and technologies.</w:t>
      </w:r>
    </w:p>
    <w:p>
      <w:pPr>
        <w:spacing w:after="0" w:line="122"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6"/>
          <w:szCs w:val="16"/>
          <w:color w:val="auto"/>
        </w:rPr>
        <w:t>We have incurred and we will continue to incur public company expenses related to our operations, plus we expect to incur payment obligations under the Tax Receivable Agreement in the future, which we expect to be significant. MarketWise, Inc. intends to cause MarketWise, LLC to make distributions to MarketWise, Inc. in an amount sufficient to allow MarketWise, Inc. to pay its tax obligations and operating expenses, including distributions to fund any payments due under the Tax Receivable Agreement. If MarketWise, LLC does not have sufficient cash to fund distributions to MarketWise, Inc. in amounts sufficient to cover MarketWise, Inc.’s obligations under the Tax Receivable Agreement, it may have to borrow funds, which could materially adversely affect its liquidity and financial condition and subject it to various restrictions imposed by any such lenders. To the extent that MarketWise, Inc. is unable to make timely payments under the Tax Receivable Agreement for any reason, the unpaid amounts will be deferred and will accrue interest until paid. For additional information regarding the Tax Receivable Agreement, see the section entitled “ Management’s Discussion and Analysis of Financial Condition and Results of Operations—Liquidity and Capital Resources—Tax Receivable Agreement” in the Annual Report.</w:t>
      </w:r>
    </w:p>
    <w:p>
      <w:pPr>
        <w:spacing w:after="0" w:line="122" w:lineRule="exact"/>
        <w:rPr>
          <w:sz w:val="20"/>
          <w:szCs w:val="20"/>
          <w:color w:val="auto"/>
        </w:rPr>
      </w:pPr>
    </w:p>
    <w:p>
      <w:pPr>
        <w:ind w:right="20"/>
        <w:spacing w:after="0" w:line="299" w:lineRule="auto"/>
        <w:rPr>
          <w:sz w:val="20"/>
          <w:szCs w:val="20"/>
          <w:color w:val="auto"/>
        </w:rPr>
      </w:pPr>
      <w:r>
        <w:rPr>
          <w:rFonts w:ascii="Times New Roman" w:cs="Times New Roman" w:eastAsia="Times New Roman" w:hAnsi="Times New Roman"/>
          <w:sz w:val="14"/>
          <w:szCs w:val="14"/>
          <w:color w:val="auto"/>
        </w:rPr>
        <w:t>Furthermore, to the extent we have taxable income, we will make distributions to the MarketWise Members in amounts sufficient for MarketWise Members to pay taxes due on their share of MarketWise income at prevailing individual income tax rates, which for the 2023 tax year the highest federal, state and local tax rate the Company used was 49.75%. Such amounts will be reflected in MarketWise, Inc.’s statement of cash flows as cash used in financing activities, and so will not decrease the amount of cash from operations or net income reflected in MarketWise, Inc.’s financial statements. However, such distributions will decrease the amount of cash available to us for use in our business.</w:t>
      </w:r>
    </w:p>
    <w:p>
      <w:pPr>
        <w:spacing w:after="0" w:line="86"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6"/>
          <w:szCs w:val="16"/>
          <w:color w:val="auto"/>
        </w:rPr>
        <w:t>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Tax Receivable Agreement</w:t>
      </w:r>
    </w:p>
    <w:p>
      <w:pPr>
        <w:spacing w:after="0" w:line="14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MarketWise, Inc. intends, as MarketWise, LLC’s sole manager, to cause MarketWise, LLC to make cash distributions to MarketWise, Inc. in an amount sufficient to cover MarketWise, Inc.’s obligations under the Tax Receivable Agreement. However, MarketWise, LLC’s ability to make such distributions to MarketWise, Inc. may be subject to various limitations and restrictions, such as restrictions on distributions under contracts or agreements to which MarketWise, LLC is then a party, including debt agreements, or any applicable law, or that would have the effect of rendering MarketWise, LLC insolvent. If MarketWise, LLC does not have sufficient cash to fund distributions to MarketWise, Inc. in amounts sufficient to cover MarketWise, Inc.’s obligations under the Tax Receivable Agreement, it may have to borrow funds, which could materially adversely affect its liquidity and financial condition and subject it to various restrictions imposed by any such lenders. To the extent that MarketWise,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386" w:right="319" w:bottom="1440" w:gutter="0" w:footer="0" w:header="0"/>
        </w:sectPr>
      </w:pPr>
    </w:p>
    <w:bookmarkStart w:id="62" w:name="page63"/>
    <w:bookmarkEnd w:id="62"/>
    <w:p>
      <w:pPr>
        <w:ind w:right="40"/>
        <w:spacing w:after="0" w:line="247" w:lineRule="auto"/>
        <w:rPr>
          <w:sz w:val="20"/>
          <w:szCs w:val="20"/>
          <w:color w:val="auto"/>
        </w:rPr>
      </w:pPr>
      <w:r>
        <w:rPr>
          <w:rFonts w:ascii="Times New Roman" w:cs="Times New Roman" w:eastAsia="Times New Roman" w:hAnsi="Times New Roman"/>
          <w:sz w:val="16"/>
          <w:szCs w:val="16"/>
          <w:color w:val="auto"/>
        </w:rPr>
        <w:t>Inc. is unable to make timely payments under the Tax Receivable Agreement for any reason, the unpaid amounts will be deferred and will accrue interest until paid. MarketWise, Inc.’s failure to make any payment required under the Tax Receivable Agreement (including any accrued and unpaid interest) within 90 calendar days of the date on which the payment is required to be made will constitute a material breach of a material obligation under the Tax Receivable Agreement, which will terminate the Tax Receivable Agreement and accelerate future payments thereunder, unless the applicable payment is not made because (i) MarketWise, LLC is prohibited from making such payment under the terms of the Tax Receivable Agreement or the terms governing certain of its indebtedness or (ii) MarketWise, LLC does not have, and despite using commercially reasonable efforts cannot obtain, sufficient funds to make such payment. See “Certain Relationships and Related Party Transactions—Tax Receivable Agreement” and “Certain Relationships and Related Party Transactions—MarketWise Operating Agreement” for additional information. Any payments made by MarketWise, Inc. to the MarketWise Members under the Tax Receivable Agreement will not be available for reinvestment in the business and will generally reduce the amount of cash that might have otherwise been available to MarketWise, Inc. and its subsidiaries.</w:t>
      </w:r>
    </w:p>
    <w:p>
      <w:pPr>
        <w:spacing w:after="0" w:line="12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6"/>
          <w:szCs w:val="16"/>
          <w:color w:val="auto"/>
        </w:rPr>
        <w:t>The Tax Receivable Agreement provides that if (i) MarketWise, Inc. materially breaches any of its material obligations under the Tax Receivable Agreement, (ii) certain mergers, asset sales, other forms of business combinations, or other changes of control were to occur, or (iii) MarketWise, Inc. elects an early termination of the Tax Receivable Agreement, then MarketWise, Inc.’s future obligations, or its successor’s future obligations, under the Tax Receivable Agreement to make payments thereunder would accelerate and become due and payable, based on certain assumptions, including an assumption that MarketWise, Inc. would have sufficient taxable income to fully utilize all potential future tax benefits that are subject to the Tax Receivable Agreement, and an assumption that, as of the effective date of the acceleration, any MarketWise Member that has LLC Units not yet exchanged shall be deemed to have exchanged such LLC Units on such date, even if MarketWise, Inc. does not receive the corresponding tax benefits until a later date when the LLC Units are actually exchanged. As a result of the foregoing, MarketWise, Inc. would be required to make an immediate cash payment equal to the estimated present value of the anticipated future tax benefits that are the subject of the Tax Receivable Agreement, based on certain assumptions, which payment may be made significantly in advance of the actual realization, if any, of those future tax benefits and, therefore, MarketWise, Inc. could be required to make payments under the Tax Receivable Agreement that are greater than the specified percentage of the actual tax benefits it ultimately realizes.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 Repurchase Program</w:t>
      </w:r>
    </w:p>
    <w:p>
      <w:pPr>
        <w:spacing w:after="0" w:line="145"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16"/>
          <w:szCs w:val="16"/>
          <w:color w:val="auto"/>
        </w:rPr>
        <w:t>As previously disclosed in our Annual Report, on November 4, 2021, our Board of Directors authorized the repurchase of up to $35.0 million in aggregate of shares of the Company’s Class A common stock, with the authorization to expire on November 3, 2023. During the year ended December 31, 2022, we repurchased 2,484,717 shares totaling $13.1 million in the aggregate, including fees and commissions. Since the inception of the program we have repurchased 2,984,987 total shares. The share repurchase program expired by its terms on November 3, 2023.</w:t>
      </w:r>
    </w:p>
    <w:p>
      <w:pPr>
        <w:spacing w:after="0" w:line="116" w:lineRule="exact"/>
        <w:rPr>
          <w:sz w:val="20"/>
          <w:szCs w:val="20"/>
          <w:color w:val="auto"/>
        </w:rPr>
      </w:pPr>
    </w:p>
    <w:p>
      <w:pPr>
        <w:ind w:right="180"/>
        <w:spacing w:after="0" w:line="341" w:lineRule="auto"/>
        <w:rPr>
          <w:sz w:val="20"/>
          <w:szCs w:val="20"/>
          <w:color w:val="auto"/>
        </w:rPr>
      </w:pPr>
      <w:r>
        <w:rPr>
          <w:rFonts w:ascii="Times New Roman" w:cs="Times New Roman" w:eastAsia="Times New Roman" w:hAnsi="Times New Roman"/>
          <w:sz w:val="14"/>
          <w:szCs w:val="14"/>
          <w:color w:val="auto"/>
        </w:rPr>
        <w:t>For each share of Class A common stock the Company repurchased under the share repurchase program, MarketWise, LLC, the Company’s direct subsidiary, redeemed one LLC Unit held by the Company, decreasing the percentage ownership of MarketWise, LLC by the Company and relatively increasing the ownership by the other unitholders.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Credit Facilities</w:t>
      </w:r>
    </w:p>
    <w:p>
      <w:pPr>
        <w:spacing w:after="0" w:line="14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6"/>
          <w:szCs w:val="16"/>
          <w:color w:val="auto"/>
        </w:rPr>
        <w:t>In 2021, MarketWise, LLC, entered into a loan and security agreement (as amended, the “Loan and Security Agreement”) providing for up to $150 million of commitments under a revolving credit facility (the “2021 Credit Facility”), including a $5 million letter of credit sublimit, and allows for revolving commitments under the 2021 Credit Facility to be increased or new term commitments to be established by up to $65 million. The existing lenders under the 2021 Credit Facility are entitled, but not obligated, to provide such incremental commitments. The 2021 Credit Facility has a term of 3 years, maturing on October 29, 2024. On May 2, 2023, MarketWise, LLC entered into the First Amendment to the Loan and Security Agreement, which provides, among other things, a transition away from LIBOR to SOFR as the basis for the interest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63" w:name="page64"/>
    <w:bookmarkEnd w:id="63"/>
    <w:p>
      <w:pPr>
        <w:ind w:right="60"/>
        <w:spacing w:after="0" w:line="256" w:lineRule="auto"/>
        <w:rPr>
          <w:sz w:val="20"/>
          <w:szCs w:val="20"/>
          <w:color w:val="auto"/>
        </w:rPr>
      </w:pPr>
      <w:r>
        <w:rPr>
          <w:rFonts w:ascii="Times New Roman" w:cs="Times New Roman" w:eastAsia="Times New Roman" w:hAnsi="Times New Roman"/>
          <w:sz w:val="16"/>
          <w:szCs w:val="16"/>
          <w:color w:val="auto"/>
        </w:rPr>
        <w:t>The 2021 Credit Facility is guaranteed by MarketWise, LLC’s direct and indirect material U.S. subsidiaries, subject to customary exceptions (the “Guarantors”), pursuant to a guaranty by the Guarantors in favor of HSBC Bank USA, National Association, as agent (the “Guaranty”). Borrowings under the 2021 Credit Facility are secured by a first-priority lien on substantially all of the assets of MarketWise, LLC and the Guarantors, subject to customary exceptions.</w:t>
      </w:r>
    </w:p>
    <w:p>
      <w:pPr>
        <w:spacing w:after="0" w:line="113" w:lineRule="exact"/>
        <w:rPr>
          <w:sz w:val="20"/>
          <w:szCs w:val="20"/>
          <w:color w:val="auto"/>
        </w:rPr>
      </w:pPr>
    </w:p>
    <w:p>
      <w:pPr>
        <w:jc w:val="both"/>
        <w:ind w:right="160"/>
        <w:spacing w:after="0" w:line="268" w:lineRule="auto"/>
        <w:rPr>
          <w:sz w:val="20"/>
          <w:szCs w:val="20"/>
          <w:color w:val="auto"/>
        </w:rPr>
      </w:pPr>
      <w:r>
        <w:rPr>
          <w:rFonts w:ascii="Times New Roman" w:cs="Times New Roman" w:eastAsia="Times New Roman" w:hAnsi="Times New Roman"/>
          <w:sz w:val="16"/>
          <w:szCs w:val="16"/>
          <w:color w:val="auto"/>
        </w:rPr>
        <w:t>Borrowings will bear interest at a floating rate depending on MarketWise, LLC’s Net Leverage Ratio (as defined in the Loan and Security Agreement). As of December 31, 2023, there were no outstanding advances under the 2021 Credit Facility.</w:t>
      </w:r>
    </w:p>
    <w:p>
      <w:pPr>
        <w:spacing w:after="0" w:line="104" w:lineRule="exact"/>
        <w:rPr>
          <w:sz w:val="20"/>
          <w:szCs w:val="20"/>
          <w:color w:val="auto"/>
        </w:rPr>
      </w:pPr>
    </w:p>
    <w:p>
      <w:pPr>
        <w:jc w:val="both"/>
        <w:ind w:right="180"/>
        <w:spacing w:after="0" w:line="252" w:lineRule="auto"/>
        <w:rPr>
          <w:sz w:val="20"/>
          <w:szCs w:val="20"/>
          <w:color w:val="auto"/>
        </w:rPr>
      </w:pPr>
      <w:r>
        <w:rPr>
          <w:rFonts w:ascii="Times New Roman" w:cs="Times New Roman" w:eastAsia="Times New Roman" w:hAnsi="Times New Roman"/>
          <w:sz w:val="16"/>
          <w:szCs w:val="16"/>
          <w:color w:val="auto"/>
        </w:rPr>
        <w:t>The Loan and Security Agreement contains customary affirmative and negative covenants for transactions of this type, and contains financial maintenance covenants that require MarketWise, LLC to maintain an Interest Coverage Ratio and Net Leverage Ratio (both as defined in the Loan and Security Agreement), and provides for a number of customary events of default, which could result in the acceleration of obligations and the termination of lending commitments under the Loan and Security Agreement. As of December 31, 2023, we were in compliance with these covenants.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Flows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presents a summary of our consolidated cash flows provided by (used in) operating, investing, and financing activities for the periods indicated: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10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20" w:type="dxa"/>
            <w:vAlign w:val="bottom"/>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62"/>
        </w:trPr>
        <w:tc>
          <w:tcPr>
            <w:tcW w:w="7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2"/>
                <w:szCs w:val="12"/>
                <w:b w:val="1"/>
                <w:bCs w:val="1"/>
                <w:color w:val="auto"/>
              </w:rPr>
              <w:t>2021</w:t>
            </w:r>
          </w:p>
        </w:tc>
      </w:tr>
      <w:tr>
        <w:trPr>
          <w:trHeight w:val="19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62,428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center"/>
              <w:ind w:left="366"/>
              <w:spacing w:after="0"/>
              <w:rPr>
                <w:sz w:val="20"/>
                <w:szCs w:val="20"/>
                <w:color w:val="auto"/>
              </w:rPr>
            </w:pPr>
            <w:r>
              <w:rPr>
                <w:rFonts w:ascii="Times New Roman" w:cs="Times New Roman" w:eastAsia="Times New Roman" w:hAnsi="Times New Roman"/>
                <w:sz w:val="16"/>
                <w:szCs w:val="16"/>
                <w:color w:val="auto"/>
                <w:w w:val="99"/>
              </w:rPr>
              <w:t>48,374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63,632</w:t>
            </w:r>
          </w:p>
        </w:tc>
      </w:tr>
      <w:tr>
        <w:trPr>
          <w:trHeight w:val="199"/>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center"/>
              <w:ind w:left="346"/>
              <w:spacing w:after="0"/>
              <w:rPr>
                <w:sz w:val="20"/>
                <w:szCs w:val="20"/>
                <w:color w:val="auto"/>
              </w:rPr>
            </w:pPr>
            <w:r>
              <w:rPr>
                <w:rFonts w:ascii="Times New Roman" w:cs="Times New Roman" w:eastAsia="Times New Roman" w:hAnsi="Times New Roman"/>
                <w:sz w:val="16"/>
                <w:szCs w:val="16"/>
                <w:color w:val="auto"/>
                <w:w w:val="98"/>
              </w:rPr>
              <w:t>(13,238)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(8,311)</w:t>
            </w:r>
          </w:p>
        </w:tc>
      </w:tr>
      <w:tr>
        <w:trPr>
          <w:trHeight w:val="19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(63,953)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jc w:val="center"/>
              <w:ind w:left="346"/>
              <w:spacing w:after="0"/>
              <w:rPr>
                <w:sz w:val="20"/>
                <w:szCs w:val="20"/>
                <w:color w:val="auto"/>
              </w:rPr>
            </w:pPr>
            <w:r>
              <w:rPr>
                <w:rFonts w:ascii="Times New Roman" w:cs="Times New Roman" w:eastAsia="Times New Roman" w:hAnsi="Times New Roman"/>
                <w:sz w:val="16"/>
                <w:szCs w:val="16"/>
                <w:color w:val="auto"/>
                <w:w w:val="98"/>
              </w:rPr>
              <w:t>(16,192)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(30,678)</w:t>
            </w:r>
          </w:p>
        </w:tc>
      </w:tr>
    </w:tbl>
    <w:p>
      <w:pPr>
        <w:spacing w:after="0" w:line="20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Operating Activities</w:t>
      </w:r>
    </w:p>
    <w:p>
      <w:pPr>
        <w:spacing w:after="0" w:line="145" w:lineRule="exact"/>
        <w:rPr>
          <w:sz w:val="20"/>
          <w:szCs w:val="20"/>
          <w:color w:val="auto"/>
        </w:rPr>
      </w:pPr>
    </w:p>
    <w:p>
      <w:pPr>
        <w:ind w:left="280" w:right="200"/>
        <w:spacing w:after="0" w:line="248" w:lineRule="auto"/>
        <w:rPr>
          <w:sz w:val="20"/>
          <w:szCs w:val="20"/>
          <w:color w:val="auto"/>
        </w:rPr>
      </w:pPr>
      <w:r>
        <w:rPr>
          <w:rFonts w:ascii="Times New Roman" w:cs="Times New Roman" w:eastAsia="Times New Roman" w:hAnsi="Times New Roman"/>
          <w:sz w:val="16"/>
          <w:szCs w:val="16"/>
          <w:color w:val="auto"/>
        </w:rPr>
        <w:t>For the year ended December 31, 2023, net cash provided by operating activities was $62.4 million, primarily due to net income of $54.3 million adjusted for net non-cash items which increased cash by $37.1 million, and net changes in our operating assets and liabilities which reduced cash by $29.0 million, largely due to timing differences in the net receipt of cash. The non-cash items include stock-based compensation expense of $23.4 million, impairment losses of $2.6 million, deferred income taxes of $1.8 million, and loss on sale of business of $1.6 million. The changes in operating assets and liabilities were primarily driven by a decrease in deferred revenue, which reduced cash by $67.1 million due to our overall decrease in sales, partially offset by a net decrease in deferred contract acquisition costs of $31.3 million, and an increase in accrued expenses of $9.1 million.</w:t>
      </w:r>
    </w:p>
    <w:p>
      <w:pPr>
        <w:spacing w:after="0" w:line="122" w:lineRule="exact"/>
        <w:rPr>
          <w:sz w:val="20"/>
          <w:szCs w:val="20"/>
          <w:color w:val="auto"/>
        </w:rPr>
      </w:pPr>
    </w:p>
    <w:p>
      <w:pPr>
        <w:ind w:left="280" w:right="60"/>
        <w:spacing w:after="0" w:line="248" w:lineRule="auto"/>
        <w:rPr>
          <w:sz w:val="20"/>
          <w:szCs w:val="20"/>
          <w:color w:val="auto"/>
        </w:rPr>
      </w:pPr>
      <w:r>
        <w:rPr>
          <w:rFonts w:ascii="Times New Roman" w:cs="Times New Roman" w:eastAsia="Times New Roman" w:hAnsi="Times New Roman"/>
          <w:sz w:val="16"/>
          <w:szCs w:val="16"/>
          <w:color w:val="auto"/>
        </w:rPr>
        <w:t>For the year ended December 31, 2022, net cash provided by operating activities was $48.4 million, primarily due to net income of $101.2 million adjusted for net non-cash items which reduced cash by $0.1 million, and net changes in our operating assets and liabilities which reduced cash by $52.9 million, largely due to timing differences in the net receipt of cash. The non-cash items include a change in fair value of derivative liabilities of $15.7 million, which was partially offset by stock-based compensation expense and deferred income taxes of $9.0 million and $1.5 million, respectively. The changes in operating assets and liabilities were primarily driven by a decrease in deferred revenue, which reduced cash by $52.0 million due to our overall decrease in sales, a decrease in trade and other payables, which decreased cash by $4.0 million, a decrease in other current and long-term liabilities, which decreased cash by $3.8 million, partially offset by a decrease in accounts receivable due to our overall decrease in sales, which increased cash by $3.8 million, and a net increase due to deferred contract acquisition costs of $5.5 million.</w:t>
      </w:r>
    </w:p>
    <w:p>
      <w:pPr>
        <w:spacing w:after="0" w:line="119" w:lineRule="exact"/>
        <w:rPr>
          <w:sz w:val="20"/>
          <w:szCs w:val="20"/>
          <w:color w:val="auto"/>
        </w:rPr>
      </w:pPr>
    </w:p>
    <w:p>
      <w:pPr>
        <w:ind w:left="280" w:right="20"/>
        <w:spacing w:after="0" w:line="268" w:lineRule="auto"/>
        <w:rPr>
          <w:sz w:val="20"/>
          <w:szCs w:val="20"/>
          <w:color w:val="auto"/>
        </w:rPr>
      </w:pPr>
      <w:r>
        <w:rPr>
          <w:rFonts w:ascii="Times New Roman" w:cs="Times New Roman" w:eastAsia="Times New Roman" w:hAnsi="Times New Roman"/>
          <w:sz w:val="16"/>
          <w:szCs w:val="16"/>
          <w:color w:val="auto"/>
        </w:rPr>
        <w:t>For the year ended December 31, 2021, net cash provided by operating activities was $63.6 million, primarily due to net loss of $953.9 million adjusted for non-cash charges of $927.8 million and a contribution to cash resulting from net changes in our operating assets and liabilities of $89.8 million. The non-cash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386" w:right="319" w:bottom="1440" w:gutter="0" w:footer="0" w:header="0"/>
        </w:sectPr>
      </w:pPr>
    </w:p>
    <w:bookmarkStart w:id="64" w:name="page65"/>
    <w:bookmarkEnd w:id="64"/>
    <w:p>
      <w:pPr>
        <w:ind w:left="280" w:right="80"/>
        <w:spacing w:after="0" w:line="252" w:lineRule="auto"/>
        <w:rPr>
          <w:sz w:val="20"/>
          <w:szCs w:val="20"/>
          <w:color w:val="auto"/>
        </w:rPr>
      </w:pPr>
      <w:r>
        <w:rPr>
          <w:rFonts w:ascii="Times New Roman" w:cs="Times New Roman" w:eastAsia="Times New Roman" w:hAnsi="Times New Roman"/>
          <w:sz w:val="16"/>
          <w:szCs w:val="16"/>
          <w:color w:val="auto"/>
        </w:rPr>
        <w:t>adjustments primarily related to stock-based compensation expenses of $939.0 million, which was driven by the increase in fair value as a result of a higher probability assigned to the market approach due to the signing of a letter of intent with ADAC during December 2020, and the granting and vesting of certain Class B Units. The changes in operating assets and liabilities were primarily driven by an increase in deferred revenue of $175.6 million due to our overall increase in sales, and an increase in accrued expenses of $14.2 million, partially offset by a net increase in deferred contract acquisition costs of $95.8 million.</w:t>
      </w:r>
    </w:p>
    <w:p>
      <w:pPr>
        <w:spacing w:after="0" w:line="11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Investing Activities</w:t>
      </w:r>
    </w:p>
    <w:p>
      <w:pPr>
        <w:spacing w:after="0" w:line="145" w:lineRule="exact"/>
        <w:rPr>
          <w:sz w:val="20"/>
          <w:szCs w:val="20"/>
          <w:color w:val="auto"/>
        </w:rPr>
      </w:pPr>
    </w:p>
    <w:p>
      <w:pPr>
        <w:ind w:left="280" w:right="180"/>
        <w:spacing w:after="0" w:line="268" w:lineRule="auto"/>
        <w:rPr>
          <w:sz w:val="20"/>
          <w:szCs w:val="20"/>
          <w:color w:val="auto"/>
        </w:rPr>
      </w:pPr>
      <w:r>
        <w:rPr>
          <w:rFonts w:ascii="Times New Roman" w:cs="Times New Roman" w:eastAsia="Times New Roman" w:hAnsi="Times New Roman"/>
          <w:sz w:val="16"/>
          <w:szCs w:val="16"/>
          <w:color w:val="auto"/>
        </w:rPr>
        <w:t>For the year ended December 31, 2023, net cash used in investing activities was $1.9 million, primarily driven by the payment of $1.7 million related to capitalized software development costs.</w:t>
      </w:r>
    </w:p>
    <w:p>
      <w:pPr>
        <w:spacing w:after="0" w:line="104" w:lineRule="exact"/>
        <w:rPr>
          <w:sz w:val="20"/>
          <w:szCs w:val="20"/>
          <w:color w:val="auto"/>
        </w:rPr>
      </w:pPr>
    </w:p>
    <w:p>
      <w:pPr>
        <w:ind w:left="280" w:right="280"/>
        <w:spacing w:after="0" w:line="268" w:lineRule="auto"/>
        <w:rPr>
          <w:sz w:val="20"/>
          <w:szCs w:val="20"/>
          <w:color w:val="auto"/>
        </w:rPr>
      </w:pPr>
      <w:r>
        <w:rPr>
          <w:rFonts w:ascii="Times New Roman" w:cs="Times New Roman" w:eastAsia="Times New Roman" w:hAnsi="Times New Roman"/>
          <w:sz w:val="16"/>
          <w:szCs w:val="16"/>
          <w:color w:val="auto"/>
        </w:rPr>
        <w:t>For the year ended December 31, 2022, net cash used in investing activities was $13.2 million, primarily driven by the payment of $12.8 million related to the Buttonwood Publishing acquisition.</w:t>
      </w:r>
    </w:p>
    <w:p>
      <w:pPr>
        <w:spacing w:after="0" w:line="104" w:lineRule="exact"/>
        <w:rPr>
          <w:sz w:val="20"/>
          <w:szCs w:val="20"/>
          <w:color w:val="auto"/>
        </w:rPr>
      </w:pPr>
    </w:p>
    <w:p>
      <w:pPr>
        <w:ind w:left="280" w:right="340"/>
        <w:spacing w:after="0" w:line="268" w:lineRule="auto"/>
        <w:rPr>
          <w:sz w:val="20"/>
          <w:szCs w:val="20"/>
          <w:color w:val="auto"/>
        </w:rPr>
      </w:pPr>
      <w:r>
        <w:rPr>
          <w:rFonts w:ascii="Times New Roman" w:cs="Times New Roman" w:eastAsia="Times New Roman" w:hAnsi="Times New Roman"/>
          <w:sz w:val="16"/>
          <w:szCs w:val="16"/>
          <w:color w:val="auto"/>
        </w:rPr>
        <w:t>For the year ended December 31, 2021, net cash used in investing activities was $8.3 million, primarily driven by the payment of $7.1 million related to the acquisition of Chaikin, and $0.9 million to acquire intangible assets.</w:t>
      </w:r>
    </w:p>
    <w:p>
      <w:pPr>
        <w:spacing w:after="0" w:line="1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Financing Activities</w:t>
      </w:r>
    </w:p>
    <w:p>
      <w:pPr>
        <w:spacing w:after="0" w:line="1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For the year ended December 31, 2023, net cash used in financing activities was $64.0 million, primarily due to $52.9 million in distributions to noncontrolling interests and</w:t>
      </w:r>
    </w:p>
    <w:p>
      <w:pPr>
        <w:spacing w:after="0" w:line="42" w:lineRule="exact"/>
        <w:rPr>
          <w:sz w:val="20"/>
          <w:szCs w:val="20"/>
          <w:color w:val="auto"/>
        </w:rPr>
      </w:pPr>
    </w:p>
    <w:p>
      <w:pPr>
        <w:ind w:left="280"/>
        <w:spacing w:after="0" w:line="248" w:lineRule="auto"/>
        <w:rPr>
          <w:sz w:val="20"/>
          <w:szCs w:val="20"/>
          <w:color w:val="auto"/>
        </w:rPr>
      </w:pPr>
      <w:r>
        <w:rPr>
          <w:rFonts w:ascii="Times New Roman" w:cs="Times New Roman" w:eastAsia="Times New Roman" w:hAnsi="Times New Roman"/>
          <w:sz w:val="16"/>
          <w:szCs w:val="16"/>
          <w:color w:val="auto"/>
        </w:rPr>
        <w:t>$5.7 million in dividends paid. We initiated paying dividends to Class A common stockholders and distributions to holders of LLC Units in 2023. In addition, we paid a special dividend and special distribution in 2023.</w:t>
      </w:r>
    </w:p>
    <w:p>
      <w:pPr>
        <w:spacing w:after="0" w:line="118" w:lineRule="exact"/>
        <w:rPr>
          <w:sz w:val="20"/>
          <w:szCs w:val="20"/>
          <w:color w:val="auto"/>
        </w:rPr>
      </w:pPr>
    </w:p>
    <w:p>
      <w:pPr>
        <w:ind w:left="280" w:right="580"/>
        <w:spacing w:after="0" w:line="268" w:lineRule="auto"/>
        <w:rPr>
          <w:sz w:val="20"/>
          <w:szCs w:val="20"/>
          <w:color w:val="auto"/>
        </w:rPr>
      </w:pPr>
      <w:r>
        <w:rPr>
          <w:rFonts w:ascii="Times New Roman" w:cs="Times New Roman" w:eastAsia="Times New Roman" w:hAnsi="Times New Roman"/>
          <w:sz w:val="16"/>
          <w:szCs w:val="16"/>
          <w:color w:val="auto"/>
        </w:rPr>
        <w:t>For the year ended December 31, 2022, net cash used in financing activities was $16.2 million, primarily due to $13.1 million in share repurchases and $4.6 million in distributions to noncontrolling interests.</w:t>
      </w:r>
    </w:p>
    <w:p>
      <w:pPr>
        <w:spacing w:after="0" w:line="104" w:lineRule="exact"/>
        <w:rPr>
          <w:sz w:val="20"/>
          <w:szCs w:val="20"/>
          <w:color w:val="auto"/>
        </w:rPr>
      </w:pPr>
    </w:p>
    <w:p>
      <w:pPr>
        <w:ind w:left="280" w:right="40"/>
        <w:spacing w:after="0" w:line="268" w:lineRule="auto"/>
        <w:rPr>
          <w:sz w:val="20"/>
          <w:szCs w:val="20"/>
          <w:color w:val="auto"/>
        </w:rPr>
      </w:pPr>
      <w:r>
        <w:rPr>
          <w:rFonts w:ascii="Times New Roman" w:cs="Times New Roman" w:eastAsia="Times New Roman" w:hAnsi="Times New Roman"/>
          <w:sz w:val="16"/>
          <w:szCs w:val="16"/>
          <w:color w:val="auto"/>
        </w:rPr>
        <w:t>For the year ended December 31, 2021, net cash used in financing activities was $30.7 million, primarily due to $135.5 million in distributions to members and $5.5 million in distributions to noncontrolling interests, which is offset by a $113.6 million inflow from proceeds from the Transactions.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Accounting Estimates</w:t>
      </w:r>
    </w:p>
    <w:p>
      <w:pPr>
        <w:spacing w:after="0" w:line="145"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6"/>
          <w:szCs w:val="16"/>
          <w:color w:val="auto"/>
        </w:rPr>
        <w:t>Our consolidated financial statements have been prepared in accordance with GAAP. The preparation of these consolidated financial statements requires management to make estimates and assumptions that affect the reported amounts of assets, liabilities, revenue, costs, and expenses, and related disclosures. On an ongoing basis, management evaluates its estimates and assumptions. Our actual results may differ from these estimates under different assumptions or conditions.</w:t>
      </w:r>
    </w:p>
    <w:p>
      <w:pPr>
        <w:spacing w:after="0" w:line="11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6"/>
          <w:szCs w:val="16"/>
          <w:color w:val="auto"/>
        </w:rPr>
        <w:t>Management believes that, of our significant accounting policies, which are described in Note 2 to our consolidated financial statements, the following accounting policies involve a greater degree of judgment and complexity. Accordingly, these are the policies management believes are the most critical to aid in fully understanding and evaluating our consolidated financial condition and results of operations.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14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6"/>
          <w:szCs w:val="16"/>
          <w:color w:val="auto"/>
        </w:rPr>
        <w:t>We primarily earn revenue from services provided in delivering subscription-based financial research, publications, and SaaS offerings to individual subscribers through our online platforms using the five-step method described in Note 2 to our consolidated financial statements.</w:t>
      </w:r>
    </w:p>
    <w:p>
      <w:pPr>
        <w:spacing w:after="0" w:line="104" w:lineRule="exact"/>
        <w:rPr>
          <w:sz w:val="20"/>
          <w:szCs w:val="20"/>
          <w:color w:val="auto"/>
        </w:rPr>
      </w:pPr>
    </w:p>
    <w:p>
      <w:pPr>
        <w:jc w:val="both"/>
        <w:ind w:right="240"/>
        <w:spacing w:after="0" w:line="256" w:lineRule="auto"/>
        <w:rPr>
          <w:sz w:val="20"/>
          <w:szCs w:val="20"/>
          <w:color w:val="auto"/>
        </w:rPr>
      </w:pPr>
      <w:r>
        <w:rPr>
          <w:rFonts w:ascii="Times New Roman" w:cs="Times New Roman" w:eastAsia="Times New Roman" w:hAnsi="Times New Roman"/>
          <w:sz w:val="16"/>
          <w:szCs w:val="16"/>
          <w:color w:val="auto"/>
        </w:rPr>
        <w:t>Subscription revenues are recognized evenly over the duration of the subscriptions, in an amount that reflects the consideration we expect to be entitled to in exchange for those services. Subscribers are typically billed in advance of the subscriptions. The key estimates related to our revenue recognition are related to our estimated customer lives for our membership subscriptions, determination of standalone selling prices, and the amortization period for our capitalized contract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386" w:right="359" w:bottom="1440" w:gutter="0" w:footer="0" w:header="0"/>
        </w:sectPr>
      </w:pPr>
    </w:p>
    <w:bookmarkStart w:id="65" w:name="page66"/>
    <w:bookmarkEnd w:id="65"/>
    <w:p>
      <w:pPr>
        <w:ind w:right="120"/>
        <w:spacing w:after="0" w:line="252" w:lineRule="auto"/>
        <w:rPr>
          <w:sz w:val="20"/>
          <w:szCs w:val="20"/>
          <w:color w:val="auto"/>
        </w:rPr>
      </w:pPr>
      <w:r>
        <w:rPr>
          <w:rFonts w:ascii="Times New Roman" w:cs="Times New Roman" w:eastAsia="Times New Roman" w:hAnsi="Times New Roman"/>
          <w:sz w:val="16"/>
          <w:szCs w:val="16"/>
          <w:color w:val="auto"/>
        </w:rPr>
        <w:t>We also offer membership subscriptions where we receive an upfront payment upon entering into the contract and receive a lower amount annually thereafter. Certain upfront fees on membership subscriptions are paid in installments over a 12-month period and, from time to time, over multiple years. We recognize revenue related to membership subscriptions over the estimated customer lives, which is five years. Management has determined the estimated life of membership customers based on historic customer attrition rates. The estimated life of membership customers was five years for each of the years ended December 31, 2023, 2022 and 2021.</w:t>
      </w:r>
    </w:p>
    <w:p>
      <w:pPr>
        <w:spacing w:after="0" w:line="116"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6"/>
          <w:szCs w:val="16"/>
          <w:color w:val="auto"/>
        </w:rPr>
        <w:t>Our contracts with subscribers may include multiple performance obligations if subscription services are sold with other subscriptions, products, or events within one contract. For such contracts, we allocate net revenues to each performance obligation based on its relative standalone selling price. We generally determine standalone selling prices based on the prices charged to subscribers on a standalone basis.</w:t>
      </w:r>
    </w:p>
    <w:p>
      <w:pPr>
        <w:spacing w:after="0" w:line="11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We capitalize incremental costs that are directly related to the acquisition or renewal of customer contracts, to the extent that the costs are expected to be recovered and if we expect the benefit of these costs to be longer than one year. We have elected to utilize the practical expedient and expense costs to obtain a contract with a subscriber when the expected benefit period is one year or less. Our capitalizable incremental costs include sales commissions to employees and fees paid to marketing vendors that are generally calculated as a percentage of the customer sale. We also capitalize revenue share fees that are payable to other companies, including related parties, who share their customer lists with us for each successful sale we make to a customer from their list. Capitalized costs are amortized on a straight-line basis over the shorter of the expected customer life and the expected benefit related directly to those costs, which is approximately four years. The amortization period for contract costs was approximately four years for each of the years ended December 31, 2023, 2022 and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Transactions and Valuation of Goodwill and Other Acquired Intangible Assets</w:t>
      </w:r>
    </w:p>
    <w:p>
      <w:pPr>
        <w:spacing w:after="0" w:line="145" w:lineRule="exact"/>
        <w:rPr>
          <w:sz w:val="20"/>
          <w:szCs w:val="20"/>
          <w:color w:val="auto"/>
        </w:rPr>
      </w:pPr>
    </w:p>
    <w:p>
      <w:pPr>
        <w:jc w:val="both"/>
        <w:ind w:right="200"/>
        <w:spacing w:after="0" w:line="256" w:lineRule="auto"/>
        <w:rPr>
          <w:sz w:val="20"/>
          <w:szCs w:val="20"/>
          <w:color w:val="auto"/>
        </w:rPr>
      </w:pPr>
      <w:r>
        <w:rPr>
          <w:rFonts w:ascii="Times New Roman" w:cs="Times New Roman" w:eastAsia="Times New Roman" w:hAnsi="Times New Roman"/>
          <w:sz w:val="16"/>
          <w:szCs w:val="16"/>
          <w:color w:val="auto"/>
        </w:rPr>
        <w:t>When we acquire a business, we allocate the fair value of purchase consideration to the tangible assets acquired, liabilities assumed, and intangible assets acquired based on their estimated fair values as of the acquisition date. The excess of the fair value of purchase consideration over the fair values of these identifiable assets and liabilities is recorded as goodwill.</w:t>
      </w:r>
    </w:p>
    <w:p>
      <w:pPr>
        <w:spacing w:after="0" w:line="11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Such valuations require management to make significant estimates and assumptions, especially with respect to intangible assets. Significant estimates in valuing assets acquired and liabilities assumed include, but are not limited to, future expected cash flows from acquired customers, trade names, acquired technology from a market participant perspective, and determining useful lives and discount rates. Management’s estimates of fair value are based upon assumptions believed to be reasonable, but which are inherently uncertain and unpredictable and, as a result, actual results may differ from estimates. While management believes the assumptions and estimates it has made in the past have been appropriate, they are inherently uncertain and subject to refinement. During the measurement period, which is up to one year from the acquisition date, we may record adjustments to the assets acquired and liabilities assumed, with the corresponding offset to goodwill. Upon the conclusion of the measurement period, any subsequent adjustments are recorded to earnings. We did not have significant measurement period adjustments during the years ended December 31, 2023, 2022 and 2021.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Stock-Based Compensation</w:t>
      </w:r>
    </w:p>
    <w:p>
      <w:pPr>
        <w:spacing w:after="0" w:line="145" w:lineRule="exact"/>
        <w:rPr>
          <w:sz w:val="20"/>
          <w:szCs w:val="20"/>
          <w:color w:val="auto"/>
        </w:rPr>
      </w:pPr>
    </w:p>
    <w:p>
      <w:pPr>
        <w:ind w:right="200"/>
        <w:spacing w:after="0" w:line="299" w:lineRule="auto"/>
        <w:rPr>
          <w:sz w:val="20"/>
          <w:szCs w:val="20"/>
          <w:color w:val="auto"/>
        </w:rPr>
      </w:pPr>
      <w:r>
        <w:rPr>
          <w:rFonts w:ascii="Times New Roman" w:cs="Times New Roman" w:eastAsia="Times New Roman" w:hAnsi="Times New Roman"/>
          <w:sz w:val="14"/>
          <w:szCs w:val="14"/>
          <w:color w:val="auto"/>
        </w:rPr>
        <w:t>Historically, MarketWise, LLC granted Class B Units to certain key employees. Prior to the Transactions, the Class B Units were classified as liabilities as opposed to equity and remeasured to fair value at the end of each reporting period, with the change in value being charged to stock-based compensation expense. Because the Class B Units were classified as liabilities on our consolidated balance sheet, all profits distributions made to the holders of the Class B Units were considered to be stock-based compensation expenses. Expense was recognized using the greater of the expenses as calculated based on (i) the legal vesting of the underlying units and (ii) a straight-line basis.</w:t>
      </w:r>
    </w:p>
    <w:p>
      <w:pPr>
        <w:spacing w:after="0" w:line="8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6"/>
          <w:szCs w:val="16"/>
          <w:color w:val="auto"/>
        </w:rPr>
        <w:t>Because the Class B Units were not publicly traded, we estimated the fair value of the Class B Units. Historically, the fair values of Class B Units were estimated by the board of managers of MarketWise, LLC based on our equity value. The board of managers of MarketWise, LLC considered, among other things, contemporaneous valuations of our equity value prepared by an unrelated third-party valuation firm in accordance with the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66" w:name="page67"/>
    <w:bookmarkEnd w:id="66"/>
    <w:p>
      <w:pPr>
        <w:spacing w:after="0" w:line="248" w:lineRule="auto"/>
        <w:rPr>
          <w:sz w:val="20"/>
          <w:szCs w:val="20"/>
          <w:color w:val="auto"/>
        </w:rPr>
      </w:pPr>
      <w:r>
        <w:rPr>
          <w:rFonts w:ascii="Times New Roman" w:cs="Times New Roman" w:eastAsia="Times New Roman" w:hAnsi="Times New Roman"/>
          <w:sz w:val="16"/>
          <w:szCs w:val="16"/>
          <w:color w:val="auto"/>
        </w:rPr>
        <w:t>provided by the American Institute of Certified Public Accountants Practice Guide, Valuation of Privately-Held-Company Equity Securities Issued as Compensation. To estimate the fair value of the Class B Units, a two-step valuation approach was used. First the equity value was estimated using a market approach and a discounted cash flow approach by projecting the net cash flows into the future and discounting these cash flows to present value by applying a market discount rate. This calculated equity value was then allocated to the common units outstanding using an option pricing model by determining the distributions available to unit holders in a hypothetical liquidation. The board of managers of MarketWise, LLC exercised reasonable judgment and considered several objective and subjective factors to determine the best estimate of the fair value of the Sponsor Earnout Shares and Management Member Earnout Shares Class B Units, including:</w:t>
      </w:r>
    </w:p>
    <w:p>
      <w:pPr>
        <w:spacing w:after="0" w:line="122" w:lineRule="exact"/>
        <w:rPr>
          <w:sz w:val="20"/>
          <w:szCs w:val="20"/>
          <w:color w:val="auto"/>
        </w:rPr>
      </w:pPr>
    </w:p>
    <w:p>
      <w:pPr>
        <w:ind w:left="560" w:hanging="286"/>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historical and expected operating and financial performance;</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current business conditions;</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stage of development and business strategy;</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macroeconomic conditions;</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weighted average cost of capital;</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risk-free rates of return;</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volatility of comparable publicly traded peer companies; and</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lack of an active public market for our equity units.</w:t>
      </w:r>
    </w:p>
    <w:p>
      <w:pPr>
        <w:spacing w:after="0" w:line="143" w:lineRule="exact"/>
        <w:rPr>
          <w:sz w:val="20"/>
          <w:szCs w:val="20"/>
          <w:color w:val="auto"/>
        </w:rPr>
      </w:pPr>
    </w:p>
    <w:p>
      <w:pPr>
        <w:ind w:right="580"/>
        <w:spacing w:after="0" w:line="427" w:lineRule="auto"/>
        <w:rPr>
          <w:sz w:val="20"/>
          <w:szCs w:val="20"/>
          <w:color w:val="auto"/>
        </w:rPr>
      </w:pPr>
      <w:r>
        <w:rPr>
          <w:rFonts w:ascii="Times New Roman" w:cs="Times New Roman" w:eastAsia="Times New Roman" w:hAnsi="Times New Roman"/>
          <w:sz w:val="16"/>
          <w:szCs w:val="16"/>
          <w:color w:val="auto"/>
        </w:rPr>
        <w:t xml:space="preserve">Upon consummation of the Transactions, the vesting of all outstanding awards was accelerated and each Class B Unit was exchanged for LLC Units in MarketWise, LLC. </w:t>
      </w:r>
      <w:r>
        <w:rPr>
          <w:rFonts w:ascii="Times New Roman" w:cs="Times New Roman" w:eastAsia="Times New Roman" w:hAnsi="Times New Roman"/>
          <w:sz w:val="16"/>
          <w:szCs w:val="16"/>
          <w:b w:val="1"/>
          <w:bCs w:val="1"/>
          <w:color w:val="auto"/>
        </w:rPr>
        <w:t>Recently Issued Accounting Pronouncements</w:t>
      </w:r>
    </w:p>
    <w:p>
      <w:pPr>
        <w:ind w:right="120"/>
        <w:spacing w:after="0" w:line="268" w:lineRule="auto"/>
        <w:rPr>
          <w:sz w:val="20"/>
          <w:szCs w:val="20"/>
          <w:color w:val="auto"/>
        </w:rPr>
      </w:pPr>
      <w:r>
        <w:rPr>
          <w:rFonts w:ascii="Times New Roman" w:cs="Times New Roman" w:eastAsia="Times New Roman" w:hAnsi="Times New Roman"/>
          <w:sz w:val="16"/>
          <w:szCs w:val="16"/>
          <w:color w:val="auto"/>
        </w:rPr>
        <w:t>See the section titled “Recently Issued and Adopted Accounting Pronouncements” in Note 2 of the notes to our consolidated financial statements included in this Report for more information.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7A. Quantitative and Qualitative Disclosures About Market Risk.</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00"/>
          </w:cols>
          <w:pgMar w:left="320" w:top="1386" w:right="37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b w:val="1"/>
          <w:bCs w:val="1"/>
          <w:color w:val="auto"/>
        </w:rPr>
        <w:t>Item 8. Financial Statements and Supplementary Data.</w:t>
      </w:r>
    </w:p>
    <w:p>
      <w:pPr>
        <w:spacing w:after="0" w:line="200" w:lineRule="exact"/>
        <w:rPr>
          <w:sz w:val="20"/>
          <w:szCs w:val="20"/>
          <w:color w:val="auto"/>
        </w:rPr>
      </w:pPr>
    </w:p>
    <w:p>
      <w:pPr>
        <w:spacing w:after="0" w:line="29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Index to Consolidated Financial Statements</w:t>
      </w:r>
    </w:p>
    <w:p>
      <w:pPr>
        <w:spacing w:after="0" w:line="1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b w:val="1"/>
          <w:bCs w:val="1"/>
          <w:color w:val="auto"/>
        </w:rPr>
        <w:t>Page</w:t>
      </w:r>
    </w:p>
    <w:p>
      <w:pPr>
        <w:spacing w:after="0" w:line="274"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16"/>
          <w:szCs w:val="16"/>
          <w:u w:val="single" w:color="auto"/>
          <w:color w:val="0000FF"/>
        </w:rPr>
        <w:t>69</w:t>
      </w:r>
    </w:p>
    <w:p>
      <w:pPr>
        <w:spacing w:after="0"/>
        <w:rPr>
          <w:sz w:val="20"/>
          <w:szCs w:val="20"/>
          <w:color w:val="auto"/>
        </w:rPr>
      </w:pPr>
      <w:r>
        <w:rPr>
          <w:rFonts w:ascii="Times New Roman" w:cs="Times New Roman" w:eastAsia="Times New Roman" w:hAnsi="Times New Roman"/>
          <w:sz w:val="16"/>
          <w:szCs w:val="16"/>
          <w:u w:val="single" w:color="auto"/>
          <w:color w:val="0000FF"/>
        </w:rPr>
        <w:t>Report of Independent Registered Public Accounting Firm (PCAOB ID No.</w:t>
      </w:r>
      <w:r>
        <w:rPr>
          <w:rFonts w:ascii="Times New Roman" w:cs="Times New Roman" w:eastAsia="Times New Roman" w:hAnsi="Times New Roman"/>
          <w:sz w:val="16"/>
          <w:szCs w:val="16"/>
          <w:color w:val="0000FF"/>
        </w:rPr>
        <w:t xml:space="preserve"> </w:t>
      </w:r>
      <w:r>
        <w:rPr>
          <w:rFonts w:ascii="Times New Roman" w:cs="Times New Roman" w:eastAsia="Times New Roman" w:hAnsi="Times New Roman"/>
          <w:sz w:val="16"/>
          <w:szCs w:val="16"/>
          <w:color w:val="3051F2"/>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3012440</wp:posOffset>
            </wp:positionH>
            <wp:positionV relativeFrom="paragraph">
              <wp:posOffset>-20320</wp:posOffset>
            </wp:positionV>
            <wp:extent cx="156845"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6845" cy="7620"/>
                    </a:xfrm>
                    <a:prstGeom prst="rect">
                      <a:avLst/>
                    </a:prstGeom>
                    <a:noFill/>
                  </pic:spPr>
                </pic:pic>
              </a:graphicData>
            </a:graphic>
          </wp:anchor>
        </w:drawing>
      </w:r>
    </w:p>
    <w:p>
      <w:pPr>
        <w:ind w:left="10700"/>
        <w:spacing w:after="0"/>
        <w:rPr>
          <w:sz w:val="20"/>
          <w:szCs w:val="20"/>
          <w:color w:val="auto"/>
        </w:rPr>
      </w:pPr>
      <w:r>
        <w:rPr>
          <w:rFonts w:ascii="Times New Roman" w:cs="Times New Roman" w:eastAsia="Times New Roman" w:hAnsi="Times New Roman"/>
          <w:sz w:val="16"/>
          <w:szCs w:val="16"/>
          <w:u w:val="single" w:color="auto"/>
          <w:color w:val="0000FF"/>
        </w:rPr>
        <w:t>70</w:t>
      </w:r>
    </w:p>
    <w:p>
      <w:pPr>
        <w:spacing w:after="0"/>
        <w:rPr>
          <w:sz w:val="20"/>
          <w:szCs w:val="20"/>
          <w:color w:val="auto"/>
        </w:rPr>
      </w:pPr>
      <w:r>
        <w:rPr>
          <w:rFonts w:ascii="Times New Roman" w:cs="Times New Roman" w:eastAsia="Times New Roman" w:hAnsi="Times New Roman"/>
          <w:sz w:val="16"/>
          <w:szCs w:val="16"/>
          <w:u w:val="single" w:color="auto"/>
          <w:color w:val="0000FF"/>
        </w:rPr>
        <w:t>Consolidated Balance Sheets as of December 31, 2023 and 2022</w:t>
      </w:r>
    </w:p>
    <w:p>
      <w:pPr>
        <w:spacing w:after="0" w:line="6"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16"/>
          <w:szCs w:val="16"/>
          <w:u w:val="single" w:color="auto"/>
          <w:color w:val="0000FF"/>
        </w:rPr>
        <w:t>72</w:t>
      </w:r>
    </w:p>
    <w:p>
      <w:pPr>
        <w:spacing w:after="0"/>
        <w:rPr>
          <w:sz w:val="20"/>
          <w:szCs w:val="20"/>
          <w:color w:val="auto"/>
        </w:rPr>
      </w:pPr>
      <w:r>
        <w:rPr>
          <w:rFonts w:ascii="Times New Roman" w:cs="Times New Roman" w:eastAsia="Times New Roman" w:hAnsi="Times New Roman"/>
          <w:sz w:val="16"/>
          <w:szCs w:val="16"/>
          <w:u w:val="single" w:color="auto"/>
          <w:color w:val="0000FF"/>
        </w:rPr>
        <w:t>Consolidated Statements of Operations for the years ended December 31, 2023, 2022 and 2021</w:t>
      </w:r>
    </w:p>
    <w:p>
      <w:pPr>
        <w:spacing w:after="0" w:line="6"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16"/>
          <w:szCs w:val="16"/>
          <w:u w:val="single" w:color="auto"/>
          <w:color w:val="0000FF"/>
        </w:rPr>
        <w:t>73</w:t>
      </w:r>
    </w:p>
    <w:p>
      <w:pPr>
        <w:spacing w:after="0"/>
        <w:rPr>
          <w:sz w:val="20"/>
          <w:szCs w:val="20"/>
          <w:color w:val="auto"/>
        </w:rPr>
      </w:pPr>
      <w:r>
        <w:rPr>
          <w:rFonts w:ascii="Times New Roman" w:cs="Times New Roman" w:eastAsia="Times New Roman" w:hAnsi="Times New Roman"/>
          <w:sz w:val="16"/>
          <w:szCs w:val="16"/>
          <w:u w:val="single" w:color="auto"/>
          <w:color w:val="0000FF"/>
        </w:rPr>
        <w:t>Consolidated Statements of Comprehensive Income (Loss) for the years ended December 31, 2023, 2022 and 2021</w:t>
      </w:r>
    </w:p>
    <w:p>
      <w:pPr>
        <w:spacing w:after="0" w:line="6"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16"/>
          <w:szCs w:val="16"/>
          <w:u w:val="single" w:color="auto"/>
          <w:color w:val="0000FF"/>
        </w:rPr>
        <w:t>74</w:t>
      </w:r>
    </w:p>
    <w:p>
      <w:pPr>
        <w:spacing w:after="0"/>
        <w:rPr>
          <w:sz w:val="20"/>
          <w:szCs w:val="20"/>
          <w:color w:val="auto"/>
        </w:rPr>
      </w:pPr>
      <w:r>
        <w:rPr>
          <w:rFonts w:ascii="Times New Roman" w:cs="Times New Roman" w:eastAsia="Times New Roman" w:hAnsi="Times New Roman"/>
          <w:sz w:val="16"/>
          <w:szCs w:val="16"/>
          <w:u w:val="single" w:color="auto"/>
          <w:color w:val="0000FF"/>
        </w:rPr>
        <w:t>Consolidated Statements of Stockholders' Deficit/Members' Deficit for the years ended December 31, 2023, 2022 and 2021</w:t>
      </w:r>
    </w:p>
    <w:p>
      <w:pPr>
        <w:spacing w:after="0" w:line="6"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16"/>
          <w:szCs w:val="16"/>
          <w:u w:val="single" w:color="auto"/>
          <w:color w:val="0000FF"/>
        </w:rPr>
        <w:t>77</w:t>
      </w:r>
    </w:p>
    <w:p>
      <w:pPr>
        <w:spacing w:after="0"/>
        <w:rPr>
          <w:sz w:val="20"/>
          <w:szCs w:val="20"/>
          <w:color w:val="auto"/>
        </w:rPr>
      </w:pPr>
      <w:r>
        <w:rPr>
          <w:rFonts w:ascii="Times New Roman" w:cs="Times New Roman" w:eastAsia="Times New Roman" w:hAnsi="Times New Roman"/>
          <w:sz w:val="16"/>
          <w:szCs w:val="16"/>
          <w:u w:val="single" w:color="auto"/>
          <w:color w:val="0000FF"/>
        </w:rPr>
        <w:t>Consolidated Statement of Cash Flows for the years ended December 31, 2023, 2022 and 2021</w:t>
      </w:r>
    </w:p>
    <w:p>
      <w:pPr>
        <w:spacing w:after="0" w:line="6"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16"/>
          <w:szCs w:val="16"/>
          <w:u w:val="single" w:color="auto"/>
          <w:color w:val="0000FF"/>
        </w:rPr>
        <w:t>79</w:t>
      </w:r>
    </w:p>
    <w:p>
      <w:pPr>
        <w:spacing w:after="0"/>
        <w:rPr>
          <w:sz w:val="20"/>
          <w:szCs w:val="20"/>
          <w:color w:val="auto"/>
        </w:rPr>
      </w:pPr>
      <w:r>
        <w:rPr>
          <w:rFonts w:ascii="Times New Roman" w:cs="Times New Roman" w:eastAsia="Times New Roman" w:hAnsi="Times New Roman"/>
          <w:sz w:val="16"/>
          <w:szCs w:val="16"/>
          <w:u w:val="single" w:color="auto"/>
          <w:color w:val="0000FF"/>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900"/>
          </w:cols>
          <w:pgMar w:left="320" w:top="1384" w:right="679" w:bottom="1440" w:gutter="0" w:footer="0" w:header="0"/>
        </w:sectPr>
      </w:pPr>
    </w:p>
    <w:bookmarkStart w:id="68" w:name="page69"/>
    <w:bookmarkEnd w:id="68"/>
    <w:p>
      <w:pPr>
        <w:ind w:right="3620" w:firstLine="3679"/>
        <w:spacing w:after="0" w:line="507" w:lineRule="auto"/>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 To the stockholders and the Board of Directors of MarketWise, Inc. Opinion on the Financial Statements</w:t>
      </w:r>
    </w:p>
    <w:p>
      <w:pPr>
        <w:spacing w:after="0" w:line="20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sheets of MarketWise, Inc. and subsidiaries (the "Company") as of December 31, 2023 and 2022, the related consolidated statements of operations, comprehensive income (loss), stockholders' deficit/members' deficit, and cash flows, for each of the three years in the period ended December 31, 2023, and the related notes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45" w:lineRule="exact"/>
        <w:rPr>
          <w:sz w:val="20"/>
          <w:szCs w:val="20"/>
          <w:color w:val="auto"/>
        </w:rPr>
      </w:pPr>
    </w:p>
    <w:p>
      <w:pPr>
        <w:spacing w:after="0" w:line="310"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Deloitte &amp; Touche LLP</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Baltimore, Maryland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7,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2018.</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00"/>
          </w:cols>
          <w:pgMar w:left="320" w:top="1384" w:right="379" w:bottom="1440" w:gutter="0" w:footer="0" w:header="0"/>
        </w:sectPr>
      </w:pPr>
    </w:p>
    <w:bookmarkStart w:id="69" w:name="page70"/>
    <w:bookmarkEnd w:id="69"/>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MARKETWISE,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240" w:type="dxa"/>
            <w:vAlign w:val="bottom"/>
          </w:tcPr>
          <w:p>
            <w:pPr>
              <w:spacing w:after="0"/>
              <w:rPr>
                <w:sz w:val="14"/>
                <w:szCs w:val="14"/>
                <w:color w:val="auto"/>
              </w:rPr>
            </w:pPr>
          </w:p>
        </w:tc>
        <w:tc>
          <w:tcPr>
            <w:tcW w:w="1560" w:type="dxa"/>
            <w:vAlign w:val="bottom"/>
          </w:tcPr>
          <w:p>
            <w:pPr>
              <w:jc w:val="right"/>
              <w:ind w:right="322"/>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0" w:type="dxa"/>
            <w:vAlign w:val="bottom"/>
          </w:tcPr>
          <w:p>
            <w:pPr>
              <w:spacing w:after="0"/>
              <w:rPr>
                <w:sz w:val="1"/>
                <w:szCs w:val="1"/>
                <w:color w:val="auto"/>
              </w:rPr>
            </w:pP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754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155,174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158,575</w:t>
            </w:r>
          </w:p>
        </w:tc>
        <w:tc>
          <w:tcPr>
            <w:tcW w:w="0" w:type="dxa"/>
            <w:vAlign w:val="bottom"/>
          </w:tcPr>
          <w:p>
            <w:pPr>
              <w:spacing w:after="0"/>
              <w:rPr>
                <w:sz w:val="1"/>
                <w:szCs w:val="1"/>
                <w:color w:val="auto"/>
              </w:rPr>
            </w:pPr>
          </w:p>
        </w:tc>
      </w:tr>
      <w:tr>
        <w:trPr>
          <w:trHeight w:val="199"/>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4,040</w:t>
            </w:r>
          </w:p>
        </w:tc>
        <w:tc>
          <w:tcPr>
            <w:tcW w:w="0" w:type="dxa"/>
            <w:vAlign w:val="bottom"/>
          </w:tcPr>
          <w:p>
            <w:pPr>
              <w:spacing w:after="0"/>
              <w:rPr>
                <w:sz w:val="1"/>
                <w:szCs w:val="1"/>
                <w:color w:val="auto"/>
              </w:rPr>
            </w:pPr>
          </w:p>
        </w:tc>
      </w:tr>
      <w:tr>
        <w:trPr>
          <w:trHeight w:val="19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11,725</w:t>
            </w:r>
          </w:p>
        </w:tc>
        <w:tc>
          <w:tcPr>
            <w:tcW w:w="0" w:type="dxa"/>
            <w:vAlign w:val="bottom"/>
          </w:tcPr>
          <w:p>
            <w:pPr>
              <w:spacing w:after="0"/>
              <w:rPr>
                <w:sz w:val="1"/>
                <w:szCs w:val="1"/>
                <w:color w:val="auto"/>
              </w:rPr>
            </w:pPr>
          </w:p>
        </w:tc>
      </w:tr>
      <w:tr>
        <w:trPr>
          <w:trHeight w:val="199"/>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Related party receivables</w:t>
            </w:r>
          </w:p>
        </w:tc>
        <w:tc>
          <w:tcPr>
            <w:tcW w:w="2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1,512</w:t>
            </w:r>
          </w:p>
        </w:tc>
        <w:tc>
          <w:tcPr>
            <w:tcW w:w="0" w:type="dxa"/>
            <w:vAlign w:val="bottom"/>
          </w:tcPr>
          <w:p>
            <w:pPr>
              <w:spacing w:after="0"/>
              <w:rPr>
                <w:sz w:val="1"/>
                <w:szCs w:val="1"/>
                <w:color w:val="auto"/>
              </w:rPr>
            </w:pPr>
          </w:p>
        </w:tc>
      </w:tr>
      <w:tr>
        <w:trPr>
          <w:trHeight w:val="19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contract acquisition costs</w:t>
            </w: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91,480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99,960</w:t>
            </w:r>
          </w:p>
        </w:tc>
        <w:tc>
          <w:tcPr>
            <w:tcW w:w="0" w:type="dxa"/>
            <w:vAlign w:val="bottom"/>
          </w:tcPr>
          <w:p>
            <w:pPr>
              <w:spacing w:after="0"/>
              <w:rPr>
                <w:sz w:val="1"/>
                <w:szCs w:val="1"/>
                <w:color w:val="auto"/>
              </w:rPr>
            </w:pPr>
          </w:p>
        </w:tc>
      </w:tr>
      <w:tr>
        <w:trPr>
          <w:trHeight w:val="199"/>
        </w:trPr>
        <w:tc>
          <w:tcPr>
            <w:tcW w:w="7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2,172</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3,363</w:t>
            </w:r>
          </w:p>
        </w:tc>
        <w:tc>
          <w:tcPr>
            <w:tcW w:w="0" w:type="dxa"/>
            <w:vAlign w:val="bottom"/>
          </w:tcPr>
          <w:p>
            <w:pPr>
              <w:spacing w:after="0"/>
              <w:rPr>
                <w:sz w:val="1"/>
                <w:szCs w:val="1"/>
                <w:color w:val="auto"/>
              </w:rPr>
            </w:pPr>
          </w:p>
        </w:tc>
      </w:tr>
      <w:tr>
        <w:trPr>
          <w:trHeight w:val="190"/>
        </w:trPr>
        <w:tc>
          <w:tcPr>
            <w:tcW w:w="7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267,841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279,175</w:t>
            </w:r>
          </w:p>
        </w:tc>
        <w:tc>
          <w:tcPr>
            <w:tcW w:w="0" w:type="dxa"/>
            <w:vAlign w:val="bottom"/>
          </w:tcPr>
          <w:p>
            <w:pPr>
              <w:spacing w:after="0"/>
              <w:rPr>
                <w:sz w:val="1"/>
                <w:szCs w:val="1"/>
                <w:color w:val="auto"/>
              </w:rPr>
            </w:pPr>
          </w:p>
        </w:tc>
      </w:tr>
      <w:tr>
        <w:trPr>
          <w:trHeight w:val="199"/>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0" w:type="dxa"/>
            <w:vAlign w:val="bottom"/>
          </w:tcPr>
          <w:p>
            <w:pPr>
              <w:spacing w:after="0"/>
              <w:rPr>
                <w:sz w:val="1"/>
                <w:szCs w:val="1"/>
                <w:color w:val="auto"/>
              </w:rPr>
            </w:pPr>
          </w:p>
        </w:tc>
      </w:tr>
      <w:tr>
        <w:trPr>
          <w:trHeight w:val="199"/>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9,468</w:t>
            </w:r>
          </w:p>
        </w:tc>
        <w:tc>
          <w:tcPr>
            <w:tcW w:w="0" w:type="dxa"/>
            <w:vAlign w:val="bottom"/>
          </w:tcPr>
          <w:p>
            <w:pPr>
              <w:spacing w:after="0"/>
              <w:rPr>
                <w:sz w:val="1"/>
                <w:szCs w:val="1"/>
                <w:color w:val="auto"/>
              </w:rPr>
            </w:pPr>
          </w:p>
        </w:tc>
      </w:tr>
      <w:tr>
        <w:trPr>
          <w:trHeight w:val="199"/>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2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16,047</w:t>
            </w:r>
          </w:p>
        </w:tc>
        <w:tc>
          <w:tcPr>
            <w:tcW w:w="0" w:type="dxa"/>
            <w:vAlign w:val="bottom"/>
          </w:tcPr>
          <w:p>
            <w:pPr>
              <w:spacing w:after="0"/>
              <w:rPr>
                <w:sz w:val="1"/>
                <w:szCs w:val="1"/>
                <w:color w:val="auto"/>
              </w:rPr>
            </w:pPr>
          </w:p>
        </w:tc>
      </w:tr>
      <w:tr>
        <w:trPr>
          <w:trHeight w:val="199"/>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31,038</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31,307</w:t>
            </w:r>
          </w:p>
        </w:tc>
        <w:tc>
          <w:tcPr>
            <w:tcW w:w="0" w:type="dxa"/>
            <w:vAlign w:val="bottom"/>
          </w:tcPr>
          <w:p>
            <w:pPr>
              <w:spacing w:after="0"/>
              <w:rPr>
                <w:sz w:val="1"/>
                <w:szCs w:val="1"/>
                <w:color w:val="auto"/>
              </w:rPr>
            </w:pPr>
          </w:p>
        </w:tc>
      </w:tr>
      <w:tr>
        <w:trPr>
          <w:trHeight w:val="199"/>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Deferred contract acquisition costs, noncurrent</w:t>
            </w:r>
          </w:p>
        </w:tc>
        <w:tc>
          <w:tcPr>
            <w:tcW w:w="2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73,420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97,658</w:t>
            </w:r>
          </w:p>
        </w:tc>
        <w:tc>
          <w:tcPr>
            <w:tcW w:w="0" w:type="dxa"/>
            <w:vAlign w:val="bottom"/>
          </w:tcPr>
          <w:p>
            <w:pPr>
              <w:spacing w:after="0"/>
              <w:rPr>
                <w:sz w:val="1"/>
                <w:szCs w:val="1"/>
                <w:color w:val="auto"/>
              </w:rPr>
            </w:pPr>
          </w:p>
        </w:tc>
      </w:tr>
      <w:tr>
        <w:trPr>
          <w:trHeight w:val="199"/>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9,693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7,332</w:t>
            </w:r>
          </w:p>
        </w:tc>
        <w:tc>
          <w:tcPr>
            <w:tcW w:w="0" w:type="dxa"/>
            <w:vAlign w:val="bottom"/>
          </w:tcPr>
          <w:p>
            <w:pPr>
              <w:spacing w:after="0"/>
              <w:rPr>
                <w:sz w:val="1"/>
                <w:szCs w:val="1"/>
                <w:color w:val="auto"/>
              </w:rPr>
            </w:pPr>
          </w:p>
        </w:tc>
      </w:tr>
      <w:tr>
        <w:trPr>
          <w:trHeight w:val="199"/>
        </w:trPr>
        <w:tc>
          <w:tcPr>
            <w:tcW w:w="7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0" w:type="dxa"/>
            <w:vAlign w:val="bottom"/>
          </w:tcPr>
          <w:p>
            <w:pPr>
              <w:spacing w:after="0"/>
              <w:rPr>
                <w:sz w:val="1"/>
                <w:szCs w:val="1"/>
                <w:color w:val="auto"/>
              </w:rPr>
            </w:pPr>
          </w:p>
        </w:tc>
      </w:tr>
      <w:tr>
        <w:trPr>
          <w:trHeight w:val="215"/>
        </w:trPr>
        <w:tc>
          <w:tcPr>
            <w:tcW w:w="7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396,555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442,508</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5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Trade and other payables</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20" w:type="dxa"/>
            <w:vAlign w:val="bottom"/>
          </w:tcPr>
          <w:p>
            <w:pPr>
              <w:spacing w:after="0"/>
              <w:rPr>
                <w:sz w:val="17"/>
                <w:szCs w:val="17"/>
                <w:color w:val="auto"/>
              </w:rPr>
            </w:pP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0" w:type="dxa"/>
            <w:vAlign w:val="bottom"/>
          </w:tcPr>
          <w:p>
            <w:pPr>
              <w:spacing w:after="0"/>
              <w:rPr>
                <w:sz w:val="1"/>
                <w:szCs w:val="1"/>
                <w:color w:val="auto"/>
              </w:rPr>
            </w:pPr>
          </w:p>
        </w:tc>
      </w:tr>
      <w:tr>
        <w:trPr>
          <w:trHeight w:val="19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Related party payables, net</w:t>
            </w: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0" w:type="dxa"/>
            <w:vAlign w:val="bottom"/>
          </w:tcPr>
          <w:p>
            <w:pPr>
              <w:spacing w:after="0"/>
              <w:rPr>
                <w:sz w:val="1"/>
                <w:szCs w:val="1"/>
                <w:color w:val="auto"/>
              </w:rPr>
            </w:pPr>
          </w:p>
        </w:tc>
      </w:tr>
      <w:tr>
        <w:trPr>
          <w:trHeight w:val="199"/>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expenses</w:t>
            </w:r>
          </w:p>
        </w:tc>
        <w:tc>
          <w:tcPr>
            <w:tcW w:w="2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55,041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45,976</w:t>
            </w:r>
          </w:p>
        </w:tc>
        <w:tc>
          <w:tcPr>
            <w:tcW w:w="0" w:type="dxa"/>
            <w:vAlign w:val="bottom"/>
          </w:tcPr>
          <w:p>
            <w:pPr>
              <w:spacing w:after="0"/>
              <w:rPr>
                <w:sz w:val="1"/>
                <w:szCs w:val="1"/>
                <w:color w:val="auto"/>
              </w:rPr>
            </w:pPr>
          </w:p>
        </w:tc>
      </w:tr>
      <w:tr>
        <w:trPr>
          <w:trHeight w:val="19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revenue and other contract liabilities</w:t>
            </w: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287,751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315,231</w:t>
            </w:r>
          </w:p>
        </w:tc>
        <w:tc>
          <w:tcPr>
            <w:tcW w:w="0" w:type="dxa"/>
            <w:vAlign w:val="bottom"/>
          </w:tcPr>
          <w:p>
            <w:pPr>
              <w:spacing w:after="0"/>
              <w:rPr>
                <w:sz w:val="1"/>
                <w:szCs w:val="1"/>
                <w:color w:val="auto"/>
              </w:rPr>
            </w:pPr>
          </w:p>
        </w:tc>
      </w:tr>
      <w:tr>
        <w:trPr>
          <w:trHeight w:val="199"/>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0" w:type="dxa"/>
            <w:vAlign w:val="bottom"/>
          </w:tcPr>
          <w:p>
            <w:pPr>
              <w:spacing w:after="0"/>
              <w:rPr>
                <w:sz w:val="1"/>
                <w:szCs w:val="1"/>
                <w:color w:val="auto"/>
              </w:rPr>
            </w:pPr>
          </w:p>
        </w:tc>
      </w:tr>
      <w:tr>
        <w:trPr>
          <w:trHeight w:val="19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27,959</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21,125</w:t>
            </w:r>
          </w:p>
        </w:tc>
        <w:tc>
          <w:tcPr>
            <w:tcW w:w="0" w:type="dxa"/>
            <w:vAlign w:val="bottom"/>
          </w:tcPr>
          <w:p>
            <w:pPr>
              <w:spacing w:after="0"/>
              <w:rPr>
                <w:sz w:val="1"/>
                <w:szCs w:val="1"/>
                <w:color w:val="auto"/>
              </w:rPr>
            </w:pPr>
          </w:p>
        </w:tc>
      </w:tr>
      <w:tr>
        <w:trPr>
          <w:trHeight w:val="190"/>
        </w:trPr>
        <w:tc>
          <w:tcPr>
            <w:tcW w:w="75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373,893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385,506</w:t>
            </w:r>
          </w:p>
        </w:tc>
        <w:tc>
          <w:tcPr>
            <w:tcW w:w="0" w:type="dxa"/>
            <w:vAlign w:val="bottom"/>
          </w:tcPr>
          <w:p>
            <w:pPr>
              <w:spacing w:after="0"/>
              <w:rPr>
                <w:sz w:val="1"/>
                <w:szCs w:val="1"/>
                <w:color w:val="auto"/>
              </w:rPr>
            </w:pPr>
          </w:p>
        </w:tc>
      </w:tr>
      <w:tr>
        <w:trPr>
          <w:trHeight w:val="199"/>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 and other contract liabilities, noncurrent</w:t>
            </w: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304,342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348,273</w:t>
            </w:r>
          </w:p>
        </w:tc>
        <w:tc>
          <w:tcPr>
            <w:tcW w:w="0" w:type="dxa"/>
            <w:vAlign w:val="bottom"/>
          </w:tcPr>
          <w:p>
            <w:pPr>
              <w:spacing w:after="0"/>
              <w:rPr>
                <w:sz w:val="1"/>
                <w:szCs w:val="1"/>
                <w:color w:val="auto"/>
              </w:rPr>
            </w:pPr>
          </w:p>
        </w:tc>
      </w:tr>
      <w:tr>
        <w:trPr>
          <w:trHeight w:val="199"/>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Other liabilities, noncurrent</w:t>
            </w:r>
          </w:p>
        </w:tc>
        <w:tc>
          <w:tcPr>
            <w:tcW w:w="2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0" w:type="dxa"/>
            <w:vAlign w:val="bottom"/>
          </w:tcPr>
          <w:p>
            <w:pPr>
              <w:spacing w:after="0"/>
              <w:rPr>
                <w:sz w:val="1"/>
                <w:szCs w:val="1"/>
                <w:color w:val="auto"/>
              </w:rPr>
            </w:pPr>
          </w:p>
        </w:tc>
      </w:tr>
      <w:tr>
        <w:trPr>
          <w:trHeight w:val="199"/>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Related party tax receivable agreement liability, noncurrent</w:t>
            </w: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9"/>
        </w:trPr>
        <w:tc>
          <w:tcPr>
            <w:tcW w:w="7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4,366</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5,831</w:t>
            </w:r>
          </w:p>
        </w:tc>
        <w:tc>
          <w:tcPr>
            <w:tcW w:w="0" w:type="dxa"/>
            <w:vAlign w:val="bottom"/>
          </w:tcPr>
          <w:p>
            <w:pPr>
              <w:spacing w:after="0"/>
              <w:rPr>
                <w:sz w:val="1"/>
                <w:szCs w:val="1"/>
                <w:color w:val="auto"/>
              </w:rPr>
            </w:pPr>
          </w:p>
        </w:tc>
      </w:tr>
      <w:tr>
        <w:trPr>
          <w:trHeight w:val="190"/>
        </w:trPr>
        <w:tc>
          <w:tcPr>
            <w:tcW w:w="7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Borders>
              <w:bottom w:val="single" w:sz="8" w:color="auto"/>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685,498</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740,891</w:t>
            </w:r>
          </w:p>
        </w:tc>
        <w:tc>
          <w:tcPr>
            <w:tcW w:w="0" w:type="dxa"/>
            <w:vAlign w:val="bottom"/>
          </w:tcPr>
          <w:p>
            <w:pPr>
              <w:spacing w:after="0"/>
              <w:rPr>
                <w:sz w:val="1"/>
                <w:szCs w:val="1"/>
                <w:color w:val="auto"/>
              </w:rPr>
            </w:pPr>
          </w:p>
        </w:tc>
      </w:tr>
      <w:tr>
        <w:trPr>
          <w:trHeight w:val="190"/>
        </w:trPr>
        <w:tc>
          <w:tcPr>
            <w:tcW w:w="754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9"/>
        </w:trPr>
        <w:tc>
          <w:tcPr>
            <w:tcW w:w="7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Stockholders’ deficit</w:t>
            </w: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7540" w:type="dxa"/>
            <w:vAlign w:val="bottom"/>
          </w:tcPr>
          <w:p>
            <w:pPr>
              <w:ind w:left="140"/>
              <w:spacing w:after="0" w:line="152" w:lineRule="exact"/>
              <w:rPr>
                <w:sz w:val="20"/>
                <w:szCs w:val="20"/>
                <w:color w:val="auto"/>
              </w:rPr>
            </w:pPr>
            <w:r>
              <w:rPr>
                <w:rFonts w:ascii="Times New Roman" w:cs="Times New Roman" w:eastAsia="Times New Roman" w:hAnsi="Times New Roman"/>
                <w:sz w:val="16"/>
                <w:szCs w:val="16"/>
                <w:color w:val="auto"/>
                <w:w w:val="98"/>
              </w:rPr>
              <w:t>Common stock - Class A, par value of $0.0001 per share, 950,000,000 shares authorized; 36,384,981 and 29,039,655</w:t>
            </w:r>
          </w:p>
        </w:tc>
        <w:tc>
          <w:tcPr>
            <w:tcW w:w="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5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shares issued and outstanding at December 31, 2023 and 2022, respectively</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152"/>
        </w:trPr>
        <w:tc>
          <w:tcPr>
            <w:tcW w:w="7540" w:type="dxa"/>
            <w:vAlign w:val="bottom"/>
            <w:shd w:val="clear" w:color="auto" w:fill="CCEEFF"/>
          </w:tcPr>
          <w:p>
            <w:pPr>
              <w:ind w:left="140"/>
              <w:spacing w:after="0" w:line="152" w:lineRule="exact"/>
              <w:rPr>
                <w:sz w:val="20"/>
                <w:szCs w:val="20"/>
                <w:color w:val="auto"/>
              </w:rPr>
            </w:pPr>
            <w:r>
              <w:rPr>
                <w:rFonts w:ascii="Times New Roman" w:cs="Times New Roman" w:eastAsia="Times New Roman" w:hAnsi="Times New Roman"/>
                <w:sz w:val="16"/>
                <w:szCs w:val="16"/>
                <w:color w:val="auto"/>
              </w:rPr>
              <w:t>Common stock - Class B, par value of $0.0001 per share, 300,000,000 shares authorized; 288,092,303 and</w:t>
            </w:r>
          </w:p>
        </w:tc>
        <w:tc>
          <w:tcPr>
            <w:tcW w:w="260" w:type="dxa"/>
            <w:vAlign w:val="bottom"/>
            <w:shd w:val="clear" w:color="auto" w:fill="CCEEFF"/>
          </w:tcPr>
          <w:p>
            <w:pPr>
              <w:spacing w:after="0"/>
              <w:rPr>
                <w:sz w:val="13"/>
                <w:szCs w:val="13"/>
                <w:color w:val="auto"/>
              </w:rPr>
            </w:pPr>
          </w:p>
        </w:tc>
        <w:tc>
          <w:tcPr>
            <w:tcW w:w="1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291,092,303 shares issued and outstanding at December 31, 2023 and 2022, respectively</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152"/>
        </w:trPr>
        <w:tc>
          <w:tcPr>
            <w:tcW w:w="7540" w:type="dxa"/>
            <w:vAlign w:val="bottom"/>
          </w:tcPr>
          <w:p>
            <w:pPr>
              <w:ind w:left="140"/>
              <w:spacing w:after="0" w:line="152" w:lineRule="exact"/>
              <w:rPr>
                <w:sz w:val="20"/>
                <w:szCs w:val="20"/>
                <w:color w:val="auto"/>
              </w:rPr>
            </w:pPr>
            <w:r>
              <w:rPr>
                <w:rFonts w:ascii="Times New Roman" w:cs="Times New Roman" w:eastAsia="Times New Roman" w:hAnsi="Times New Roman"/>
                <w:sz w:val="16"/>
                <w:szCs w:val="16"/>
                <w:color w:val="auto"/>
              </w:rPr>
              <w:t>Preferred stock - par value of $0.0001 per share, 100,000,000 shares authorized; 0 shares issued and outstanding at</w:t>
            </w:r>
          </w:p>
        </w:tc>
        <w:tc>
          <w:tcPr>
            <w:tcW w:w="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5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December 31, 2023 and 2022, respectively</w:t>
            </w:r>
          </w:p>
        </w:tc>
        <w:tc>
          <w:tcPr>
            <w:tcW w:w="26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115,164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106,852</w:t>
            </w:r>
          </w:p>
        </w:tc>
        <w:tc>
          <w:tcPr>
            <w:tcW w:w="0" w:type="dxa"/>
            <w:vAlign w:val="bottom"/>
          </w:tcPr>
          <w:p>
            <w:pPr>
              <w:spacing w:after="0"/>
              <w:rPr>
                <w:sz w:val="1"/>
                <w:szCs w:val="1"/>
                <w:color w:val="auto"/>
              </w:rPr>
            </w:pPr>
          </w:p>
        </w:tc>
      </w:tr>
      <w:tr>
        <w:trPr>
          <w:trHeight w:val="199"/>
        </w:trPr>
        <w:tc>
          <w:tcPr>
            <w:tcW w:w="7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19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26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(126,343)</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(128,125)</w:t>
            </w:r>
          </w:p>
        </w:tc>
        <w:tc>
          <w:tcPr>
            <w:tcW w:w="0" w:type="dxa"/>
            <w:vAlign w:val="bottom"/>
          </w:tcPr>
          <w:p>
            <w:pPr>
              <w:spacing w:after="0"/>
              <w:rPr>
                <w:sz w:val="1"/>
                <w:szCs w:val="1"/>
                <w:color w:val="auto"/>
              </w:rPr>
            </w:pPr>
          </w:p>
        </w:tc>
      </w:tr>
      <w:tr>
        <w:trPr>
          <w:trHeight w:val="195"/>
        </w:trPr>
        <w:tc>
          <w:tcPr>
            <w:tcW w:w="75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stockholders’ deficit attributable to MarketWise, Inc.</w:t>
            </w:r>
          </w:p>
        </w:tc>
        <w:tc>
          <w:tcPr>
            <w:tcW w:w="2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(21,197)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0" w:name="page71"/>
    <w:bookmarkEnd w:id="70"/>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MARKETWISE,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w:t>
            </w:r>
          </w:p>
        </w:tc>
        <w:tc>
          <w:tcPr>
            <w:tcW w:w="6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center"/>
              <w:ind w:left="442"/>
              <w:spacing w:after="0"/>
              <w:rPr>
                <w:sz w:val="20"/>
                <w:szCs w:val="20"/>
                <w:color w:val="auto"/>
              </w:rPr>
            </w:pPr>
            <w:r>
              <w:rPr>
                <w:rFonts w:ascii="Times New Roman" w:cs="Times New Roman" w:eastAsia="Times New Roman" w:hAnsi="Times New Roman"/>
                <w:sz w:val="16"/>
                <w:szCs w:val="16"/>
                <w:color w:val="auto"/>
                <w:w w:val="95"/>
              </w:rPr>
              <w:t>(277,862)</w:t>
            </w:r>
          </w:p>
        </w:tc>
        <w:tc>
          <w:tcPr>
            <w:tcW w:w="12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center"/>
              <w:ind w:left="442"/>
              <w:spacing w:after="0"/>
              <w:rPr>
                <w:sz w:val="20"/>
                <w:szCs w:val="20"/>
                <w:color w:val="auto"/>
              </w:rPr>
            </w:pPr>
            <w:r>
              <w:rPr>
                <w:rFonts w:ascii="Times New Roman" w:cs="Times New Roman" w:eastAsia="Times New Roman" w:hAnsi="Times New Roman"/>
                <w:sz w:val="16"/>
                <w:szCs w:val="16"/>
                <w:color w:val="auto"/>
                <w:w w:val="98"/>
              </w:rPr>
              <w:t>(277,186)</w:t>
            </w:r>
          </w:p>
        </w:tc>
      </w:tr>
      <w:tr>
        <w:trPr>
          <w:trHeight w:val="190"/>
        </w:trPr>
        <w:tc>
          <w:tcPr>
            <w:tcW w:w="75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6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left="442"/>
              <w:spacing w:after="0"/>
              <w:rPr>
                <w:sz w:val="20"/>
                <w:szCs w:val="20"/>
                <w:color w:val="auto"/>
              </w:rPr>
            </w:pPr>
            <w:r>
              <w:rPr>
                <w:rFonts w:ascii="Times New Roman" w:cs="Times New Roman" w:eastAsia="Times New Roman" w:hAnsi="Times New Roman"/>
                <w:sz w:val="16"/>
                <w:szCs w:val="16"/>
                <w:color w:val="auto"/>
                <w:w w:val="95"/>
              </w:rPr>
              <w:t>(288,943)</w:t>
            </w: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left="442"/>
              <w:spacing w:after="0"/>
              <w:rPr>
                <w:sz w:val="20"/>
                <w:szCs w:val="20"/>
                <w:color w:val="auto"/>
              </w:rPr>
            </w:pPr>
            <w:r>
              <w:rPr>
                <w:rFonts w:ascii="Times New Roman" w:cs="Times New Roman" w:eastAsia="Times New Roman" w:hAnsi="Times New Roman"/>
                <w:sz w:val="16"/>
                <w:szCs w:val="16"/>
                <w:color w:val="auto"/>
                <w:w w:val="98"/>
              </w:rPr>
              <w:t>(298,383)</w:t>
            </w:r>
          </w:p>
        </w:tc>
      </w:tr>
      <w:tr>
        <w:trPr>
          <w:trHeight w:val="215"/>
        </w:trPr>
        <w:tc>
          <w:tcPr>
            <w:tcW w:w="7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deficit</w:t>
            </w:r>
          </w:p>
        </w:tc>
        <w:tc>
          <w:tcPr>
            <w:tcW w:w="640" w:type="dxa"/>
            <w:vAlign w:val="bottom"/>
            <w:tcBorders>
              <w:bottom w:val="single" w:sz="8" w:color="auto"/>
            </w:tcBorders>
            <w:shd w:val="clear" w:color="auto" w:fill="CCEEFF"/>
          </w:tcPr>
          <w:p>
            <w:pPr>
              <w:jc w:val="right"/>
              <w:ind w:right="46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center"/>
              <w:ind w:left="462"/>
              <w:spacing w:after="0"/>
              <w:rPr>
                <w:sz w:val="20"/>
                <w:szCs w:val="20"/>
                <w:color w:val="auto"/>
              </w:rPr>
            </w:pPr>
            <w:r>
              <w:rPr>
                <w:rFonts w:ascii="Times New Roman" w:cs="Times New Roman" w:eastAsia="Times New Roman" w:hAnsi="Times New Roman"/>
                <w:sz w:val="16"/>
                <w:szCs w:val="16"/>
                <w:color w:val="auto"/>
                <w:w w:val="96"/>
              </w:rPr>
              <w:t>396,555</w:t>
            </w:r>
          </w:p>
        </w:tc>
        <w:tc>
          <w:tcPr>
            <w:tcW w:w="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6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shd w:val="clear" w:color="auto" w:fill="CCEEFF"/>
          </w:tcPr>
          <w:p>
            <w:pPr>
              <w:jc w:val="center"/>
              <w:ind w:left="462"/>
              <w:spacing w:after="0"/>
              <w:rPr>
                <w:sz w:val="20"/>
                <w:szCs w:val="20"/>
                <w:color w:val="auto"/>
              </w:rPr>
            </w:pPr>
            <w:r>
              <w:rPr>
                <w:rFonts w:ascii="Times New Roman" w:cs="Times New Roman" w:eastAsia="Times New Roman" w:hAnsi="Times New Roman"/>
                <w:sz w:val="16"/>
                <w:szCs w:val="16"/>
                <w:color w:val="auto"/>
                <w:w w:val="99"/>
              </w:rPr>
              <w:t>442,508</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1" w:name="page72"/>
    <w:bookmarkEnd w:id="71"/>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MARKETWISE, INC.</w:t>
      </w:r>
    </w:p>
    <w:p>
      <w:pPr>
        <w:spacing w:after="0" w:line="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48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center"/>
              <w:ind w:right="224"/>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2"/>
                <w:szCs w:val="12"/>
                <w:b w:val="1"/>
                <w:bCs w:val="1"/>
                <w:color w:val="auto"/>
              </w:rPr>
              <w:t>2022</w:t>
            </w:r>
          </w:p>
        </w:tc>
        <w:tc>
          <w:tcPr>
            <w:tcW w:w="1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center"/>
              <w:ind w:right="304"/>
              <w:spacing w:after="0"/>
              <w:rPr>
                <w:sz w:val="20"/>
                <w:szCs w:val="20"/>
                <w:color w:val="auto"/>
              </w:rPr>
            </w:pPr>
            <w:r>
              <w:rPr>
                <w:rFonts w:ascii="Times New Roman" w:cs="Times New Roman" w:eastAsia="Times New Roman" w:hAnsi="Times New Roman"/>
                <w:sz w:val="12"/>
                <w:szCs w:val="12"/>
                <w:b w:val="1"/>
                <w:bCs w:val="1"/>
                <w:color w:val="auto"/>
              </w:rPr>
              <w:t>2021</w:t>
            </w:r>
          </w:p>
        </w:tc>
        <w:tc>
          <w:tcPr>
            <w:tcW w:w="0" w:type="dxa"/>
            <w:vAlign w:val="bottom"/>
          </w:tcPr>
          <w:p>
            <w:pPr>
              <w:spacing w:after="0"/>
              <w:rPr>
                <w:sz w:val="1"/>
                <w:szCs w:val="1"/>
                <w:color w:val="auto"/>
              </w:rPr>
            </w:pPr>
          </w:p>
        </w:tc>
      </w:tr>
      <w:tr>
        <w:trPr>
          <w:trHeight w:val="19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revenue</w:t>
            </w:r>
          </w:p>
        </w:tc>
        <w:tc>
          <w:tcPr>
            <w:tcW w:w="30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443,245</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510,040</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5"/>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547,899</w:t>
            </w:r>
          </w:p>
        </w:tc>
        <w:tc>
          <w:tcPr>
            <w:tcW w:w="0" w:type="dxa"/>
            <w:vAlign w:val="bottom"/>
          </w:tcPr>
          <w:p>
            <w:pPr>
              <w:spacing w:after="0"/>
              <w:rPr>
                <w:sz w:val="1"/>
                <w:szCs w:val="1"/>
                <w:color w:val="auto"/>
              </w:rPr>
            </w:pPr>
          </w:p>
        </w:tc>
      </w:tr>
      <w:tr>
        <w:trPr>
          <w:trHeight w:val="199"/>
        </w:trPr>
        <w:tc>
          <w:tcPr>
            <w:tcW w:w="4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Related party revenue</w:t>
            </w:r>
          </w:p>
        </w:tc>
        <w:tc>
          <w:tcPr>
            <w:tcW w:w="3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4,937</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2,363</w:t>
            </w:r>
          </w:p>
        </w:tc>
        <w:tc>
          <w:tcPr>
            <w:tcW w:w="1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1,284</w:t>
            </w:r>
          </w:p>
        </w:tc>
        <w:tc>
          <w:tcPr>
            <w:tcW w:w="0" w:type="dxa"/>
            <w:vAlign w:val="bottom"/>
          </w:tcPr>
          <w:p>
            <w:pPr>
              <w:spacing w:after="0"/>
              <w:rPr>
                <w:sz w:val="1"/>
                <w:szCs w:val="1"/>
                <w:color w:val="auto"/>
              </w:rPr>
            </w:pPr>
          </w:p>
        </w:tc>
      </w:tr>
      <w:tr>
        <w:trPr>
          <w:trHeight w:val="190"/>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net revenue</w:t>
            </w:r>
          </w:p>
        </w:tc>
        <w:tc>
          <w:tcPr>
            <w:tcW w:w="3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448,182</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512,403</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549,183</w:t>
            </w:r>
          </w:p>
        </w:tc>
        <w:tc>
          <w:tcPr>
            <w:tcW w:w="0" w:type="dxa"/>
            <w:vAlign w:val="bottom"/>
          </w:tcPr>
          <w:p>
            <w:pPr>
              <w:spacing w:after="0"/>
              <w:rPr>
                <w:sz w:val="1"/>
                <w:szCs w:val="1"/>
                <w:color w:val="auto"/>
              </w:rPr>
            </w:pPr>
          </w:p>
        </w:tc>
      </w:tr>
      <w:tr>
        <w:trPr>
          <w:trHeight w:val="199"/>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840" w:type="dxa"/>
            <w:vAlign w:val="bottom"/>
            <w:shd w:val="clear" w:color="auto" w:fill="CCEEFF"/>
          </w:tcPr>
          <w:p>
            <w:pPr>
              <w:ind w:left="140"/>
              <w:spacing w:after="0" w:line="199" w:lineRule="exact"/>
              <w:rPr>
                <w:sz w:val="20"/>
                <w:szCs w:val="20"/>
                <w:color w:val="auto"/>
              </w:rPr>
            </w:pPr>
            <w:r>
              <w:rPr>
                <w:rFonts w:ascii="Times New Roman" w:cs="Times New Roman" w:eastAsia="Times New Roman" w:hAnsi="Times New Roman"/>
                <w:sz w:val="16"/>
                <w:szCs w:val="16"/>
                <w:color w:val="auto"/>
              </w:rPr>
              <w:t xml:space="preserve">Cost of revenue </w:t>
            </w:r>
            <w:r>
              <w:rPr>
                <w:rFonts w:ascii="Times New Roman" w:cs="Times New Roman" w:eastAsia="Times New Roman" w:hAnsi="Times New Roman"/>
                <w:sz w:val="20"/>
                <w:szCs w:val="20"/>
                <w:color w:val="auto"/>
                <w:vertAlign w:val="superscript"/>
              </w:rPr>
              <w:t>(1) (2)</w:t>
            </w: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56,802</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62,697</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239,251</w:t>
            </w:r>
          </w:p>
        </w:tc>
        <w:tc>
          <w:tcPr>
            <w:tcW w:w="0" w:type="dxa"/>
            <w:vAlign w:val="bottom"/>
          </w:tcPr>
          <w:p>
            <w:pPr>
              <w:spacing w:after="0"/>
              <w:rPr>
                <w:sz w:val="1"/>
                <w:szCs w:val="1"/>
                <w:color w:val="auto"/>
              </w:rPr>
            </w:pPr>
          </w:p>
        </w:tc>
      </w:tr>
      <w:tr>
        <w:trPr>
          <w:trHeight w:val="199"/>
        </w:trPr>
        <w:tc>
          <w:tcPr>
            <w:tcW w:w="4840" w:type="dxa"/>
            <w:vAlign w:val="bottom"/>
          </w:tcPr>
          <w:p>
            <w:pPr>
              <w:ind w:left="140"/>
              <w:spacing w:after="0" w:line="199" w:lineRule="exact"/>
              <w:rPr>
                <w:sz w:val="20"/>
                <w:szCs w:val="20"/>
                <w:color w:val="auto"/>
              </w:rPr>
            </w:pPr>
            <w:r>
              <w:rPr>
                <w:rFonts w:ascii="Times New Roman" w:cs="Times New Roman" w:eastAsia="Times New Roman" w:hAnsi="Times New Roman"/>
                <w:sz w:val="16"/>
                <w:szCs w:val="16"/>
                <w:color w:val="auto"/>
              </w:rPr>
              <w:t xml:space="preserve">Sales and marketing </w:t>
            </w:r>
            <w:r>
              <w:rPr>
                <w:rFonts w:ascii="Times New Roman" w:cs="Times New Roman" w:eastAsia="Times New Roman" w:hAnsi="Times New Roman"/>
                <w:sz w:val="20"/>
                <w:szCs w:val="20"/>
                <w:color w:val="auto"/>
                <w:vertAlign w:val="superscript"/>
              </w:rPr>
              <w:t>(1) (2)</w:t>
            </w:r>
          </w:p>
        </w:tc>
        <w:tc>
          <w:tcPr>
            <w:tcW w:w="3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198,592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235,326</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296,934</w:t>
            </w:r>
          </w:p>
        </w:tc>
        <w:tc>
          <w:tcPr>
            <w:tcW w:w="0" w:type="dxa"/>
            <w:vAlign w:val="bottom"/>
          </w:tcPr>
          <w:p>
            <w:pPr>
              <w:spacing w:after="0"/>
              <w:rPr>
                <w:sz w:val="1"/>
                <w:szCs w:val="1"/>
                <w:color w:val="auto"/>
              </w:rPr>
            </w:pPr>
          </w:p>
        </w:tc>
      </w:tr>
      <w:tr>
        <w:trPr>
          <w:trHeight w:val="199"/>
        </w:trPr>
        <w:tc>
          <w:tcPr>
            <w:tcW w:w="4840" w:type="dxa"/>
            <w:vAlign w:val="bottom"/>
            <w:shd w:val="clear" w:color="auto" w:fill="CCEEFF"/>
          </w:tcPr>
          <w:p>
            <w:pPr>
              <w:ind w:left="140"/>
              <w:spacing w:after="0" w:line="199" w:lineRule="exact"/>
              <w:rPr>
                <w:sz w:val="20"/>
                <w:szCs w:val="20"/>
                <w:color w:val="auto"/>
              </w:rPr>
            </w:pPr>
            <w:r>
              <w:rPr>
                <w:rFonts w:ascii="Times New Roman" w:cs="Times New Roman" w:eastAsia="Times New Roman" w:hAnsi="Times New Roman"/>
                <w:sz w:val="16"/>
                <w:szCs w:val="16"/>
                <w:color w:val="auto"/>
              </w:rPr>
              <w:t xml:space="preserve">General and administrative </w:t>
            </w:r>
            <w:r>
              <w:rPr>
                <w:rFonts w:ascii="Times New Roman" w:cs="Times New Roman" w:eastAsia="Times New Roman" w:hAnsi="Times New Roman"/>
                <w:sz w:val="20"/>
                <w:szCs w:val="20"/>
                <w:color w:val="auto"/>
                <w:vertAlign w:val="superscript"/>
              </w:rPr>
              <w:t>(1) (2)</w:t>
            </w: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125,176</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114,810</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960,183</w:t>
            </w:r>
          </w:p>
        </w:tc>
        <w:tc>
          <w:tcPr>
            <w:tcW w:w="0" w:type="dxa"/>
            <w:vAlign w:val="bottom"/>
          </w:tcPr>
          <w:p>
            <w:pPr>
              <w:spacing w:after="0"/>
              <w:rPr>
                <w:sz w:val="1"/>
                <w:szCs w:val="1"/>
                <w:color w:val="auto"/>
              </w:rPr>
            </w:pPr>
          </w:p>
        </w:tc>
      </w:tr>
      <w:tr>
        <w:trPr>
          <w:trHeight w:val="199"/>
        </w:trPr>
        <w:tc>
          <w:tcPr>
            <w:tcW w:w="4840" w:type="dxa"/>
            <w:vAlign w:val="bottom"/>
          </w:tcPr>
          <w:p>
            <w:pPr>
              <w:ind w:left="140"/>
              <w:spacing w:after="0" w:line="199" w:lineRule="exact"/>
              <w:rPr>
                <w:sz w:val="20"/>
                <w:szCs w:val="20"/>
                <w:color w:val="auto"/>
              </w:rPr>
            </w:pPr>
            <w:r>
              <w:rPr>
                <w:rFonts w:ascii="Times New Roman" w:cs="Times New Roman" w:eastAsia="Times New Roman" w:hAnsi="Times New Roman"/>
                <w:sz w:val="16"/>
                <w:szCs w:val="16"/>
                <w:color w:val="auto"/>
              </w:rPr>
              <w:t xml:space="preserve">Research and development </w:t>
            </w:r>
            <w:r>
              <w:rPr>
                <w:rFonts w:ascii="Times New Roman" w:cs="Times New Roman" w:eastAsia="Times New Roman" w:hAnsi="Times New Roman"/>
                <w:sz w:val="20"/>
                <w:szCs w:val="20"/>
                <w:color w:val="auto"/>
                <w:vertAlign w:val="superscript"/>
              </w:rPr>
              <w:t>(2)</w:t>
            </w:r>
          </w:p>
        </w:tc>
        <w:tc>
          <w:tcPr>
            <w:tcW w:w="3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8,817</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7,487</w:t>
            </w:r>
          </w:p>
        </w:tc>
        <w:tc>
          <w:tcPr>
            <w:tcW w:w="0" w:type="dxa"/>
            <w:vAlign w:val="bottom"/>
          </w:tcPr>
          <w:p>
            <w:pPr>
              <w:spacing w:after="0"/>
              <w:rPr>
                <w:sz w:val="1"/>
                <w:szCs w:val="1"/>
                <w:color w:val="auto"/>
              </w:rPr>
            </w:pPr>
          </w:p>
        </w:tc>
      </w:tr>
      <w:tr>
        <w:trPr>
          <w:trHeight w:val="199"/>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3,821</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3,091</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2,676</w:t>
            </w:r>
          </w:p>
        </w:tc>
        <w:tc>
          <w:tcPr>
            <w:tcW w:w="0" w:type="dxa"/>
            <w:vAlign w:val="bottom"/>
          </w:tcPr>
          <w:p>
            <w:pPr>
              <w:spacing w:after="0"/>
              <w:rPr>
                <w:sz w:val="1"/>
                <w:szCs w:val="1"/>
                <w:color w:val="auto"/>
              </w:rPr>
            </w:pPr>
          </w:p>
        </w:tc>
      </w:tr>
      <w:tr>
        <w:trPr>
          <w:trHeight w:val="199"/>
        </w:trPr>
        <w:tc>
          <w:tcPr>
            <w:tcW w:w="4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 losses</w:t>
            </w:r>
          </w:p>
        </w:tc>
        <w:tc>
          <w:tcPr>
            <w:tcW w:w="3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2,583</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9"/>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Related party expense</w:t>
            </w:r>
          </w:p>
        </w:tc>
        <w:tc>
          <w:tcPr>
            <w:tcW w:w="30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w:t>
            </w:r>
          </w:p>
        </w:tc>
        <w:tc>
          <w:tcPr>
            <w:tcW w:w="1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10,245</w:t>
            </w:r>
          </w:p>
        </w:tc>
        <w:tc>
          <w:tcPr>
            <w:tcW w:w="0" w:type="dxa"/>
            <w:vAlign w:val="bottom"/>
          </w:tcPr>
          <w:p>
            <w:pPr>
              <w:spacing w:after="0"/>
              <w:rPr>
                <w:sz w:val="1"/>
                <w:szCs w:val="1"/>
                <w:color w:val="auto"/>
              </w:rPr>
            </w:pPr>
          </w:p>
        </w:tc>
      </w:tr>
      <w:tr>
        <w:trPr>
          <w:trHeight w:val="190"/>
        </w:trPr>
        <w:tc>
          <w:tcPr>
            <w:tcW w:w="48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396,377</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425,120</w:t>
            </w: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1,516,776</w:t>
            </w:r>
          </w:p>
        </w:tc>
        <w:tc>
          <w:tcPr>
            <w:tcW w:w="0" w:type="dxa"/>
            <w:vAlign w:val="bottom"/>
          </w:tcPr>
          <w:p>
            <w:pPr>
              <w:spacing w:after="0"/>
              <w:rPr>
                <w:sz w:val="1"/>
                <w:szCs w:val="1"/>
                <w:color w:val="auto"/>
              </w:rPr>
            </w:pPr>
          </w:p>
        </w:tc>
      </w:tr>
      <w:tr>
        <w:trPr>
          <w:trHeight w:val="19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30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51,805</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87,283</w:t>
            </w: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(967,593)</w:t>
            </w:r>
          </w:p>
        </w:tc>
        <w:tc>
          <w:tcPr>
            <w:tcW w:w="0" w:type="dxa"/>
            <w:vAlign w:val="bottom"/>
          </w:tcPr>
          <w:p>
            <w:pPr>
              <w:spacing w:after="0"/>
              <w:rPr>
                <w:sz w:val="1"/>
                <w:szCs w:val="1"/>
                <w:color w:val="auto"/>
              </w:rPr>
            </w:pPr>
          </w:p>
        </w:tc>
      </w:tr>
      <w:tr>
        <w:trPr>
          <w:trHeight w:val="199"/>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 income, net</w:t>
            </w:r>
          </w:p>
        </w:tc>
        <w:tc>
          <w:tcPr>
            <w:tcW w:w="3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15,672</w:t>
            </w: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16,178</w:t>
            </w:r>
          </w:p>
        </w:tc>
        <w:tc>
          <w:tcPr>
            <w:tcW w:w="0" w:type="dxa"/>
            <w:vAlign w:val="bottom"/>
          </w:tcPr>
          <w:p>
            <w:pPr>
              <w:spacing w:after="0"/>
              <w:rPr>
                <w:sz w:val="1"/>
                <w:szCs w:val="1"/>
                <w:color w:val="auto"/>
              </w:rPr>
            </w:pPr>
          </w:p>
        </w:tc>
      </w:tr>
      <w:tr>
        <w:trPr>
          <w:trHeight w:val="199"/>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(expense) income, net</w:t>
            </w:r>
          </w:p>
        </w:tc>
        <w:tc>
          <w:tcPr>
            <w:tcW w:w="30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4,904</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190"/>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30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56,098</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102,660</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(951,525)</w:t>
            </w:r>
          </w:p>
        </w:tc>
        <w:tc>
          <w:tcPr>
            <w:tcW w:w="0" w:type="dxa"/>
            <w:vAlign w:val="bottom"/>
          </w:tcPr>
          <w:p>
            <w:pPr>
              <w:spacing w:after="0"/>
              <w:rPr>
                <w:sz w:val="1"/>
                <w:szCs w:val="1"/>
                <w:color w:val="auto"/>
              </w:rPr>
            </w:pPr>
          </w:p>
        </w:tc>
      </w:tr>
      <w:tr>
        <w:trPr>
          <w:trHeight w:val="199"/>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30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w:t>
            </w:r>
          </w:p>
        </w:tc>
        <w:tc>
          <w:tcPr>
            <w:tcW w:w="14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2,358</w:t>
            </w:r>
          </w:p>
        </w:tc>
        <w:tc>
          <w:tcPr>
            <w:tcW w:w="0" w:type="dxa"/>
            <w:vAlign w:val="bottom"/>
          </w:tcPr>
          <w:p>
            <w:pPr>
              <w:spacing w:after="0"/>
              <w:rPr>
                <w:sz w:val="1"/>
                <w:szCs w:val="1"/>
                <w:color w:val="auto"/>
              </w:rPr>
            </w:pPr>
          </w:p>
        </w:tc>
      </w:tr>
      <w:tr>
        <w:trPr>
          <w:trHeight w:val="190"/>
        </w:trPr>
        <w:tc>
          <w:tcPr>
            <w:tcW w:w="4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54,295</w:t>
            </w:r>
          </w:p>
        </w:tc>
        <w:tc>
          <w:tcPr>
            <w:tcW w:w="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101,170</w:t>
            </w: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(953,883)</w:t>
            </w:r>
          </w:p>
        </w:tc>
        <w:tc>
          <w:tcPr>
            <w:tcW w:w="0" w:type="dxa"/>
            <w:vAlign w:val="bottom"/>
          </w:tcPr>
          <w:p>
            <w:pPr>
              <w:spacing w:after="0"/>
              <w:rPr>
                <w:sz w:val="1"/>
                <w:szCs w:val="1"/>
                <w:color w:val="auto"/>
              </w:rPr>
            </w:pPr>
          </w:p>
        </w:tc>
      </w:tr>
      <w:tr>
        <w:trPr>
          <w:trHeight w:val="190"/>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30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52,513</w:t>
            </w:r>
          </w:p>
        </w:tc>
        <w:tc>
          <w:tcPr>
            <w:tcW w:w="1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83,180</w:t>
            </w:r>
          </w:p>
        </w:tc>
        <w:tc>
          <w:tcPr>
            <w:tcW w:w="14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59,426</w:t>
            </w:r>
          </w:p>
        </w:tc>
        <w:tc>
          <w:tcPr>
            <w:tcW w:w="0" w:type="dxa"/>
            <w:vAlign w:val="bottom"/>
          </w:tcPr>
          <w:p>
            <w:pPr>
              <w:spacing w:after="0"/>
              <w:rPr>
                <w:sz w:val="1"/>
                <w:szCs w:val="1"/>
                <w:color w:val="auto"/>
              </w:rPr>
            </w:pPr>
          </w:p>
        </w:tc>
      </w:tr>
      <w:tr>
        <w:trPr>
          <w:trHeight w:val="190"/>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 attributable to MarketWise, Inc.</w:t>
            </w:r>
          </w:p>
        </w:tc>
        <w:tc>
          <w:tcPr>
            <w:tcW w:w="30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1,782</w:t>
            </w:r>
          </w:p>
        </w:tc>
        <w:tc>
          <w:tcPr>
            <w:tcW w:w="140" w:type="dxa"/>
            <w:vAlign w:val="bottom"/>
          </w:tcPr>
          <w:p>
            <w:pPr>
              <w:spacing w:after="0"/>
              <w:rPr>
                <w:sz w:val="16"/>
                <w:szCs w:val="16"/>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17,990</w:t>
            </w:r>
          </w:p>
        </w:tc>
        <w:tc>
          <w:tcPr>
            <w:tcW w:w="140" w:type="dxa"/>
            <w:vAlign w:val="bottom"/>
          </w:tcPr>
          <w:p>
            <w:pPr>
              <w:spacing w:after="0"/>
              <w:rPr>
                <w:sz w:val="16"/>
                <w:szCs w:val="16"/>
                <w:color w:val="auto"/>
              </w:rPr>
            </w:pPr>
          </w:p>
        </w:tc>
        <w:tc>
          <w:tcPr>
            <w:tcW w:w="38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(1,013,309)</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220" w:type="dxa"/>
            <w:vAlign w:val="bottom"/>
          </w:tcPr>
          <w:p>
            <w:pPr>
              <w:spacing w:after="0"/>
              <w:rPr>
                <w:sz w:val="19"/>
                <w:szCs w:val="19"/>
                <w:color w:val="auto"/>
              </w:rPr>
            </w:pPr>
          </w:p>
        </w:tc>
        <w:tc>
          <w:tcPr>
            <w:tcW w:w="19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380" w:type="dxa"/>
            <w:vAlign w:val="bottom"/>
          </w:tcPr>
          <w:p>
            <w:pPr>
              <w:spacing w:after="0"/>
              <w:rPr>
                <w:sz w:val="19"/>
                <w:szCs w:val="19"/>
                <w:color w:val="auto"/>
              </w:rPr>
            </w:pPr>
          </w:p>
        </w:tc>
        <w:tc>
          <w:tcPr>
            <w:tcW w:w="1640" w:type="dxa"/>
            <w:vAlign w:val="bottom"/>
          </w:tcPr>
          <w:p>
            <w:pPr>
              <w:jc w:val="center"/>
              <w:ind w:right="324"/>
              <w:spacing w:after="0"/>
              <w:rPr>
                <w:sz w:val="20"/>
                <w:szCs w:val="20"/>
                <w:color w:val="auto"/>
              </w:rPr>
            </w:pPr>
            <w:r>
              <w:rPr>
                <w:rFonts w:ascii="Times New Roman" w:cs="Times New Roman" w:eastAsia="Times New Roman" w:hAnsi="Times New Roman"/>
                <w:sz w:val="12"/>
                <w:szCs w:val="12"/>
                <w:b w:val="1"/>
                <w:bCs w:val="1"/>
                <w:color w:val="auto"/>
              </w:rPr>
              <w:t>Period from</w:t>
            </w:r>
          </w:p>
        </w:tc>
        <w:tc>
          <w:tcPr>
            <w:tcW w:w="0" w:type="dxa"/>
            <w:vAlign w:val="bottom"/>
          </w:tcPr>
          <w:p>
            <w:pPr>
              <w:spacing w:after="0"/>
              <w:rPr>
                <w:sz w:val="1"/>
                <w:szCs w:val="1"/>
                <w:color w:val="auto"/>
              </w:rPr>
            </w:pPr>
          </w:p>
        </w:tc>
      </w:tr>
      <w:tr>
        <w:trPr>
          <w:trHeight w:val="127"/>
        </w:trPr>
        <w:tc>
          <w:tcPr>
            <w:tcW w:w="4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940" w:type="dxa"/>
            <w:vAlign w:val="bottom"/>
            <w:gridSpan w:val="2"/>
            <w:vMerge w:val="continue"/>
          </w:tcPr>
          <w:p>
            <w:pPr>
              <w:spacing w:after="0"/>
              <w:rPr>
                <w:sz w:val="11"/>
                <w:szCs w:val="11"/>
                <w:color w:val="auto"/>
              </w:rPr>
            </w:pPr>
          </w:p>
        </w:tc>
        <w:tc>
          <w:tcPr>
            <w:tcW w:w="202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July 22, 2021 through December 31,</w:t>
            </w:r>
          </w:p>
        </w:tc>
        <w:tc>
          <w:tcPr>
            <w:tcW w:w="0" w:type="dxa"/>
            <w:vAlign w:val="bottom"/>
          </w:tcPr>
          <w:p>
            <w:pPr>
              <w:spacing w:after="0"/>
              <w:rPr>
                <w:sz w:val="1"/>
                <w:szCs w:val="1"/>
                <w:color w:val="auto"/>
              </w:rPr>
            </w:pPr>
          </w:p>
        </w:tc>
      </w:tr>
      <w:tr>
        <w:trPr>
          <w:trHeight w:val="171"/>
        </w:trPr>
        <w:tc>
          <w:tcPr>
            <w:tcW w:w="4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220" w:type="dxa"/>
            <w:vAlign w:val="bottom"/>
          </w:tcPr>
          <w:p>
            <w:pPr>
              <w:spacing w:after="0"/>
              <w:rPr>
                <w:sz w:val="14"/>
                <w:szCs w:val="14"/>
                <w:color w:val="auto"/>
              </w:rPr>
            </w:pPr>
          </w:p>
        </w:tc>
        <w:tc>
          <w:tcPr>
            <w:tcW w:w="1940" w:type="dxa"/>
            <w:vAlign w:val="bottom"/>
            <w:gridSpan w:val="2"/>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380" w:type="dxa"/>
            <w:vAlign w:val="bottom"/>
          </w:tcPr>
          <w:p>
            <w:pPr>
              <w:spacing w:after="0"/>
              <w:rPr>
                <w:sz w:val="14"/>
                <w:szCs w:val="14"/>
                <w:color w:val="auto"/>
              </w:rPr>
            </w:pPr>
          </w:p>
        </w:tc>
        <w:tc>
          <w:tcPr>
            <w:tcW w:w="1640" w:type="dxa"/>
            <w:vAlign w:val="bottom"/>
          </w:tcPr>
          <w:p>
            <w:pPr>
              <w:jc w:val="center"/>
              <w:ind w:right="304"/>
              <w:spacing w:after="0"/>
              <w:rPr>
                <w:sz w:val="20"/>
                <w:szCs w:val="20"/>
                <w:color w:val="auto"/>
              </w:rPr>
            </w:pPr>
            <w:r>
              <w:rPr>
                <w:rFonts w:ascii="Times New Roman" w:cs="Times New Roman" w:eastAsia="Times New Roman" w:hAnsi="Times New Roman"/>
                <w:sz w:val="12"/>
                <w:szCs w:val="12"/>
                <w:b w:val="1"/>
                <w:bCs w:val="1"/>
                <w:color w:val="auto"/>
              </w:rPr>
              <w:t>2021</w:t>
            </w:r>
          </w:p>
        </w:tc>
        <w:tc>
          <w:tcPr>
            <w:tcW w:w="0" w:type="dxa"/>
            <w:vAlign w:val="bottom"/>
          </w:tcPr>
          <w:p>
            <w:pPr>
              <w:spacing w:after="0"/>
              <w:rPr>
                <w:sz w:val="1"/>
                <w:szCs w:val="1"/>
                <w:color w:val="auto"/>
              </w:rPr>
            </w:pPr>
          </w:p>
        </w:tc>
      </w:tr>
      <w:tr>
        <w:trPr>
          <w:trHeight w:val="220"/>
        </w:trPr>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per share – basic</w:t>
            </w:r>
          </w:p>
        </w:tc>
        <w:tc>
          <w:tcPr>
            <w:tcW w:w="30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4840" w:type="dxa"/>
            <w:vAlign w:val="bottom"/>
            <w:tcBorders>
              <w:bottom w:val="single" w:sz="8" w:color="CCEEFF"/>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0" w:type="dxa"/>
            <w:vAlign w:val="bottom"/>
            <w:tcBorders>
              <w:bottom w:val="single" w:sz="8" w:color="auto"/>
            </w:tcBorders>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per share – diluted</w:t>
            </w:r>
          </w:p>
        </w:tc>
        <w:tc>
          <w:tcPr>
            <w:tcW w:w="300" w:type="dxa"/>
            <w:vAlign w:val="bottom"/>
            <w:tcBorders>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14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5"/>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48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31,707</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24,635</w:t>
            </w: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25,035</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48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4"/>
        </w:trPr>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3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33,312</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24,747</w:t>
            </w:r>
          </w:p>
        </w:tc>
        <w:tc>
          <w:tcPr>
            <w:tcW w:w="1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25,035</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right="100"/>
        <w:spacing w:after="0" w:line="279" w:lineRule="auto"/>
        <w:rPr>
          <w:sz w:val="20"/>
          <w:szCs w:val="20"/>
          <w:color w:val="auto"/>
        </w:rPr>
      </w:pPr>
      <w:r>
        <w:rPr>
          <w:rFonts w:ascii="Times New Roman" w:cs="Times New Roman" w:eastAsia="Times New Roman" w:hAnsi="Times New Roman"/>
          <w:sz w:val="14"/>
          <w:szCs w:val="14"/>
          <w:i w:val="1"/>
          <w:iCs w:val="1"/>
          <w:color w:val="auto"/>
        </w:rPr>
        <w:t>As a result of the Transactions, the capital structure has changed and earnings per share information is only presented for the periods after the date of the Transactions. See Note 12 – Earnings Per Share.</w:t>
      </w:r>
    </w:p>
    <w:p>
      <w:pPr>
        <w:spacing w:after="0" w:line="200" w:lineRule="exact"/>
        <w:rPr>
          <w:sz w:val="20"/>
          <w:szCs w:val="20"/>
          <w:color w:val="auto"/>
        </w:rPr>
      </w:pPr>
    </w:p>
    <w:p>
      <w:pPr>
        <w:ind w:left="160" w:hanging="151"/>
        <w:spacing w:after="0"/>
        <w:tabs>
          <w:tab w:leader="none" w:pos="160" w:val="left"/>
        </w:tabs>
        <w:numPr>
          <w:ilvl w:val="0"/>
          <w:numId w:val="20"/>
        </w:numPr>
        <w:rPr>
          <w:rFonts w:ascii="Times New Roman" w:cs="Times New Roman" w:eastAsia="Times New Roman" w:hAnsi="Times New Roman"/>
          <w:sz w:val="18"/>
          <w:szCs w:val="18"/>
          <w:i w:val="1"/>
          <w:iCs w:val="1"/>
          <w:color w:val="auto"/>
          <w:vertAlign w:val="superscript"/>
        </w:rPr>
      </w:pPr>
      <w:r>
        <w:rPr>
          <w:rFonts w:ascii="Times New Roman" w:cs="Times New Roman" w:eastAsia="Times New Roman" w:hAnsi="Times New Roman"/>
          <w:sz w:val="14"/>
          <w:szCs w:val="14"/>
          <w:i w:val="1"/>
          <w:iCs w:val="1"/>
          <w:color w:val="auto"/>
        </w:rPr>
        <w:t>Included within cost of revenue, sales and marketing, and general and administrative expenses are stock-based compensation expenses as follows (see Note 11 – Stock-Based Compensation):</w:t>
      </w:r>
    </w:p>
    <w:p>
      <w:pPr>
        <w:spacing w:after="0" w:line="10" w:lineRule="exact"/>
        <w:rPr>
          <w:rFonts w:ascii="Times New Roman" w:cs="Times New Roman" w:eastAsia="Times New Roman" w:hAnsi="Times New Roman"/>
          <w:sz w:val="18"/>
          <w:szCs w:val="18"/>
          <w:i w:val="1"/>
          <w:iCs w:val="1"/>
          <w:color w:val="auto"/>
          <w:vertAlign w:val="superscript"/>
        </w:rPr>
      </w:pPr>
    </w:p>
    <w:p>
      <w:pPr>
        <w:ind w:left="7300"/>
        <w:spacing w:after="0"/>
        <w:rPr>
          <w:rFonts w:ascii="Times New Roman" w:cs="Times New Roman" w:eastAsia="Times New Roman" w:hAnsi="Times New Roman"/>
          <w:sz w:val="18"/>
          <w:szCs w:val="18"/>
          <w:i w:val="1"/>
          <w:iCs w:val="1"/>
          <w:color w:val="auto"/>
          <w:vertAlign w:val="superscript"/>
        </w:rPr>
      </w:pPr>
      <w:r>
        <w:rPr>
          <w:rFonts w:ascii="Times New Roman" w:cs="Times New Roman" w:eastAsia="Times New Roman" w:hAnsi="Times New Roman"/>
          <w:sz w:val="12"/>
          <w:szCs w:val="12"/>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40" w:type="dxa"/>
            <w:vAlign w:val="bottom"/>
            <w:tcBorders>
              <w:bottom w:val="single" w:sz="8" w:color="CCEEFF"/>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127"/>
              <w:spacing w:after="0"/>
              <w:rPr>
                <w:sz w:val="20"/>
                <w:szCs w:val="20"/>
                <w:color w:val="auto"/>
              </w:rPr>
            </w:pPr>
            <w:r>
              <w:rPr>
                <w:rFonts w:ascii="Times New Roman" w:cs="Times New Roman" w:eastAsia="Times New Roman" w:hAnsi="Times New Roman"/>
                <w:sz w:val="12"/>
                <w:szCs w:val="12"/>
                <w:b w:val="1"/>
                <w:bCs w:val="1"/>
                <w:color w:val="auto"/>
              </w:rPr>
              <w:t>2023</w:t>
            </w:r>
          </w:p>
        </w:tc>
        <w:tc>
          <w:tcPr>
            <w:tcW w:w="68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CCEEFF"/>
            </w:tcBorders>
          </w:tcPr>
          <w:p>
            <w:pPr>
              <w:spacing w:after="0"/>
              <w:rPr>
                <w:sz w:val="15"/>
                <w:szCs w:val="15"/>
                <w:color w:val="auto"/>
              </w:rPr>
            </w:pPr>
          </w:p>
        </w:tc>
        <w:tc>
          <w:tcPr>
            <w:tcW w:w="1380" w:type="dxa"/>
            <w:vAlign w:val="bottom"/>
            <w:tcBorders>
              <w:top w:val="single" w:sz="8" w:color="auto"/>
              <w:bottom w:val="single" w:sz="8" w:color="auto"/>
            </w:tcBorders>
          </w:tcPr>
          <w:p>
            <w:pPr>
              <w:jc w:val="right"/>
              <w:ind w:right="167"/>
              <w:spacing w:after="0"/>
              <w:rPr>
                <w:sz w:val="20"/>
                <w:szCs w:val="20"/>
                <w:color w:val="auto"/>
              </w:rPr>
            </w:pPr>
            <w:r>
              <w:rPr>
                <w:rFonts w:ascii="Times New Roman" w:cs="Times New Roman" w:eastAsia="Times New Roman" w:hAnsi="Times New Roman"/>
                <w:sz w:val="12"/>
                <w:szCs w:val="12"/>
                <w:b w:val="1"/>
                <w:bCs w:val="1"/>
                <w:color w:val="auto"/>
              </w:rPr>
              <w:t>2022</w:t>
            </w:r>
          </w:p>
        </w:tc>
        <w:tc>
          <w:tcPr>
            <w:tcW w:w="64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CCEEFF"/>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1540" w:type="dxa"/>
            <w:vAlign w:val="bottom"/>
            <w:tcBorders>
              <w:top w:val="single" w:sz="8" w:color="auto"/>
              <w:bottom w:val="single" w:sz="8" w:color="auto"/>
            </w:tcBorders>
          </w:tcPr>
          <w:p>
            <w:pPr>
              <w:jc w:val="right"/>
              <w:ind w:right="805"/>
              <w:spacing w:after="0"/>
              <w:rPr>
                <w:sz w:val="20"/>
                <w:szCs w:val="20"/>
                <w:color w:val="auto"/>
              </w:rPr>
            </w:pPr>
            <w:r>
              <w:rPr>
                <w:rFonts w:ascii="Times New Roman" w:cs="Times New Roman" w:eastAsia="Times New Roman" w:hAnsi="Times New Roman"/>
                <w:sz w:val="12"/>
                <w:szCs w:val="12"/>
                <w:b w:val="1"/>
                <w:bCs w:val="1"/>
                <w:color w:val="auto"/>
              </w:rPr>
              <w:t>2021</w:t>
            </w:r>
          </w:p>
        </w:tc>
      </w:tr>
      <w:tr>
        <w:trPr>
          <w:trHeight w:val="19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1320" w:type="dxa"/>
            <w:vAlign w:val="bottom"/>
            <w:shd w:val="clear" w:color="auto" w:fill="CCEEFF"/>
          </w:tcPr>
          <w:p>
            <w:pPr>
              <w:jc w:val="right"/>
              <w:ind w:right="1167"/>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2,922</w:t>
            </w: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207"/>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171,804</w:t>
            </w:r>
          </w:p>
        </w:tc>
      </w:tr>
      <w:tr>
        <w:trPr>
          <w:trHeight w:val="199"/>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13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3,185</w:t>
            </w: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2,209</w:t>
            </w: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48,098</w:t>
            </w:r>
          </w:p>
        </w:tc>
      </w:tr>
      <w:tr>
        <w:trPr>
          <w:trHeight w:val="199"/>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3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17,277</w:t>
            </w:r>
          </w:p>
        </w:tc>
        <w:tc>
          <w:tcPr>
            <w:tcW w:w="140" w:type="dxa"/>
            <w:vAlign w:val="bottom"/>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4,864</w:t>
            </w:r>
          </w:p>
        </w:tc>
        <w:tc>
          <w:tcPr>
            <w:tcW w:w="14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843,449</w:t>
            </w:r>
          </w:p>
        </w:tc>
      </w:tr>
      <w:tr>
        <w:trPr>
          <w:trHeight w:val="190"/>
        </w:trPr>
        <w:tc>
          <w:tcPr>
            <w:tcW w:w="4840" w:type="dxa"/>
            <w:vAlign w:val="bottom"/>
          </w:tcPr>
          <w:p>
            <w:pPr>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1320" w:type="dxa"/>
            <w:vAlign w:val="bottom"/>
            <w:tcBorders>
              <w:bottom w:val="single" w:sz="8" w:color="auto"/>
            </w:tcBorders>
          </w:tcPr>
          <w:p>
            <w:pPr>
              <w:jc w:val="right"/>
              <w:ind w:right="1167"/>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23,384</w:t>
            </w:r>
          </w:p>
        </w:tc>
        <w:tc>
          <w:tcPr>
            <w:tcW w:w="140" w:type="dxa"/>
            <w:vAlign w:val="bottom"/>
          </w:tcPr>
          <w:p>
            <w:pPr>
              <w:spacing w:after="0"/>
              <w:rPr>
                <w:sz w:val="16"/>
                <w:szCs w:val="16"/>
                <w:color w:val="auto"/>
              </w:rPr>
            </w:pPr>
          </w:p>
        </w:tc>
        <w:tc>
          <w:tcPr>
            <w:tcW w:w="1380" w:type="dxa"/>
            <w:vAlign w:val="bottom"/>
            <w:tcBorders>
              <w:bottom w:val="single" w:sz="8" w:color="auto"/>
            </w:tcBorders>
          </w:tcPr>
          <w:p>
            <w:pPr>
              <w:jc w:val="right"/>
              <w:ind w:right="1207"/>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9,045</w:t>
            </w:r>
          </w:p>
        </w:tc>
        <w:tc>
          <w:tcPr>
            <w:tcW w:w="140" w:type="dxa"/>
            <w:vAlign w:val="bottom"/>
          </w:tcPr>
          <w:p>
            <w:pPr>
              <w:spacing w:after="0"/>
              <w:rPr>
                <w:sz w:val="16"/>
                <w:szCs w:val="16"/>
                <w:color w:val="auto"/>
              </w:rPr>
            </w:pPr>
          </w:p>
        </w:tc>
        <w:tc>
          <w:tcPr>
            <w:tcW w:w="4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1,063,351</w:t>
            </w:r>
          </w:p>
        </w:tc>
      </w:tr>
      <w:tr>
        <w:trPr>
          <w:trHeight w:val="20"/>
        </w:trPr>
        <w:tc>
          <w:tcPr>
            <w:tcW w:w="48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160" w:hanging="151"/>
        <w:spacing w:after="0"/>
        <w:tabs>
          <w:tab w:leader="none" w:pos="160" w:val="left"/>
        </w:tabs>
        <w:numPr>
          <w:ilvl w:val="0"/>
          <w:numId w:val="21"/>
        </w:numPr>
        <w:rPr>
          <w:rFonts w:ascii="Times New Roman" w:cs="Times New Roman" w:eastAsia="Times New Roman" w:hAnsi="Times New Roman"/>
          <w:sz w:val="18"/>
          <w:szCs w:val="18"/>
          <w:i w:val="1"/>
          <w:iCs w:val="1"/>
          <w:color w:val="auto"/>
          <w:vertAlign w:val="superscript"/>
        </w:rPr>
      </w:pPr>
      <w:r>
        <w:rPr>
          <w:rFonts w:ascii="Times New Roman" w:cs="Times New Roman" w:eastAsia="Times New Roman" w:hAnsi="Times New Roman"/>
          <w:sz w:val="14"/>
          <w:szCs w:val="14"/>
          <w:i w:val="1"/>
          <w:iCs w:val="1"/>
          <w:color w:val="auto"/>
        </w:rPr>
        <w:t>Cost of revenue, sales and marketing, general and administrative, and research and development expenses are exclusive of depreciation and amortization shown as a separate line item</w:t>
      </w:r>
    </w:p>
    <w:p>
      <w:pPr>
        <w:spacing w:after="0" w:line="208" w:lineRule="exact"/>
        <w:rPr>
          <w:rFonts w:ascii="Times New Roman" w:cs="Times New Roman" w:eastAsia="Times New Roman" w:hAnsi="Times New Roman"/>
          <w:sz w:val="18"/>
          <w:szCs w:val="18"/>
          <w:i w:val="1"/>
          <w:iCs w:val="1"/>
          <w:color w:val="auto"/>
          <w:vertAlign w:val="superscript"/>
        </w:rPr>
      </w:pPr>
    </w:p>
    <w:p>
      <w:pPr>
        <w:ind w:left="2880"/>
        <w:spacing w:after="0"/>
        <w:rPr>
          <w:rFonts w:ascii="Times New Roman" w:cs="Times New Roman" w:eastAsia="Times New Roman" w:hAnsi="Times New Roman"/>
          <w:sz w:val="18"/>
          <w:szCs w:val="18"/>
          <w:i w:val="1"/>
          <w:iCs w:val="1"/>
          <w:color w:val="auto"/>
          <w:vertAlign w:val="superscript"/>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-364490</wp:posOffset>
            </wp:positionV>
            <wp:extent cx="7150735" cy="1187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0735" cy="11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72" w:name="page73"/>
    <w:bookmarkEnd w:id="72"/>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MARKETWISE, INC.</w:t>
      </w:r>
    </w:p>
    <w:p>
      <w:pPr>
        <w:spacing w:after="0" w:line="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Consolidated Statements of Comprehensive Income (Loss)</w:t>
      </w:r>
    </w:p>
    <w:p>
      <w:pPr>
        <w:spacing w:after="0" w:line="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5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0"/>
        </w:trPr>
        <w:tc>
          <w:tcPr>
            <w:tcW w:w="47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62"/>
        </w:trPr>
        <w:tc>
          <w:tcPr>
            <w:tcW w:w="47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2"/>
                <w:szCs w:val="12"/>
                <w:b w:val="1"/>
                <w:bCs w:val="1"/>
                <w:color w:val="auto"/>
              </w:rPr>
              <w:t>2023</w:t>
            </w: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826"/>
              <w:spacing w:after="0"/>
              <w:rPr>
                <w:sz w:val="20"/>
                <w:szCs w:val="20"/>
                <w:color w:val="auto"/>
              </w:rPr>
            </w:pPr>
            <w:r>
              <w:rPr>
                <w:rFonts w:ascii="Times New Roman" w:cs="Times New Roman" w:eastAsia="Times New Roman" w:hAnsi="Times New Roman"/>
                <w:sz w:val="12"/>
                <w:szCs w:val="12"/>
                <w:b w:val="1"/>
                <w:bCs w:val="1"/>
                <w:color w:val="auto"/>
              </w:rPr>
              <w:t>2021</w:t>
            </w:r>
          </w:p>
        </w:tc>
      </w:tr>
      <w:tr>
        <w:trPr>
          <w:trHeight w:val="196"/>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360" w:type="dxa"/>
            <w:vAlign w:val="bottom"/>
            <w:shd w:val="clear" w:color="auto" w:fill="CCEEFF"/>
          </w:tcPr>
          <w:p>
            <w:pPr>
              <w:jc w:val="right"/>
              <w:ind w:right="1187"/>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54,295</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101,170</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(953,883)</w:t>
            </w:r>
          </w:p>
        </w:tc>
      </w:tr>
      <w:tr>
        <w:trPr>
          <w:trHeight w:val="199"/>
        </w:trPr>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199"/>
        </w:trPr>
        <w:tc>
          <w:tcPr>
            <w:tcW w:w="4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Cumulative translation adjustment</w:t>
            </w:r>
          </w:p>
        </w:tc>
        <w:tc>
          <w:tcPr>
            <w:tcW w:w="13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190"/>
        </w:trPr>
        <w:tc>
          <w:tcPr>
            <w:tcW w:w="4780" w:type="dxa"/>
            <w:vAlign w:val="bottom"/>
          </w:tcPr>
          <w:p>
            <w:pPr>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1360" w:type="dxa"/>
            <w:vAlign w:val="bottom"/>
            <w:tcBorders>
              <w:bottom w:val="single" w:sz="8" w:color="auto"/>
            </w:tcBorders>
          </w:tcPr>
          <w:p>
            <w:pPr>
              <w:jc w:val="right"/>
              <w:ind w:right="1187"/>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54,316</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101,223</w:t>
            </w:r>
          </w:p>
        </w:tc>
        <w:tc>
          <w:tcPr>
            <w:tcW w:w="100" w:type="dxa"/>
            <w:vAlign w:val="bottom"/>
          </w:tcPr>
          <w:p>
            <w:pPr>
              <w:spacing w:after="0"/>
              <w:rPr>
                <w:sz w:val="16"/>
                <w:szCs w:val="16"/>
                <w:color w:val="auto"/>
              </w:rPr>
            </w:pPr>
          </w:p>
        </w:tc>
        <w:tc>
          <w:tcPr>
            <w:tcW w:w="50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(953,984)</w:t>
            </w:r>
          </w:p>
        </w:tc>
      </w:tr>
      <w:tr>
        <w:trPr>
          <w:trHeight w:val="20"/>
        </w:trPr>
        <w:tc>
          <w:tcPr>
            <w:tcW w:w="47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73" w:name="page74"/>
    <w:bookmarkEnd w:id="73"/>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MARKETWISE, INC.</w:t>
      </w:r>
    </w:p>
    <w:p>
      <w:pPr>
        <w:spacing w:after="0" w:line="2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Deficit / Members’ Deficit</w:t>
      </w:r>
    </w:p>
    <w:p>
      <w:pPr>
        <w:spacing w:after="0" w:line="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i w:val="1"/>
          <w:iCs w:val="1"/>
          <w:color w:val="auto"/>
        </w:rPr>
        <w:t>(In thousands, except share and unit data)</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center"/>
              <w:ind w:right="60"/>
              <w:spacing w:after="0" w:line="128"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jc w:val="center"/>
              <w:ind w:right="60"/>
              <w:spacing w:after="0" w:line="119" w:lineRule="exact"/>
              <w:rPr>
                <w:sz w:val="20"/>
                <w:szCs w:val="20"/>
                <w:color w:val="auto"/>
              </w:rPr>
            </w:pPr>
            <w:r>
              <w:rPr>
                <w:rFonts w:ascii="Times New Roman" w:cs="Times New Roman" w:eastAsia="Times New Roman" w:hAnsi="Times New Roman"/>
                <w:sz w:val="12"/>
                <w:szCs w:val="12"/>
                <w:b w:val="1"/>
                <w:bCs w:val="1"/>
                <w:color w:val="auto"/>
              </w:rPr>
              <w:t>Deficit /</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center"/>
              <w:ind w:right="60"/>
              <w:spacing w:after="0" w:line="129" w:lineRule="exact"/>
              <w:rPr>
                <w:sz w:val="20"/>
                <w:szCs w:val="20"/>
                <w:color w:val="auto"/>
              </w:rPr>
            </w:pPr>
            <w:r>
              <w:rPr>
                <w:rFonts w:ascii="Times New Roman" w:cs="Times New Roman" w:eastAsia="Times New Roman" w:hAnsi="Times New Roman"/>
                <w:sz w:val="12"/>
                <w:szCs w:val="12"/>
                <w:b w:val="1"/>
                <w:bCs w:val="1"/>
                <w:color w:val="auto"/>
              </w:rPr>
              <w:t>Members’</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7"/>
        </w:trPr>
        <w:tc>
          <w:tcPr>
            <w:tcW w:w="1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center"/>
              <w:ind w:right="60"/>
              <w:spacing w:after="0" w:line="128" w:lineRule="exact"/>
              <w:rPr>
                <w:sz w:val="20"/>
                <w:szCs w:val="20"/>
                <w:color w:val="auto"/>
              </w:rPr>
            </w:pPr>
            <w:r>
              <w:rPr>
                <w:rFonts w:ascii="Times New Roman" w:cs="Times New Roman" w:eastAsia="Times New Roman" w:hAnsi="Times New Roman"/>
                <w:sz w:val="12"/>
                <w:szCs w:val="12"/>
                <w:b w:val="1"/>
                <w:bCs w:val="1"/>
                <w:color w:val="auto"/>
                <w:w w:val="99"/>
              </w:rPr>
              <w:t>Deficit</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420" w:type="dxa"/>
            <w:vAlign w:val="bottom"/>
            <w:gridSpan w:val="4"/>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Class A Members’ units</w:t>
            </w:r>
          </w:p>
        </w:tc>
        <w:tc>
          <w:tcPr>
            <w:tcW w:w="1300" w:type="dxa"/>
            <w:vAlign w:val="bottom"/>
            <w:gridSpan w:val="4"/>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Common Stock - Class</w:t>
            </w:r>
          </w:p>
        </w:tc>
        <w:tc>
          <w:tcPr>
            <w:tcW w:w="1380" w:type="dxa"/>
            <w:vAlign w:val="bottom"/>
            <w:gridSpan w:val="4"/>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Common Stock - Class</w:t>
            </w: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Preferred Stock</w:t>
            </w: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840" w:type="dxa"/>
            <w:vAlign w:val="bottom"/>
            <w:gridSpan w:val="2"/>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Attributable</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1420" w:type="dxa"/>
            <w:vAlign w:val="bottom"/>
            <w:gridSpan w:val="4"/>
            <w:vMerge w:val="continue"/>
          </w:tcPr>
          <w:p>
            <w:pPr>
              <w:spacing w:after="0"/>
              <w:rPr>
                <w:sz w:val="10"/>
                <w:szCs w:val="10"/>
                <w:color w:val="auto"/>
              </w:rPr>
            </w:pPr>
          </w:p>
        </w:tc>
        <w:tc>
          <w:tcPr>
            <w:tcW w:w="760" w:type="dxa"/>
            <w:vAlign w:val="bottom"/>
            <w:gridSpan w:val="2"/>
          </w:tcPr>
          <w:p>
            <w:pPr>
              <w:ind w:left="580"/>
              <w:spacing w:after="0" w:line="117" w:lineRule="exact"/>
              <w:rPr>
                <w:sz w:val="20"/>
                <w:szCs w:val="20"/>
                <w:color w:val="auto"/>
              </w:rPr>
            </w:pPr>
            <w:r>
              <w:rPr>
                <w:rFonts w:ascii="Times New Roman" w:cs="Times New Roman" w:eastAsia="Times New Roman" w:hAnsi="Times New Roman"/>
                <w:sz w:val="12"/>
                <w:szCs w:val="12"/>
                <w:b w:val="1"/>
                <w:bCs w:val="1"/>
                <w:color w:val="auto"/>
              </w:rPr>
              <w:t>A</w:t>
            </w: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2"/>
          </w:tcPr>
          <w:p>
            <w:pPr>
              <w:jc w:val="center"/>
              <w:ind w:left="411"/>
              <w:spacing w:after="0" w:line="117" w:lineRule="exact"/>
              <w:rPr>
                <w:sz w:val="20"/>
                <w:szCs w:val="20"/>
                <w:color w:val="auto"/>
              </w:rPr>
            </w:pPr>
            <w:r>
              <w:rPr>
                <w:rFonts w:ascii="Times New Roman" w:cs="Times New Roman" w:eastAsia="Times New Roman" w:hAnsi="Times New Roman"/>
                <w:sz w:val="12"/>
                <w:szCs w:val="12"/>
                <w:b w:val="1"/>
                <w:bCs w:val="1"/>
                <w:color w:val="auto"/>
                <w:w w:val="99"/>
              </w:rPr>
              <w:t>B</w:t>
            </w: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4"/>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center"/>
              <w:ind w:right="80"/>
              <w:spacing w:after="0" w:line="117" w:lineRule="exact"/>
              <w:rPr>
                <w:sz w:val="20"/>
                <w:szCs w:val="20"/>
                <w:color w:val="auto"/>
              </w:rPr>
            </w:pPr>
            <w:r>
              <w:rPr>
                <w:rFonts w:ascii="Times New Roman" w:cs="Times New Roman" w:eastAsia="Times New Roman" w:hAnsi="Times New Roman"/>
                <w:sz w:val="12"/>
                <w:szCs w:val="12"/>
                <w:b w:val="1"/>
                <w:bCs w:val="1"/>
                <w:color w:val="auto"/>
              </w:rPr>
              <w:t>Other</w:t>
            </w:r>
          </w:p>
        </w:tc>
        <w:tc>
          <w:tcPr>
            <w:tcW w:w="840" w:type="dxa"/>
            <w:vAlign w:val="bottom"/>
            <w:gridSpan w:val="2"/>
          </w:tcPr>
          <w:p>
            <w:pPr>
              <w:jc w:val="center"/>
              <w:ind w:right="60"/>
              <w:spacing w:after="0" w:line="117" w:lineRule="exact"/>
              <w:rPr>
                <w:sz w:val="20"/>
                <w:szCs w:val="20"/>
                <w:color w:val="auto"/>
              </w:rPr>
            </w:pPr>
            <w:r>
              <w:rPr>
                <w:rFonts w:ascii="Times New Roman" w:cs="Times New Roman" w:eastAsia="Times New Roman" w:hAnsi="Times New Roman"/>
                <w:sz w:val="12"/>
                <w:szCs w:val="12"/>
                <w:b w:val="1"/>
                <w:bCs w:val="1"/>
                <w:color w:val="auto"/>
                <w:w w:val="99"/>
              </w:rPr>
              <w:t>to</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rPr>
              <w:t>Deficit /</w:t>
            </w:r>
          </w:p>
        </w:tc>
        <w:tc>
          <w:tcPr>
            <w:tcW w:w="0" w:type="dxa"/>
            <w:vAlign w:val="bottom"/>
          </w:tcPr>
          <w:p>
            <w:pPr>
              <w:spacing w:after="0"/>
              <w:rPr>
                <w:sz w:val="1"/>
                <w:szCs w:val="1"/>
                <w:color w:val="auto"/>
              </w:rPr>
            </w:pPr>
          </w:p>
        </w:tc>
      </w:tr>
      <w:tr>
        <w:trPr>
          <w:trHeight w:val="58"/>
        </w:trPr>
        <w:tc>
          <w:tcPr>
            <w:tcW w:w="122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gridSpan w:val="2"/>
          </w:tcPr>
          <w:p>
            <w:pPr>
              <w:jc w:val="center"/>
              <w:ind w:right="80"/>
              <w:spacing w:after="0" w:line="59" w:lineRule="exact"/>
              <w:rPr>
                <w:sz w:val="20"/>
                <w:szCs w:val="20"/>
                <w:color w:val="auto"/>
              </w:rPr>
            </w:pPr>
            <w:r>
              <w:rPr>
                <w:rFonts w:ascii="Times New Roman" w:cs="Times New Roman" w:eastAsia="Times New Roman" w:hAnsi="Times New Roman"/>
                <w:sz w:val="6"/>
                <w:szCs w:val="6"/>
                <w:b w:val="1"/>
                <w:bCs w:val="1"/>
                <w:color w:val="auto"/>
              </w:rPr>
              <w:t>paid-in</w:t>
            </w:r>
          </w:p>
        </w:tc>
        <w:tc>
          <w:tcPr>
            <w:tcW w:w="820" w:type="dxa"/>
            <w:vAlign w:val="bottom"/>
            <w:gridSpan w:val="2"/>
          </w:tcPr>
          <w:p>
            <w:pPr>
              <w:jc w:val="right"/>
              <w:ind w:right="100"/>
              <w:spacing w:after="0" w:line="59" w:lineRule="exact"/>
              <w:rPr>
                <w:sz w:val="20"/>
                <w:szCs w:val="20"/>
                <w:color w:val="auto"/>
              </w:rPr>
            </w:pPr>
            <w:r>
              <w:rPr>
                <w:rFonts w:ascii="Times New Roman" w:cs="Times New Roman" w:eastAsia="Times New Roman" w:hAnsi="Times New Roman"/>
                <w:sz w:val="6"/>
                <w:szCs w:val="6"/>
                <w:b w:val="1"/>
                <w:bCs w:val="1"/>
                <w:color w:val="auto"/>
              </w:rPr>
              <w:t>Accumulated</w:t>
            </w:r>
          </w:p>
        </w:tc>
        <w:tc>
          <w:tcPr>
            <w:tcW w:w="920" w:type="dxa"/>
            <w:vAlign w:val="bottom"/>
            <w:gridSpan w:val="2"/>
          </w:tcPr>
          <w:p>
            <w:pPr>
              <w:jc w:val="center"/>
              <w:ind w:right="60"/>
              <w:spacing w:after="0" w:line="59" w:lineRule="exact"/>
              <w:rPr>
                <w:sz w:val="20"/>
                <w:szCs w:val="20"/>
                <w:color w:val="auto"/>
              </w:rPr>
            </w:pPr>
            <w:r>
              <w:rPr>
                <w:rFonts w:ascii="Times New Roman" w:cs="Times New Roman" w:eastAsia="Times New Roman" w:hAnsi="Times New Roman"/>
                <w:sz w:val="6"/>
                <w:szCs w:val="6"/>
                <w:b w:val="1"/>
                <w:bCs w:val="1"/>
                <w:color w:val="auto"/>
              </w:rPr>
              <w:t>Comprehensive</w:t>
            </w:r>
          </w:p>
        </w:tc>
        <w:tc>
          <w:tcPr>
            <w:tcW w:w="840" w:type="dxa"/>
            <w:vAlign w:val="bottom"/>
            <w:gridSpan w:val="2"/>
          </w:tcPr>
          <w:p>
            <w:pPr>
              <w:jc w:val="center"/>
              <w:ind w:right="60"/>
              <w:spacing w:after="0" w:line="59" w:lineRule="exact"/>
              <w:rPr>
                <w:sz w:val="20"/>
                <w:szCs w:val="20"/>
                <w:color w:val="auto"/>
              </w:rPr>
            </w:pPr>
            <w:r>
              <w:rPr>
                <w:rFonts w:ascii="Times New Roman" w:cs="Times New Roman" w:eastAsia="Times New Roman" w:hAnsi="Times New Roman"/>
                <w:sz w:val="6"/>
                <w:szCs w:val="6"/>
                <w:b w:val="1"/>
                <w:bCs w:val="1"/>
                <w:color w:val="auto"/>
              </w:rPr>
              <w:t>MarketWise,</w:t>
            </w:r>
          </w:p>
        </w:tc>
        <w:tc>
          <w:tcPr>
            <w:tcW w:w="920" w:type="dxa"/>
            <w:vAlign w:val="bottom"/>
            <w:gridSpan w:val="2"/>
          </w:tcPr>
          <w:p>
            <w:pPr>
              <w:ind w:left="20"/>
              <w:spacing w:after="0" w:line="59" w:lineRule="exact"/>
              <w:rPr>
                <w:sz w:val="20"/>
                <w:szCs w:val="20"/>
                <w:color w:val="auto"/>
              </w:rPr>
            </w:pPr>
            <w:r>
              <w:rPr>
                <w:rFonts w:ascii="Times New Roman" w:cs="Times New Roman" w:eastAsia="Times New Roman" w:hAnsi="Times New Roman"/>
                <w:sz w:val="6"/>
                <w:szCs w:val="6"/>
                <w:b w:val="1"/>
                <w:bCs w:val="1"/>
                <w:color w:val="auto"/>
              </w:rPr>
              <w:t>Noncontrolling</w:t>
            </w:r>
          </w:p>
        </w:tc>
        <w:tc>
          <w:tcPr>
            <w:tcW w:w="760" w:type="dxa"/>
            <w:vAlign w:val="bottom"/>
          </w:tcPr>
          <w:p>
            <w:pPr>
              <w:jc w:val="center"/>
              <w:spacing w:after="0" w:line="59" w:lineRule="exact"/>
              <w:rPr>
                <w:sz w:val="20"/>
                <w:szCs w:val="20"/>
                <w:color w:val="auto"/>
              </w:rPr>
            </w:pPr>
            <w:r>
              <w:rPr>
                <w:rFonts w:ascii="Times New Roman" w:cs="Times New Roman" w:eastAsia="Times New Roman" w:hAnsi="Times New Roman"/>
                <w:sz w:val="6"/>
                <w:szCs w:val="6"/>
                <w:b w:val="1"/>
                <w:bCs w:val="1"/>
                <w:color w:val="auto"/>
              </w:rPr>
              <w:t>Members’</w:t>
            </w:r>
          </w:p>
        </w:tc>
        <w:tc>
          <w:tcPr>
            <w:tcW w:w="0" w:type="dxa"/>
            <w:vAlign w:val="bottom"/>
          </w:tcPr>
          <w:p>
            <w:pPr>
              <w:spacing w:after="0"/>
              <w:rPr>
                <w:sz w:val="1"/>
                <w:szCs w:val="1"/>
                <w:color w:val="auto"/>
              </w:rPr>
            </w:pPr>
          </w:p>
        </w:tc>
      </w:tr>
      <w:tr>
        <w:trPr>
          <w:trHeight w:val="186"/>
        </w:trPr>
        <w:tc>
          <w:tcPr>
            <w:tcW w:w="12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6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8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6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Inc.</w:t>
            </w:r>
          </w:p>
        </w:tc>
        <w:tc>
          <w:tcPr>
            <w:tcW w:w="6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0" w:type="dxa"/>
            <w:vAlign w:val="bottom"/>
          </w:tcPr>
          <w:p>
            <w:pPr>
              <w:spacing w:after="0"/>
              <w:rPr>
                <w:sz w:val="1"/>
                <w:szCs w:val="1"/>
                <w:color w:val="auto"/>
              </w:rPr>
            </w:pPr>
          </w:p>
        </w:tc>
      </w:tr>
      <w:tr>
        <w:trPr>
          <w:trHeight w:val="125"/>
        </w:trPr>
        <w:tc>
          <w:tcPr>
            <w:tcW w:w="122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4"/>
                <w:szCs w:val="14"/>
                <w:b w:val="1"/>
                <w:bCs w:val="1"/>
                <w:color w:val="auto"/>
              </w:rPr>
              <w:t>Balance at January</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547,466</w:t>
            </w:r>
          </w:p>
        </w:tc>
        <w:tc>
          <w:tcPr>
            <w:tcW w:w="8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(914,728)</w:t>
            </w:r>
          </w:p>
        </w:tc>
        <w:tc>
          <w:tcPr>
            <w:tcW w:w="80" w:type="dxa"/>
            <w:vAlign w:val="bottom"/>
            <w:shd w:val="clear" w:color="auto" w:fill="CCEEFF"/>
          </w:tcPr>
          <w:p>
            <w:pPr>
              <w:spacing w:after="0"/>
              <w:rPr>
                <w:sz w:val="10"/>
                <w:szCs w:val="10"/>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6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(914,745)</w:t>
            </w:r>
          </w:p>
        </w:tc>
        <w:tc>
          <w:tcPr>
            <w:tcW w:w="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(5,865)</w:t>
            </w:r>
          </w:p>
        </w:tc>
        <w:tc>
          <w:tcPr>
            <w:tcW w:w="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(920,610)</w:t>
            </w:r>
          </w:p>
        </w:tc>
        <w:tc>
          <w:tcPr>
            <w:tcW w:w="0" w:type="dxa"/>
            <w:vAlign w:val="bottom"/>
          </w:tcPr>
          <w:p>
            <w:pPr>
              <w:spacing w:after="0"/>
              <w:rPr>
                <w:sz w:val="1"/>
                <w:szCs w:val="1"/>
                <w:color w:val="auto"/>
              </w:rPr>
            </w:pPr>
          </w:p>
        </w:tc>
      </w:tr>
      <w:tr>
        <w:trPr>
          <w:trHeight w:val="187"/>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1, 2021</w:t>
            </w: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22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Activity prior to the</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220" w:type="dxa"/>
            <w:vAlign w:val="bottom"/>
          </w:tcPr>
          <w:p>
            <w:pPr>
              <w:spacing w:after="0"/>
              <w:rPr>
                <w:sz w:val="20"/>
                <w:szCs w:val="20"/>
                <w:color w:val="auto"/>
              </w:rPr>
            </w:pPr>
            <w:r>
              <w:rPr>
                <w:rFonts w:ascii="Times New Roman" w:cs="Times New Roman" w:eastAsia="Times New Roman" w:hAnsi="Times New Roman"/>
                <w:sz w:val="14"/>
                <w:szCs w:val="14"/>
                <w:color w:val="auto"/>
              </w:rPr>
              <w:t>Transactions:</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22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Class A units</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20" w:type="dxa"/>
            <w:vAlign w:val="bottom"/>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transferred to</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(18,947)</w:t>
            </w:r>
          </w:p>
        </w:tc>
        <w:tc>
          <w:tcPr>
            <w:tcW w:w="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1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Class B</w:t>
            </w:r>
          </w:p>
        </w:tc>
        <w:tc>
          <w:tcPr>
            <w:tcW w:w="5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220" w:type="dxa"/>
            <w:vAlign w:val="bottom"/>
          </w:tcPr>
          <w:p>
            <w:pPr>
              <w:ind w:left="140"/>
              <w:spacing w:after="0" w:line="141" w:lineRule="exact"/>
              <w:rPr>
                <w:sz w:val="20"/>
                <w:szCs w:val="20"/>
                <w:color w:val="auto"/>
              </w:rPr>
            </w:pPr>
            <w:r>
              <w:rPr>
                <w:rFonts w:ascii="Times New Roman" w:cs="Times New Roman" w:eastAsia="Times New Roman" w:hAnsi="Times New Roman"/>
                <w:sz w:val="14"/>
                <w:szCs w:val="14"/>
                <w:color w:val="auto"/>
              </w:rPr>
              <w:t>Acquisition of</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0" w:type="dxa"/>
            <w:vAlign w:val="bottom"/>
          </w:tcPr>
          <w:p>
            <w:pPr>
              <w:spacing w:after="0"/>
              <w:rPr>
                <w:sz w:val="1"/>
                <w:szCs w:val="1"/>
                <w:color w:val="auto"/>
              </w:rPr>
            </w:pPr>
          </w:p>
        </w:tc>
      </w:tr>
      <w:tr>
        <w:trPr>
          <w:trHeight w:val="185"/>
        </w:trPr>
        <w:tc>
          <w:tcPr>
            <w:tcW w:w="1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Chaikin</w:t>
            </w:r>
          </w:p>
        </w:tc>
        <w:tc>
          <w:tcPr>
            <w:tcW w:w="66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22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Foreign currency</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20" w:type="dxa"/>
            <w:vAlign w:val="bottom"/>
            <w:shd w:val="clear" w:color="auto" w:fill="CCEEFF"/>
          </w:tcPr>
          <w:p>
            <w:pPr>
              <w:ind w:left="280"/>
              <w:spacing w:after="0" w:line="141" w:lineRule="exact"/>
              <w:rPr>
                <w:sz w:val="20"/>
                <w:szCs w:val="20"/>
                <w:color w:val="auto"/>
              </w:rPr>
            </w:pPr>
            <w:r>
              <w:rPr>
                <w:rFonts w:ascii="Times New Roman" w:cs="Times New Roman" w:eastAsia="Times New Roman" w:hAnsi="Times New Roman"/>
                <w:sz w:val="14"/>
                <w:szCs w:val="14"/>
                <w:color w:val="auto"/>
              </w:rPr>
              <w:t>translation</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87"/>
        </w:trPr>
        <w:tc>
          <w:tcPr>
            <w:tcW w:w="1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adjustments</w:t>
            </w:r>
          </w:p>
        </w:tc>
        <w:tc>
          <w:tcPr>
            <w:tcW w:w="66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Distributions</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(15,098)</w:t>
            </w:r>
          </w:p>
        </w:tc>
        <w:tc>
          <w:tcPr>
            <w:tcW w:w="80" w:type="dxa"/>
            <w:vAlign w:val="bottom"/>
          </w:tcPr>
          <w:p>
            <w:pPr>
              <w:spacing w:after="0"/>
              <w:rPr>
                <w:sz w:val="16"/>
                <w:szCs w:val="16"/>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(15,098)</w:t>
            </w:r>
          </w:p>
        </w:tc>
        <w:tc>
          <w:tcPr>
            <w:tcW w:w="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(15,929)</w:t>
            </w:r>
          </w:p>
        </w:tc>
        <w:tc>
          <w:tcPr>
            <w:tcW w:w="0" w:type="dxa"/>
            <w:vAlign w:val="bottom"/>
          </w:tcPr>
          <w:p>
            <w:pPr>
              <w:spacing w:after="0"/>
              <w:rPr>
                <w:sz w:val="1"/>
                <w:szCs w:val="1"/>
                <w:color w:val="auto"/>
              </w:rPr>
            </w:pPr>
          </w:p>
        </w:tc>
      </w:tr>
      <w:tr>
        <w:trPr>
          <w:trHeight w:val="142"/>
        </w:trPr>
        <w:tc>
          <w:tcPr>
            <w:tcW w:w="122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Distributions</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20" w:type="dxa"/>
            <w:vAlign w:val="bottom"/>
            <w:shd w:val="clear" w:color="auto" w:fill="CCEEFF"/>
          </w:tcPr>
          <w:p>
            <w:pPr>
              <w:ind w:left="280"/>
              <w:spacing w:after="0" w:line="141" w:lineRule="exact"/>
              <w:rPr>
                <w:sz w:val="20"/>
                <w:szCs w:val="20"/>
                <w:color w:val="auto"/>
              </w:rPr>
            </w:pPr>
            <w:r>
              <w:rPr>
                <w:rFonts w:ascii="Times New Roman" w:cs="Times New Roman" w:eastAsia="Times New Roman" w:hAnsi="Times New Roman"/>
                <w:sz w:val="14"/>
                <w:szCs w:val="14"/>
                <w:color w:val="auto"/>
              </w:rPr>
              <w:t>related to the</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(120,353)</w:t>
            </w:r>
          </w:p>
        </w:tc>
        <w:tc>
          <w:tcPr>
            <w:tcW w:w="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(120,353)</w:t>
            </w:r>
          </w:p>
        </w:tc>
        <w:tc>
          <w:tcPr>
            <w:tcW w:w="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(120,353)</w:t>
            </w:r>
          </w:p>
        </w:tc>
        <w:tc>
          <w:tcPr>
            <w:tcW w:w="0" w:type="dxa"/>
            <w:vAlign w:val="bottom"/>
          </w:tcPr>
          <w:p>
            <w:pPr>
              <w:spacing w:after="0"/>
              <w:rPr>
                <w:sz w:val="1"/>
                <w:szCs w:val="1"/>
                <w:color w:val="auto"/>
              </w:rPr>
            </w:pPr>
          </w:p>
        </w:tc>
      </w:tr>
      <w:tr>
        <w:trPr>
          <w:trHeight w:val="187"/>
        </w:trPr>
        <w:tc>
          <w:tcPr>
            <w:tcW w:w="1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recapitalization</w:t>
            </w:r>
          </w:p>
        </w:tc>
        <w:tc>
          <w:tcPr>
            <w:tcW w:w="660" w:type="dxa"/>
            <w:vAlign w:val="bottom"/>
            <w:gridSpan w:val="2"/>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220" w:type="dxa"/>
            <w:vAlign w:val="bottom"/>
          </w:tcPr>
          <w:p>
            <w:pPr>
              <w:ind w:left="140"/>
              <w:spacing w:after="0" w:line="141" w:lineRule="exact"/>
              <w:rPr>
                <w:sz w:val="20"/>
                <w:szCs w:val="20"/>
                <w:color w:val="auto"/>
              </w:rPr>
            </w:pPr>
            <w:r>
              <w:rPr>
                <w:rFonts w:ascii="Times New Roman" w:cs="Times New Roman" w:eastAsia="Times New Roman" w:hAnsi="Times New Roman"/>
                <w:sz w:val="14"/>
                <w:szCs w:val="14"/>
                <w:color w:val="auto"/>
              </w:rPr>
              <w:t>Net loss, January</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20" w:type="dxa"/>
            <w:vAlign w:val="bottom"/>
          </w:tcPr>
          <w:p>
            <w:pPr>
              <w:ind w:left="280"/>
              <w:spacing w:after="0" w:line="141" w:lineRule="exact"/>
              <w:rPr>
                <w:sz w:val="20"/>
                <w:szCs w:val="20"/>
                <w:color w:val="auto"/>
              </w:rPr>
            </w:pPr>
            <w:r>
              <w:rPr>
                <w:rFonts w:ascii="Times New Roman" w:cs="Times New Roman" w:eastAsia="Times New Roman" w:hAnsi="Times New Roman"/>
                <w:sz w:val="14"/>
                <w:szCs w:val="14"/>
                <w:color w:val="auto"/>
              </w:rPr>
              <w:t>1, 2021 through</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7"/>
              </w:rPr>
              <w:t>(1,031,561)</w:t>
            </w:r>
          </w:p>
        </w:tc>
        <w:tc>
          <w:tcPr>
            <w:tcW w:w="8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(1,031,561)</w:t>
            </w:r>
          </w:p>
        </w:tc>
        <w:tc>
          <w:tcPr>
            <w:tcW w:w="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(1,050)</w:t>
            </w: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(1,032,611)</w:t>
            </w:r>
          </w:p>
        </w:tc>
        <w:tc>
          <w:tcPr>
            <w:tcW w:w="0" w:type="dxa"/>
            <w:vAlign w:val="bottom"/>
          </w:tcPr>
          <w:p>
            <w:pPr>
              <w:spacing w:after="0"/>
              <w:rPr>
                <w:sz w:val="1"/>
                <w:szCs w:val="1"/>
                <w:color w:val="auto"/>
              </w:rPr>
            </w:pPr>
          </w:p>
        </w:tc>
      </w:tr>
      <w:tr>
        <w:trPr>
          <w:trHeight w:val="185"/>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July 21, 2021</w:t>
            </w:r>
          </w:p>
        </w:tc>
        <w:tc>
          <w:tcPr>
            <w:tcW w:w="660" w:type="dxa"/>
            <w:vAlign w:val="bottom"/>
            <w:gridSpan w:val="2"/>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22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Effects of the</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Transactions:</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proceeds</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113,641</w:t>
            </w:r>
          </w:p>
        </w:tc>
        <w:tc>
          <w:tcPr>
            <w:tcW w:w="80" w:type="dxa"/>
            <w:vAlign w:val="bottom"/>
          </w:tcPr>
          <w:p>
            <w:pPr>
              <w:spacing w:after="0"/>
              <w:rPr>
                <w:sz w:val="16"/>
                <w:szCs w:val="16"/>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113,641</w:t>
            </w:r>
          </w:p>
        </w:tc>
        <w:tc>
          <w:tcPr>
            <w:tcW w:w="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113,641</w:t>
            </w:r>
          </w:p>
        </w:tc>
        <w:tc>
          <w:tcPr>
            <w:tcW w:w="0" w:type="dxa"/>
            <w:vAlign w:val="bottom"/>
          </w:tcPr>
          <w:p>
            <w:pPr>
              <w:spacing w:after="0"/>
              <w:rPr>
                <w:sz w:val="1"/>
                <w:szCs w:val="1"/>
                <w:color w:val="auto"/>
              </w:rPr>
            </w:pPr>
          </w:p>
        </w:tc>
      </w:tr>
      <w:tr>
        <w:trPr>
          <w:trHeight w:val="142"/>
        </w:trPr>
        <w:tc>
          <w:tcPr>
            <w:tcW w:w="122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Reclassification of</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20" w:type="dxa"/>
            <w:vAlign w:val="bottom"/>
            <w:shd w:val="clear" w:color="auto" w:fill="CCEEFF"/>
          </w:tcPr>
          <w:p>
            <w:pPr>
              <w:ind w:left="280"/>
              <w:spacing w:after="0" w:line="141" w:lineRule="exact"/>
              <w:rPr>
                <w:sz w:val="20"/>
                <w:szCs w:val="20"/>
                <w:color w:val="auto"/>
              </w:rPr>
            </w:pPr>
            <w:r>
              <w:rPr>
                <w:rFonts w:ascii="Times New Roman" w:cs="Times New Roman" w:eastAsia="Times New Roman" w:hAnsi="Times New Roman"/>
                <w:sz w:val="14"/>
                <w:szCs w:val="14"/>
                <w:color w:val="auto"/>
              </w:rPr>
              <w:t>Class B Units</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20" w:type="dxa"/>
            <w:vAlign w:val="bottom"/>
            <w:shd w:val="clear" w:color="auto" w:fill="CCEEFF"/>
          </w:tcPr>
          <w:p>
            <w:pPr>
              <w:ind w:left="280"/>
              <w:spacing w:after="0" w:line="141" w:lineRule="exact"/>
              <w:rPr>
                <w:sz w:val="20"/>
                <w:szCs w:val="20"/>
                <w:color w:val="auto"/>
              </w:rPr>
            </w:pPr>
            <w:r>
              <w:rPr>
                <w:rFonts w:ascii="Times New Roman" w:cs="Times New Roman" w:eastAsia="Times New Roman" w:hAnsi="Times New Roman"/>
                <w:sz w:val="14"/>
                <w:szCs w:val="14"/>
                <w:color w:val="auto"/>
              </w:rPr>
              <w:t>from liability to</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20" w:type="dxa"/>
            <w:vAlign w:val="bottom"/>
            <w:shd w:val="clear" w:color="auto" w:fill="CCEEFF"/>
          </w:tcPr>
          <w:p>
            <w:pPr>
              <w:ind w:left="280"/>
              <w:spacing w:after="0" w:line="141" w:lineRule="exact"/>
              <w:rPr>
                <w:sz w:val="20"/>
                <w:szCs w:val="20"/>
                <w:color w:val="auto"/>
              </w:rPr>
            </w:pPr>
            <w:r>
              <w:rPr>
                <w:rFonts w:ascii="Times New Roman" w:cs="Times New Roman" w:eastAsia="Times New Roman" w:hAnsi="Times New Roman"/>
                <w:sz w:val="14"/>
                <w:szCs w:val="14"/>
                <w:color w:val="auto"/>
              </w:rPr>
              <w:t>equity on July</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20" w:type="dxa"/>
            <w:vAlign w:val="bottom"/>
            <w:shd w:val="clear" w:color="auto" w:fill="CCEEFF"/>
          </w:tcPr>
          <w:p>
            <w:pPr>
              <w:ind w:left="280"/>
              <w:spacing w:after="0" w:line="141" w:lineRule="exact"/>
              <w:rPr>
                <w:sz w:val="20"/>
                <w:szCs w:val="20"/>
                <w:color w:val="auto"/>
              </w:rPr>
            </w:pPr>
            <w:r>
              <w:rPr>
                <w:rFonts w:ascii="Times New Roman" w:cs="Times New Roman" w:eastAsia="Times New Roman" w:hAnsi="Times New Roman"/>
                <w:sz w:val="14"/>
                <w:szCs w:val="14"/>
                <w:color w:val="auto"/>
              </w:rPr>
              <w:t>21, 2021 (date</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20" w:type="dxa"/>
            <w:vAlign w:val="bottom"/>
            <w:shd w:val="clear" w:color="auto" w:fill="CCEEFF"/>
          </w:tcPr>
          <w:p>
            <w:pPr>
              <w:ind w:left="280"/>
              <w:spacing w:after="0" w:line="141" w:lineRule="exact"/>
              <w:rPr>
                <w:sz w:val="20"/>
                <w:szCs w:val="20"/>
                <w:color w:val="auto"/>
              </w:rPr>
            </w:pPr>
            <w:r>
              <w:rPr>
                <w:rFonts w:ascii="Times New Roman" w:cs="Times New Roman" w:eastAsia="Times New Roman" w:hAnsi="Times New Roman"/>
                <w:sz w:val="14"/>
                <w:szCs w:val="14"/>
                <w:color w:val="auto"/>
              </w:rPr>
              <w:t>of the</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1,528,228</w:t>
            </w:r>
          </w:p>
        </w:tc>
        <w:tc>
          <w:tcPr>
            <w:tcW w:w="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1,528,228</w:t>
            </w:r>
          </w:p>
        </w:tc>
        <w:tc>
          <w:tcPr>
            <w:tcW w:w="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1,528,228</w:t>
            </w:r>
          </w:p>
        </w:tc>
        <w:tc>
          <w:tcPr>
            <w:tcW w:w="0" w:type="dxa"/>
            <w:vAlign w:val="bottom"/>
          </w:tcPr>
          <w:p>
            <w:pPr>
              <w:spacing w:after="0"/>
              <w:rPr>
                <w:sz w:val="1"/>
                <w:szCs w:val="1"/>
                <w:color w:val="auto"/>
              </w:rPr>
            </w:pPr>
          </w:p>
        </w:tc>
      </w:tr>
      <w:tr>
        <w:trPr>
          <w:trHeight w:val="187"/>
        </w:trPr>
        <w:tc>
          <w:tcPr>
            <w:tcW w:w="1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Transactions)</w:t>
            </w:r>
          </w:p>
        </w:tc>
        <w:tc>
          <w:tcPr>
            <w:tcW w:w="66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220" w:type="dxa"/>
            <w:vAlign w:val="bottom"/>
          </w:tcPr>
          <w:p>
            <w:pPr>
              <w:ind w:left="140"/>
              <w:spacing w:after="0" w:line="141" w:lineRule="exact"/>
              <w:rPr>
                <w:sz w:val="20"/>
                <w:szCs w:val="20"/>
                <w:color w:val="auto"/>
              </w:rPr>
            </w:pPr>
            <w:r>
              <w:rPr>
                <w:rFonts w:ascii="Times New Roman" w:cs="Times New Roman" w:eastAsia="Times New Roman" w:hAnsi="Times New Roman"/>
                <w:sz w:val="14"/>
                <w:szCs w:val="14"/>
                <w:color w:val="auto"/>
              </w:rPr>
              <w:t>Reverse</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20" w:type="dxa"/>
            <w:vAlign w:val="bottom"/>
          </w:tcPr>
          <w:p>
            <w:pPr>
              <w:ind w:left="280"/>
              <w:spacing w:after="0" w:line="141" w:lineRule="exact"/>
              <w:rPr>
                <w:sz w:val="20"/>
                <w:szCs w:val="20"/>
                <w:color w:val="auto"/>
              </w:rPr>
            </w:pPr>
            <w:r>
              <w:rPr>
                <w:rFonts w:ascii="Times New Roman" w:cs="Times New Roman" w:eastAsia="Times New Roman" w:hAnsi="Times New Roman"/>
                <w:sz w:val="14"/>
                <w:szCs w:val="14"/>
                <w:color w:val="auto"/>
              </w:rPr>
              <w:t>capitalization</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20" w:type="dxa"/>
            <w:vAlign w:val="bottom"/>
          </w:tcPr>
          <w:p>
            <w:pPr>
              <w:ind w:left="280"/>
              <w:spacing w:after="0" w:line="141" w:lineRule="exact"/>
              <w:rPr>
                <w:sz w:val="20"/>
                <w:szCs w:val="20"/>
                <w:color w:val="auto"/>
              </w:rPr>
            </w:pPr>
            <w:r>
              <w:rPr>
                <w:rFonts w:ascii="Times New Roman" w:cs="Times New Roman" w:eastAsia="Times New Roman" w:hAnsi="Times New Roman"/>
                <w:sz w:val="14"/>
                <w:szCs w:val="14"/>
                <w:color w:val="auto"/>
              </w:rPr>
              <w:t>on July 21,</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8"/>
              </w:rPr>
              <w:t>(528,519)</w:t>
            </w:r>
          </w:p>
        </w:tc>
        <w:tc>
          <w:tcPr>
            <w:tcW w:w="8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2,081,740</w:t>
            </w:r>
          </w:p>
        </w:tc>
        <w:tc>
          <w:tcPr>
            <w:tcW w:w="80" w:type="dxa"/>
            <w:vAlign w:val="bottom"/>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(164,367)</w:t>
            </w:r>
          </w:p>
        </w:tc>
        <w:tc>
          <w:tcPr>
            <w:tcW w:w="80" w:type="dxa"/>
            <w:vAlign w:val="bottom"/>
          </w:tcPr>
          <w:p>
            <w:pPr>
              <w:spacing w:after="0"/>
              <w:rPr>
                <w:sz w:val="12"/>
                <w:szCs w:val="12"/>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1,917,373</w:t>
            </w:r>
          </w:p>
        </w:tc>
        <w:tc>
          <w:tcPr>
            <w:tcW w:w="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(1,917,373)</w:t>
            </w: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2021</w:t>
            </w: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22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Issuance of</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20" w:type="dxa"/>
            <w:vAlign w:val="bottom"/>
            <w:shd w:val="clear" w:color="auto" w:fill="CCEEFF"/>
          </w:tcPr>
          <w:p>
            <w:pPr>
              <w:ind w:left="280"/>
              <w:spacing w:after="0" w:line="141" w:lineRule="exact"/>
              <w:rPr>
                <w:sz w:val="20"/>
                <w:szCs w:val="20"/>
                <w:color w:val="auto"/>
              </w:rPr>
            </w:pPr>
            <w:r>
              <w:rPr>
                <w:rFonts w:ascii="Times New Roman" w:cs="Times New Roman" w:eastAsia="Times New Roman" w:hAnsi="Times New Roman"/>
                <w:sz w:val="14"/>
                <w:szCs w:val="14"/>
                <w:color w:val="auto"/>
              </w:rPr>
              <w:t>common stock -</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20" w:type="dxa"/>
            <w:vAlign w:val="bottom"/>
            <w:shd w:val="clear" w:color="auto" w:fill="CCEEFF"/>
          </w:tcPr>
          <w:p>
            <w:pPr>
              <w:ind w:left="280"/>
              <w:spacing w:after="0" w:line="141" w:lineRule="exact"/>
              <w:rPr>
                <w:sz w:val="20"/>
                <w:szCs w:val="20"/>
                <w:color w:val="auto"/>
              </w:rPr>
            </w:pPr>
            <w:r>
              <w:rPr>
                <w:rFonts w:ascii="Times New Roman" w:cs="Times New Roman" w:eastAsia="Times New Roman" w:hAnsi="Times New Roman"/>
                <w:sz w:val="14"/>
                <w:szCs w:val="14"/>
                <w:color w:val="auto"/>
              </w:rPr>
              <w:t>Class A and</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24,952,096</w:t>
            </w:r>
          </w:p>
        </w:tc>
        <w:tc>
          <w:tcPr>
            <w:tcW w:w="6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291,092,303</w:t>
            </w:r>
          </w:p>
        </w:tc>
        <w:tc>
          <w:tcPr>
            <w:tcW w:w="6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29</w:t>
            </w:r>
          </w:p>
        </w:tc>
        <w:tc>
          <w:tcPr>
            <w:tcW w:w="60" w:type="dxa"/>
            <w:vAlign w:val="bottom"/>
            <w:shd w:val="clear" w:color="auto" w:fill="CCEEFF"/>
          </w:tcPr>
          <w:p>
            <w:pPr>
              <w:spacing w:after="0"/>
              <w:rPr>
                <w:sz w:val="12"/>
                <w:szCs w:val="12"/>
                <w:color w:val="auto"/>
              </w:rPr>
            </w:pPr>
          </w:p>
        </w:tc>
        <w:tc>
          <w:tcPr>
            <w:tcW w:w="48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1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Class B</w:t>
            </w:r>
          </w:p>
        </w:tc>
        <w:tc>
          <w:tcPr>
            <w:tcW w:w="66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220" w:type="dxa"/>
            <w:vAlign w:val="bottom"/>
          </w:tcPr>
          <w:p>
            <w:pPr>
              <w:ind w:left="140"/>
              <w:spacing w:after="0" w:line="141" w:lineRule="exact"/>
              <w:rPr>
                <w:sz w:val="20"/>
                <w:szCs w:val="20"/>
                <w:color w:val="auto"/>
              </w:rPr>
            </w:pPr>
            <w:r>
              <w:rPr>
                <w:rFonts w:ascii="Times New Roman" w:cs="Times New Roman" w:eastAsia="Times New Roman" w:hAnsi="Times New Roman"/>
                <w:sz w:val="14"/>
                <w:szCs w:val="14"/>
                <w:color w:val="auto"/>
              </w:rPr>
              <w:t>Establishment of</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20" w:type="dxa"/>
            <w:vAlign w:val="bottom"/>
          </w:tcPr>
          <w:p>
            <w:pPr>
              <w:ind w:left="280"/>
              <w:spacing w:after="0" w:line="141" w:lineRule="exact"/>
              <w:rPr>
                <w:sz w:val="20"/>
                <w:szCs w:val="20"/>
                <w:color w:val="auto"/>
              </w:rPr>
            </w:pPr>
            <w:r>
              <w:rPr>
                <w:rFonts w:ascii="Times New Roman" w:cs="Times New Roman" w:eastAsia="Times New Roman" w:hAnsi="Times New Roman"/>
                <w:sz w:val="14"/>
                <w:szCs w:val="14"/>
                <w:color w:val="auto"/>
              </w:rPr>
              <w:t>warrant</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(45,021)</w:t>
            </w:r>
          </w:p>
        </w:tc>
        <w:tc>
          <w:tcPr>
            <w:tcW w:w="80" w:type="dxa"/>
            <w:vAlign w:val="bottom"/>
          </w:tcPr>
          <w:p>
            <w:pPr>
              <w:spacing w:after="0"/>
              <w:rPr>
                <w:sz w:val="12"/>
                <w:szCs w:val="12"/>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(45,021)</w:t>
            </w:r>
          </w:p>
        </w:tc>
        <w:tc>
          <w:tcPr>
            <w:tcW w:w="6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(45,021)</w:t>
            </w:r>
          </w:p>
        </w:tc>
        <w:tc>
          <w:tcPr>
            <w:tcW w:w="0" w:type="dxa"/>
            <w:vAlign w:val="bottom"/>
          </w:tcPr>
          <w:p>
            <w:pPr>
              <w:spacing w:after="0"/>
              <w:rPr>
                <w:sz w:val="1"/>
                <w:szCs w:val="1"/>
                <w:color w:val="auto"/>
              </w:rPr>
            </w:pPr>
          </w:p>
        </w:tc>
      </w:tr>
      <w:tr>
        <w:trPr>
          <w:trHeight w:val="185"/>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liabilities</w:t>
            </w:r>
          </w:p>
        </w:tc>
        <w:tc>
          <w:tcPr>
            <w:tcW w:w="66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22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Establishment of</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11,136</w:t>
            </w:r>
          </w:p>
        </w:tc>
        <w:tc>
          <w:tcPr>
            <w:tcW w:w="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11,136</w:t>
            </w:r>
          </w:p>
        </w:tc>
        <w:tc>
          <w:tcPr>
            <w:tcW w:w="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11,136</w:t>
            </w:r>
          </w:p>
        </w:tc>
        <w:tc>
          <w:tcPr>
            <w:tcW w:w="0" w:type="dxa"/>
            <w:vAlign w:val="bottom"/>
          </w:tcPr>
          <w:p>
            <w:pPr>
              <w:spacing w:after="0"/>
              <w:rPr>
                <w:sz w:val="1"/>
                <w:szCs w:val="1"/>
                <w:color w:val="auto"/>
              </w:rPr>
            </w:pPr>
          </w:p>
        </w:tc>
      </w:tr>
      <w:tr>
        <w:trPr>
          <w:trHeight w:val="187"/>
        </w:trPr>
        <w:tc>
          <w:tcPr>
            <w:tcW w:w="1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taxes</w:t>
            </w:r>
          </w:p>
        </w:tc>
        <w:tc>
          <w:tcPr>
            <w:tcW w:w="66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220" w:type="dxa"/>
            <w:vAlign w:val="bottom"/>
          </w:tcPr>
          <w:p>
            <w:pPr>
              <w:ind w:left="140"/>
              <w:spacing w:after="0" w:line="141" w:lineRule="exact"/>
              <w:rPr>
                <w:sz w:val="20"/>
                <w:szCs w:val="20"/>
                <w:color w:val="auto"/>
              </w:rPr>
            </w:pPr>
            <w:r>
              <w:rPr>
                <w:rFonts w:ascii="Times New Roman" w:cs="Times New Roman" w:eastAsia="Times New Roman" w:hAnsi="Times New Roman"/>
                <w:sz w:val="14"/>
                <w:szCs w:val="14"/>
                <w:color w:val="auto"/>
              </w:rPr>
              <w:t>Establishment of</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20" w:type="dxa"/>
            <w:vAlign w:val="bottom"/>
          </w:tcPr>
          <w:p>
            <w:pPr>
              <w:ind w:left="280"/>
              <w:spacing w:after="0" w:line="141" w:lineRule="exact"/>
              <w:rPr>
                <w:sz w:val="20"/>
                <w:szCs w:val="20"/>
                <w:color w:val="auto"/>
              </w:rPr>
            </w:pPr>
            <w:r>
              <w:rPr>
                <w:rFonts w:ascii="Times New Roman" w:cs="Times New Roman" w:eastAsia="Times New Roman" w:hAnsi="Times New Roman"/>
                <w:sz w:val="14"/>
                <w:szCs w:val="14"/>
                <w:color w:val="auto"/>
              </w:rPr>
              <w:t>noncontrolling</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7"/>
              </w:rPr>
              <w:t>(1,511,911)</w:t>
            </w:r>
          </w:p>
        </w:tc>
        <w:tc>
          <w:tcPr>
            <w:tcW w:w="80" w:type="dxa"/>
            <w:vAlign w:val="bottom"/>
          </w:tcPr>
          <w:p>
            <w:pPr>
              <w:spacing w:after="0"/>
              <w:rPr>
                <w:sz w:val="12"/>
                <w:szCs w:val="12"/>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(1,511,802)</w:t>
            </w:r>
          </w:p>
        </w:tc>
        <w:tc>
          <w:tcPr>
            <w:tcW w:w="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1,511,802</w:t>
            </w:r>
          </w:p>
        </w:tc>
        <w:tc>
          <w:tcPr>
            <w:tcW w:w="8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interest</w:t>
            </w:r>
          </w:p>
        </w:tc>
        <w:tc>
          <w:tcPr>
            <w:tcW w:w="66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22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Activity subsequent</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20" w:type="dxa"/>
            <w:vAlign w:val="bottom"/>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to the</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Transactions:</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220" w:type="dxa"/>
            <w:vAlign w:val="bottom"/>
          </w:tcPr>
          <w:p>
            <w:pPr>
              <w:ind w:left="140"/>
              <w:spacing w:after="0" w:line="141" w:lineRule="exact"/>
              <w:rPr>
                <w:sz w:val="20"/>
                <w:szCs w:val="20"/>
                <w:color w:val="auto"/>
              </w:rPr>
            </w:pPr>
            <w:r>
              <w:rPr>
                <w:rFonts w:ascii="Times New Roman" w:cs="Times New Roman" w:eastAsia="Times New Roman" w:hAnsi="Times New Roman"/>
                <w:sz w:val="14"/>
                <w:szCs w:val="14"/>
                <w:color w:val="auto"/>
              </w:rPr>
              <w:t>Equity-based</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200,373</w:t>
            </w:r>
          </w:p>
        </w:tc>
        <w:tc>
          <w:tcPr>
            <w:tcW w:w="60" w:type="dxa"/>
            <w:vAlign w:val="bottom"/>
          </w:tcPr>
          <w:p>
            <w:pPr>
              <w:spacing w:after="0"/>
              <w:rPr>
                <w:sz w:val="12"/>
                <w:szCs w:val="12"/>
                <w:color w:val="auto"/>
              </w:rPr>
            </w:pP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3,998</w:t>
            </w:r>
          </w:p>
        </w:tc>
        <w:tc>
          <w:tcPr>
            <w:tcW w:w="80" w:type="dxa"/>
            <w:vAlign w:val="bottom"/>
          </w:tcPr>
          <w:p>
            <w:pPr>
              <w:spacing w:after="0"/>
              <w:rPr>
                <w:sz w:val="12"/>
                <w:szCs w:val="12"/>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3,998</w:t>
            </w:r>
          </w:p>
        </w:tc>
        <w:tc>
          <w:tcPr>
            <w:tcW w:w="6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3,998</w:t>
            </w:r>
          </w:p>
        </w:tc>
        <w:tc>
          <w:tcPr>
            <w:tcW w:w="0" w:type="dxa"/>
            <w:vAlign w:val="bottom"/>
          </w:tcPr>
          <w:p>
            <w:pPr>
              <w:spacing w:after="0"/>
              <w:rPr>
                <w:sz w:val="1"/>
                <w:szCs w:val="1"/>
                <w:color w:val="auto"/>
              </w:rPr>
            </w:pPr>
          </w:p>
        </w:tc>
      </w:tr>
      <w:tr>
        <w:trPr>
          <w:trHeight w:val="185"/>
        </w:trPr>
        <w:tc>
          <w:tcPr>
            <w:tcW w:w="1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compensation</w:t>
            </w:r>
          </w:p>
        </w:tc>
        <w:tc>
          <w:tcPr>
            <w:tcW w:w="66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22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Issuance of stock</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20" w:type="dxa"/>
            <w:vAlign w:val="bottom"/>
            <w:shd w:val="clear" w:color="auto" w:fill="CCEEFF"/>
          </w:tcPr>
          <w:p>
            <w:pPr>
              <w:ind w:left="280"/>
              <w:spacing w:after="0" w:line="141" w:lineRule="exact"/>
              <w:rPr>
                <w:sz w:val="20"/>
                <w:szCs w:val="20"/>
                <w:color w:val="auto"/>
              </w:rPr>
            </w:pPr>
            <w:r>
              <w:rPr>
                <w:rFonts w:ascii="Times New Roman" w:cs="Times New Roman" w:eastAsia="Times New Roman" w:hAnsi="Times New Roman"/>
                <w:sz w:val="14"/>
                <w:szCs w:val="14"/>
                <w:color w:val="auto"/>
              </w:rPr>
              <w:t>for derivative</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66,203</w:t>
            </w:r>
          </w:p>
        </w:tc>
        <w:tc>
          <w:tcPr>
            <w:tcW w:w="6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6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w:t>
            </w:r>
          </w:p>
        </w:tc>
        <w:tc>
          <w:tcPr>
            <w:tcW w:w="0" w:type="dxa"/>
            <w:vAlign w:val="bottom"/>
          </w:tcPr>
          <w:p>
            <w:pPr>
              <w:spacing w:after="0"/>
              <w:rPr>
                <w:sz w:val="1"/>
                <w:szCs w:val="1"/>
                <w:color w:val="auto"/>
              </w:rPr>
            </w:pPr>
          </w:p>
        </w:tc>
      </w:tr>
      <w:tr>
        <w:trPr>
          <w:trHeight w:val="187"/>
        </w:trPr>
        <w:tc>
          <w:tcPr>
            <w:tcW w:w="1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settlement</w:t>
            </w:r>
          </w:p>
        </w:tc>
        <w:tc>
          <w:tcPr>
            <w:tcW w:w="66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540" w:type="dxa"/>
            <w:vAlign w:val="bottom"/>
            <w:gridSpan w:val="2"/>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220" w:type="dxa"/>
            <w:vAlign w:val="bottom"/>
          </w:tcPr>
          <w:p>
            <w:pPr>
              <w:ind w:left="140"/>
              <w:spacing w:after="0" w:line="141" w:lineRule="exact"/>
              <w:rPr>
                <w:sz w:val="20"/>
                <w:szCs w:val="20"/>
                <w:color w:val="auto"/>
              </w:rPr>
            </w:pPr>
            <w:r>
              <w:rPr>
                <w:rFonts w:ascii="Times New Roman" w:cs="Times New Roman" w:eastAsia="Times New Roman" w:hAnsi="Times New Roman"/>
                <w:sz w:val="14"/>
                <w:szCs w:val="14"/>
                <w:color w:val="auto"/>
              </w:rPr>
              <w:t>Repurchases of</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(500,270)</w:t>
            </w:r>
          </w:p>
        </w:tc>
        <w:tc>
          <w:tcPr>
            <w:tcW w:w="60" w:type="dxa"/>
            <w:vAlign w:val="bottom"/>
          </w:tcPr>
          <w:p>
            <w:pPr>
              <w:spacing w:after="0"/>
              <w:rPr>
                <w:sz w:val="12"/>
                <w:szCs w:val="12"/>
                <w:color w:val="auto"/>
              </w:rPr>
            </w:pPr>
          </w:p>
        </w:tc>
        <w:tc>
          <w:tcPr>
            <w:tcW w:w="5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(3,340)</w:t>
            </w:r>
          </w:p>
        </w:tc>
        <w:tc>
          <w:tcPr>
            <w:tcW w:w="80" w:type="dxa"/>
            <w:vAlign w:val="bottom"/>
          </w:tcPr>
          <w:p>
            <w:pPr>
              <w:spacing w:after="0"/>
              <w:rPr>
                <w:sz w:val="12"/>
                <w:szCs w:val="12"/>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(3,340)</w:t>
            </w:r>
          </w:p>
        </w:tc>
        <w:tc>
          <w:tcPr>
            <w:tcW w:w="6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(3,340)</w:t>
            </w:r>
          </w:p>
        </w:tc>
        <w:tc>
          <w:tcPr>
            <w:tcW w:w="0" w:type="dxa"/>
            <w:vAlign w:val="bottom"/>
          </w:tcPr>
          <w:p>
            <w:pPr>
              <w:spacing w:after="0"/>
              <w:rPr>
                <w:sz w:val="1"/>
                <w:szCs w:val="1"/>
                <w:color w:val="auto"/>
              </w:rPr>
            </w:pPr>
          </w:p>
        </w:tc>
      </w:tr>
      <w:tr>
        <w:trPr>
          <w:trHeight w:val="185"/>
        </w:trPr>
        <w:tc>
          <w:tcPr>
            <w:tcW w:w="1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w:t>
            </w:r>
          </w:p>
        </w:tc>
        <w:tc>
          <w:tcPr>
            <w:tcW w:w="66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540" w:type="dxa"/>
            <w:vAlign w:val="bottom"/>
            <w:gridSpan w:val="2"/>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Distributions</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(4,686)</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74" w:name="page75"/>
    <w:bookmarkEnd w:id="74"/>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MARKETWISE, INC.</w:t>
      </w:r>
    </w:p>
    <w:p>
      <w:pPr>
        <w:spacing w:after="0" w:line="2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Deficit / Members’ Deficit</w:t>
      </w:r>
    </w:p>
    <w:p>
      <w:pPr>
        <w:spacing w:after="0" w:line="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i w:val="1"/>
          <w:iCs w:val="1"/>
          <w:color w:val="auto"/>
        </w:rPr>
        <w:t>(In thousands, except share and unit data)</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80"/>
              <w:spacing w:after="0" w:line="127"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2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60"/>
              <w:spacing w:after="0" w:line="119" w:lineRule="exact"/>
              <w:rPr>
                <w:sz w:val="20"/>
                <w:szCs w:val="20"/>
                <w:color w:val="auto"/>
              </w:rPr>
            </w:pPr>
            <w:r>
              <w:rPr>
                <w:rFonts w:ascii="Times New Roman" w:cs="Times New Roman" w:eastAsia="Times New Roman" w:hAnsi="Times New Roman"/>
                <w:sz w:val="12"/>
                <w:szCs w:val="12"/>
                <w:b w:val="1"/>
                <w:bCs w:val="1"/>
                <w:color w:val="auto"/>
              </w:rPr>
              <w:t>Deficit /</w:t>
            </w: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2"/>
                <w:szCs w:val="12"/>
                <w:b w:val="1"/>
                <w:bCs w:val="1"/>
                <w:color w:val="auto"/>
              </w:rPr>
              <w:t>Members’</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7"/>
        </w:trPr>
        <w:tc>
          <w:tcPr>
            <w:tcW w:w="1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80"/>
              <w:spacing w:after="0" w:line="128" w:lineRule="exact"/>
              <w:rPr>
                <w:sz w:val="20"/>
                <w:szCs w:val="20"/>
                <w:color w:val="auto"/>
              </w:rPr>
            </w:pPr>
            <w:r>
              <w:rPr>
                <w:rFonts w:ascii="Times New Roman" w:cs="Times New Roman" w:eastAsia="Times New Roman" w:hAnsi="Times New Roman"/>
                <w:sz w:val="12"/>
                <w:szCs w:val="12"/>
                <w:b w:val="1"/>
                <w:bCs w:val="1"/>
                <w:color w:val="auto"/>
              </w:rPr>
              <w:t>Deficit</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220" w:type="dxa"/>
            <w:vAlign w:val="bottom"/>
          </w:tcPr>
          <w:p>
            <w:pPr>
              <w:spacing w:after="0"/>
              <w:rPr>
                <w:sz w:val="14"/>
                <w:szCs w:val="14"/>
                <w:color w:val="auto"/>
              </w:rPr>
            </w:pPr>
          </w:p>
        </w:tc>
        <w:tc>
          <w:tcPr>
            <w:tcW w:w="1040" w:type="dxa"/>
            <w:vAlign w:val="bottom"/>
            <w:gridSpan w:val="4"/>
          </w:tcPr>
          <w:p>
            <w:pPr>
              <w:ind w:left="280"/>
              <w:spacing w:after="0"/>
              <w:rPr>
                <w:sz w:val="20"/>
                <w:szCs w:val="20"/>
                <w:color w:val="auto"/>
              </w:rPr>
            </w:pPr>
            <w:r>
              <w:rPr>
                <w:rFonts w:ascii="Times New Roman" w:cs="Times New Roman" w:eastAsia="Times New Roman" w:hAnsi="Times New Roman"/>
                <w:sz w:val="12"/>
                <w:szCs w:val="12"/>
                <w:b w:val="1"/>
                <w:bCs w:val="1"/>
                <w:color w:val="auto"/>
              </w:rPr>
              <w:t>Class A</w:t>
            </w:r>
          </w:p>
        </w:tc>
        <w:tc>
          <w:tcPr>
            <w:tcW w:w="1320" w:type="dxa"/>
            <w:vAlign w:val="bottom"/>
            <w:gridSpan w:val="4"/>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Common Stock - Class</w:t>
            </w:r>
          </w:p>
        </w:tc>
        <w:tc>
          <w:tcPr>
            <w:tcW w:w="1400" w:type="dxa"/>
            <w:vAlign w:val="bottom"/>
            <w:gridSpan w:val="4"/>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Common Stock - Class</w:t>
            </w:r>
          </w:p>
        </w:tc>
        <w:tc>
          <w:tcPr>
            <w:tcW w:w="1040" w:type="dxa"/>
            <w:vAlign w:val="bottom"/>
            <w:gridSpan w:val="4"/>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Preferred Stock</w:t>
            </w:r>
          </w:p>
        </w:tc>
        <w:tc>
          <w:tcPr>
            <w:tcW w:w="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Attributable</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29"/>
        </w:trPr>
        <w:tc>
          <w:tcPr>
            <w:tcW w:w="1220" w:type="dxa"/>
            <w:vAlign w:val="bottom"/>
          </w:tcPr>
          <w:p>
            <w:pPr>
              <w:spacing w:after="0"/>
              <w:rPr>
                <w:sz w:val="11"/>
                <w:szCs w:val="11"/>
                <w:color w:val="auto"/>
              </w:rPr>
            </w:pPr>
          </w:p>
        </w:tc>
        <w:tc>
          <w:tcPr>
            <w:tcW w:w="1040" w:type="dxa"/>
            <w:vAlign w:val="bottom"/>
            <w:gridSpan w:val="4"/>
          </w:tcPr>
          <w:p>
            <w:pPr>
              <w:ind w:left="60"/>
              <w:spacing w:after="0" w:line="129" w:lineRule="exact"/>
              <w:rPr>
                <w:sz w:val="20"/>
                <w:szCs w:val="20"/>
                <w:color w:val="auto"/>
              </w:rPr>
            </w:pPr>
            <w:r>
              <w:rPr>
                <w:rFonts w:ascii="Times New Roman" w:cs="Times New Roman" w:eastAsia="Times New Roman" w:hAnsi="Times New Roman"/>
                <w:sz w:val="12"/>
                <w:szCs w:val="12"/>
                <w:b w:val="1"/>
                <w:bCs w:val="1"/>
                <w:color w:val="auto"/>
              </w:rPr>
              <w:t>Members’ units</w:t>
            </w:r>
          </w:p>
        </w:tc>
        <w:tc>
          <w:tcPr>
            <w:tcW w:w="760" w:type="dxa"/>
            <w:vAlign w:val="bottom"/>
            <w:gridSpan w:val="2"/>
          </w:tcPr>
          <w:p>
            <w:pPr>
              <w:jc w:val="right"/>
              <w:ind w:right="100"/>
              <w:spacing w:after="0" w:line="129" w:lineRule="exact"/>
              <w:rPr>
                <w:sz w:val="20"/>
                <w:szCs w:val="20"/>
                <w:color w:val="auto"/>
              </w:rPr>
            </w:pPr>
            <w:r>
              <w:rPr>
                <w:rFonts w:ascii="Times New Roman" w:cs="Times New Roman" w:eastAsia="Times New Roman" w:hAnsi="Times New Roman"/>
                <w:sz w:val="12"/>
                <w:szCs w:val="12"/>
                <w:b w:val="1"/>
                <w:bCs w:val="1"/>
                <w:color w:val="auto"/>
              </w:rPr>
              <w:t>A</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center"/>
              <w:ind w:left="431"/>
              <w:spacing w:after="0" w:line="129" w:lineRule="exact"/>
              <w:rPr>
                <w:sz w:val="20"/>
                <w:szCs w:val="20"/>
                <w:color w:val="auto"/>
              </w:rPr>
            </w:pPr>
            <w:r>
              <w:rPr>
                <w:rFonts w:ascii="Times New Roman" w:cs="Times New Roman" w:eastAsia="Times New Roman" w:hAnsi="Times New Roman"/>
                <w:sz w:val="12"/>
                <w:szCs w:val="12"/>
                <w:b w:val="1"/>
                <w:bCs w:val="1"/>
                <w:color w:val="auto"/>
              </w:rPr>
              <w:t>B</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40" w:type="dxa"/>
            <w:vAlign w:val="bottom"/>
            <w:gridSpan w:val="4"/>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2"/>
                <w:szCs w:val="12"/>
                <w:b w:val="1"/>
                <w:bCs w:val="1"/>
                <w:color w:val="auto"/>
              </w:rPr>
              <w:t>Other</w:t>
            </w:r>
          </w:p>
        </w:tc>
        <w:tc>
          <w:tcPr>
            <w:tcW w:w="840" w:type="dxa"/>
            <w:vAlign w:val="bottom"/>
            <w:gridSpan w:val="2"/>
          </w:tcPr>
          <w:p>
            <w:pPr>
              <w:jc w:val="center"/>
              <w:ind w:right="60"/>
              <w:spacing w:after="0" w:line="129" w:lineRule="exact"/>
              <w:rPr>
                <w:sz w:val="20"/>
                <w:szCs w:val="20"/>
                <w:color w:val="auto"/>
              </w:rPr>
            </w:pPr>
            <w:r>
              <w:rPr>
                <w:rFonts w:ascii="Times New Roman" w:cs="Times New Roman" w:eastAsia="Times New Roman" w:hAnsi="Times New Roman"/>
                <w:sz w:val="12"/>
                <w:szCs w:val="12"/>
                <w:b w:val="1"/>
                <w:bCs w:val="1"/>
                <w:color w:val="auto"/>
                <w:w w:val="99"/>
              </w:rPr>
              <w:t>to</w:t>
            </w: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Times New Roman" w:cs="Times New Roman" w:eastAsia="Times New Roman" w:hAnsi="Times New Roman"/>
                <w:sz w:val="12"/>
                <w:szCs w:val="12"/>
                <w:b w:val="1"/>
                <w:bCs w:val="1"/>
                <w:color w:val="auto"/>
              </w:rPr>
              <w:t>Deficit /</w:t>
            </w:r>
          </w:p>
        </w:tc>
        <w:tc>
          <w:tcPr>
            <w:tcW w:w="0" w:type="dxa"/>
            <w:vAlign w:val="bottom"/>
          </w:tcPr>
          <w:p>
            <w:pPr>
              <w:spacing w:after="0"/>
              <w:rPr>
                <w:sz w:val="1"/>
                <w:szCs w:val="1"/>
                <w:color w:val="auto"/>
              </w:rPr>
            </w:pPr>
          </w:p>
        </w:tc>
      </w:tr>
      <w:tr>
        <w:trPr>
          <w:trHeight w:val="47"/>
        </w:trPr>
        <w:tc>
          <w:tcPr>
            <w:tcW w:w="122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gridSpan w:val="2"/>
          </w:tcPr>
          <w:p>
            <w:pPr>
              <w:jc w:val="center"/>
              <w:ind w:right="80"/>
              <w:spacing w:after="0" w:line="47" w:lineRule="exact"/>
              <w:rPr>
                <w:sz w:val="20"/>
                <w:szCs w:val="20"/>
                <w:color w:val="auto"/>
              </w:rPr>
            </w:pPr>
            <w:r>
              <w:rPr>
                <w:rFonts w:ascii="Times New Roman" w:cs="Times New Roman" w:eastAsia="Times New Roman" w:hAnsi="Times New Roman"/>
                <w:sz w:val="5"/>
                <w:szCs w:val="5"/>
                <w:b w:val="1"/>
                <w:bCs w:val="1"/>
                <w:color w:val="auto"/>
              </w:rPr>
              <w:t>paid-in</w:t>
            </w:r>
          </w:p>
        </w:tc>
        <w:tc>
          <w:tcPr>
            <w:tcW w:w="820" w:type="dxa"/>
            <w:vAlign w:val="bottom"/>
            <w:gridSpan w:val="2"/>
          </w:tcPr>
          <w:p>
            <w:pPr>
              <w:jc w:val="center"/>
              <w:ind w:right="80"/>
              <w:spacing w:after="0" w:line="47" w:lineRule="exact"/>
              <w:rPr>
                <w:sz w:val="20"/>
                <w:szCs w:val="20"/>
                <w:color w:val="auto"/>
              </w:rPr>
            </w:pPr>
            <w:r>
              <w:rPr>
                <w:rFonts w:ascii="Times New Roman" w:cs="Times New Roman" w:eastAsia="Times New Roman" w:hAnsi="Times New Roman"/>
                <w:sz w:val="5"/>
                <w:szCs w:val="5"/>
                <w:b w:val="1"/>
                <w:bCs w:val="1"/>
                <w:color w:val="auto"/>
              </w:rPr>
              <w:t>Accumulated</w:t>
            </w:r>
          </w:p>
        </w:tc>
        <w:tc>
          <w:tcPr>
            <w:tcW w:w="920" w:type="dxa"/>
            <w:vAlign w:val="bottom"/>
            <w:gridSpan w:val="3"/>
          </w:tcPr>
          <w:p>
            <w:pPr>
              <w:jc w:val="center"/>
              <w:ind w:right="80"/>
              <w:spacing w:after="0" w:line="47" w:lineRule="exact"/>
              <w:rPr>
                <w:sz w:val="20"/>
                <w:szCs w:val="20"/>
                <w:color w:val="auto"/>
              </w:rPr>
            </w:pPr>
            <w:r>
              <w:rPr>
                <w:rFonts w:ascii="Times New Roman" w:cs="Times New Roman" w:eastAsia="Times New Roman" w:hAnsi="Times New Roman"/>
                <w:sz w:val="5"/>
                <w:szCs w:val="5"/>
                <w:b w:val="1"/>
                <w:bCs w:val="1"/>
                <w:color w:val="auto"/>
              </w:rPr>
              <w:t>Comprehensive</w:t>
            </w:r>
          </w:p>
        </w:tc>
        <w:tc>
          <w:tcPr>
            <w:tcW w:w="840" w:type="dxa"/>
            <w:vAlign w:val="bottom"/>
            <w:gridSpan w:val="2"/>
          </w:tcPr>
          <w:p>
            <w:pPr>
              <w:jc w:val="center"/>
              <w:ind w:right="80"/>
              <w:spacing w:after="0" w:line="47" w:lineRule="exact"/>
              <w:rPr>
                <w:sz w:val="20"/>
                <w:szCs w:val="20"/>
                <w:color w:val="auto"/>
              </w:rPr>
            </w:pPr>
            <w:r>
              <w:rPr>
                <w:rFonts w:ascii="Times New Roman" w:cs="Times New Roman" w:eastAsia="Times New Roman" w:hAnsi="Times New Roman"/>
                <w:sz w:val="5"/>
                <w:szCs w:val="5"/>
                <w:b w:val="1"/>
                <w:bCs w:val="1"/>
                <w:color w:val="auto"/>
              </w:rPr>
              <w:t>MarketWise,</w:t>
            </w:r>
          </w:p>
        </w:tc>
        <w:tc>
          <w:tcPr>
            <w:tcW w:w="920" w:type="dxa"/>
            <w:vAlign w:val="bottom"/>
            <w:gridSpan w:val="2"/>
          </w:tcPr>
          <w:p>
            <w:pPr>
              <w:jc w:val="center"/>
              <w:ind w:right="80"/>
              <w:spacing w:after="0" w:line="47" w:lineRule="exact"/>
              <w:rPr>
                <w:sz w:val="20"/>
                <w:szCs w:val="20"/>
                <w:color w:val="auto"/>
              </w:rPr>
            </w:pPr>
            <w:r>
              <w:rPr>
                <w:rFonts w:ascii="Times New Roman" w:cs="Times New Roman" w:eastAsia="Times New Roman" w:hAnsi="Times New Roman"/>
                <w:sz w:val="5"/>
                <w:szCs w:val="5"/>
                <w:b w:val="1"/>
                <w:bCs w:val="1"/>
                <w:color w:val="auto"/>
              </w:rPr>
              <w:t>Noncontrolling</w:t>
            </w:r>
          </w:p>
        </w:tc>
        <w:tc>
          <w:tcPr>
            <w:tcW w:w="760" w:type="dxa"/>
            <w:vAlign w:val="bottom"/>
          </w:tcPr>
          <w:p>
            <w:pPr>
              <w:jc w:val="center"/>
              <w:spacing w:after="0" w:line="47" w:lineRule="exact"/>
              <w:rPr>
                <w:sz w:val="20"/>
                <w:szCs w:val="20"/>
                <w:color w:val="auto"/>
              </w:rPr>
            </w:pPr>
            <w:r>
              <w:rPr>
                <w:rFonts w:ascii="Times New Roman" w:cs="Times New Roman" w:eastAsia="Times New Roman" w:hAnsi="Times New Roman"/>
                <w:sz w:val="5"/>
                <w:szCs w:val="5"/>
                <w:b w:val="1"/>
                <w:bCs w:val="1"/>
                <w:color w:val="auto"/>
              </w:rPr>
              <w:t>Members’</w:t>
            </w:r>
          </w:p>
        </w:tc>
        <w:tc>
          <w:tcPr>
            <w:tcW w:w="0" w:type="dxa"/>
            <w:vAlign w:val="bottom"/>
          </w:tcPr>
          <w:p>
            <w:pPr>
              <w:spacing w:after="0"/>
              <w:rPr>
                <w:sz w:val="1"/>
                <w:szCs w:val="1"/>
                <w:color w:val="auto"/>
              </w:rPr>
            </w:pPr>
          </w:p>
        </w:tc>
      </w:tr>
      <w:tr>
        <w:trPr>
          <w:trHeight w:val="182"/>
        </w:trPr>
        <w:tc>
          <w:tcPr>
            <w:tcW w:w="1220" w:type="dxa"/>
            <w:vAlign w:val="bottom"/>
          </w:tcPr>
          <w:p>
            <w:pPr>
              <w:spacing w:after="0"/>
              <w:rPr>
                <w:sz w:val="15"/>
                <w:szCs w:val="15"/>
                <w:color w:val="auto"/>
              </w:rPr>
            </w:pPr>
          </w:p>
        </w:tc>
        <w:tc>
          <w:tcPr>
            <w:tcW w:w="4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6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4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Inc.</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Interest</w:t>
            </w:r>
          </w:p>
        </w:tc>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0" w:type="dxa"/>
            <w:vAlign w:val="bottom"/>
          </w:tcPr>
          <w:p>
            <w:pPr>
              <w:spacing w:after="0"/>
              <w:rPr>
                <w:sz w:val="1"/>
                <w:szCs w:val="1"/>
                <w:color w:val="auto"/>
              </w:rPr>
            </w:pPr>
          </w:p>
        </w:tc>
      </w:tr>
      <w:tr>
        <w:trPr>
          <w:trHeight w:val="149"/>
        </w:trPr>
        <w:tc>
          <w:tcPr>
            <w:tcW w:w="12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Remeasurement of</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20" w:type="dxa"/>
            <w:vAlign w:val="bottom"/>
          </w:tcPr>
          <w:p>
            <w:pPr>
              <w:ind w:left="280"/>
              <w:spacing w:after="0" w:line="141" w:lineRule="exact"/>
              <w:rPr>
                <w:sz w:val="20"/>
                <w:szCs w:val="20"/>
                <w:color w:val="auto"/>
              </w:rPr>
            </w:pPr>
            <w:r>
              <w:rPr>
                <w:rFonts w:ascii="Times New Roman" w:cs="Times New Roman" w:eastAsia="Times New Roman" w:hAnsi="Times New Roman"/>
                <w:sz w:val="14"/>
                <w:szCs w:val="14"/>
                <w:color w:val="auto"/>
              </w:rPr>
              <w:t>deferred taxes</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20" w:type="dxa"/>
            <w:vAlign w:val="bottom"/>
          </w:tcPr>
          <w:p>
            <w:pPr>
              <w:ind w:left="280"/>
              <w:spacing w:after="0" w:line="141" w:lineRule="exact"/>
              <w:rPr>
                <w:sz w:val="20"/>
                <w:szCs w:val="20"/>
                <w:color w:val="auto"/>
              </w:rPr>
            </w:pPr>
            <w:r>
              <w:rPr>
                <w:rFonts w:ascii="Times New Roman" w:cs="Times New Roman" w:eastAsia="Times New Roman" w:hAnsi="Times New Roman"/>
                <w:sz w:val="14"/>
                <w:szCs w:val="14"/>
                <w:color w:val="auto"/>
              </w:rPr>
              <w:t>due to change</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20" w:type="dxa"/>
            <w:vAlign w:val="bottom"/>
          </w:tcPr>
          <w:p>
            <w:pPr>
              <w:ind w:left="280"/>
              <w:spacing w:after="0" w:line="141" w:lineRule="exact"/>
              <w:rPr>
                <w:sz w:val="20"/>
                <w:szCs w:val="20"/>
                <w:color w:val="auto"/>
              </w:rPr>
            </w:pPr>
            <w:r>
              <w:rPr>
                <w:rFonts w:ascii="Times New Roman" w:cs="Times New Roman" w:eastAsia="Times New Roman" w:hAnsi="Times New Roman"/>
                <w:sz w:val="14"/>
                <w:szCs w:val="14"/>
                <w:color w:val="auto"/>
              </w:rPr>
              <w:t>in ownership</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20" w:type="dxa"/>
            <w:vAlign w:val="bottom"/>
          </w:tcPr>
          <w:p>
            <w:pPr>
              <w:ind w:left="280"/>
              <w:spacing w:after="0" w:line="141" w:lineRule="exact"/>
              <w:rPr>
                <w:sz w:val="20"/>
                <w:szCs w:val="20"/>
                <w:color w:val="auto"/>
              </w:rPr>
            </w:pPr>
            <w:r>
              <w:rPr>
                <w:rFonts w:ascii="Times New Roman" w:cs="Times New Roman" w:eastAsia="Times New Roman" w:hAnsi="Times New Roman"/>
                <w:sz w:val="14"/>
                <w:szCs w:val="14"/>
                <w:color w:val="auto"/>
              </w:rPr>
              <w:t>interest in</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20" w:type="dxa"/>
            <w:vAlign w:val="bottom"/>
          </w:tcPr>
          <w:p>
            <w:pPr>
              <w:ind w:left="280"/>
              <w:spacing w:after="0" w:line="141" w:lineRule="exact"/>
              <w:rPr>
                <w:sz w:val="20"/>
                <w:szCs w:val="20"/>
                <w:color w:val="auto"/>
              </w:rPr>
            </w:pPr>
            <w:r>
              <w:rPr>
                <w:rFonts w:ascii="Times New Roman" w:cs="Times New Roman" w:eastAsia="Times New Roman" w:hAnsi="Times New Roman"/>
                <w:sz w:val="14"/>
                <w:szCs w:val="14"/>
                <w:color w:val="auto"/>
              </w:rPr>
              <w:t>MarketWise,</w:t>
            </w:r>
          </w:p>
        </w:tc>
        <w:tc>
          <w:tcPr>
            <w:tcW w:w="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185"/>
        </w:trPr>
        <w:tc>
          <w:tcPr>
            <w:tcW w:w="1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LLC</w:t>
            </w:r>
          </w:p>
        </w:tc>
        <w:tc>
          <w:tcPr>
            <w:tcW w:w="46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22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Net income, July</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20" w:type="dxa"/>
            <w:vAlign w:val="bottom"/>
            <w:shd w:val="clear" w:color="auto" w:fill="CCEEFF"/>
          </w:tcPr>
          <w:p>
            <w:pPr>
              <w:ind w:left="280"/>
              <w:spacing w:after="0" w:line="141" w:lineRule="exact"/>
              <w:rPr>
                <w:sz w:val="20"/>
                <w:szCs w:val="20"/>
                <w:color w:val="auto"/>
              </w:rPr>
            </w:pPr>
            <w:r>
              <w:rPr>
                <w:rFonts w:ascii="Times New Roman" w:cs="Times New Roman" w:eastAsia="Times New Roman" w:hAnsi="Times New Roman"/>
                <w:sz w:val="14"/>
                <w:szCs w:val="14"/>
                <w:color w:val="auto"/>
              </w:rPr>
              <w:t>22, 2021</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20" w:type="dxa"/>
            <w:vAlign w:val="bottom"/>
            <w:shd w:val="clear" w:color="auto" w:fill="CCEEFF"/>
          </w:tcPr>
          <w:p>
            <w:pPr>
              <w:ind w:left="280"/>
              <w:spacing w:after="0" w:line="141" w:lineRule="exact"/>
              <w:rPr>
                <w:sz w:val="20"/>
                <w:szCs w:val="20"/>
                <w:color w:val="auto"/>
              </w:rPr>
            </w:pPr>
            <w:r>
              <w:rPr>
                <w:rFonts w:ascii="Times New Roman" w:cs="Times New Roman" w:eastAsia="Times New Roman" w:hAnsi="Times New Roman"/>
                <w:sz w:val="14"/>
                <w:szCs w:val="14"/>
                <w:color w:val="auto"/>
              </w:rPr>
              <w:t>through</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20" w:type="dxa"/>
            <w:vAlign w:val="bottom"/>
            <w:shd w:val="clear" w:color="auto" w:fill="CCEEFF"/>
          </w:tcPr>
          <w:p>
            <w:pPr>
              <w:ind w:left="280"/>
              <w:spacing w:after="0" w:line="141" w:lineRule="exact"/>
              <w:rPr>
                <w:sz w:val="20"/>
                <w:szCs w:val="20"/>
                <w:color w:val="auto"/>
              </w:rPr>
            </w:pPr>
            <w:r>
              <w:rPr>
                <w:rFonts w:ascii="Times New Roman" w:cs="Times New Roman" w:eastAsia="Times New Roman" w:hAnsi="Times New Roman"/>
                <w:sz w:val="14"/>
                <w:szCs w:val="14"/>
                <w:color w:val="auto"/>
              </w:rPr>
              <w:t>December 31,</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20" w:type="dxa"/>
            <w:vAlign w:val="bottom"/>
            <w:shd w:val="clear" w:color="auto" w:fill="CCEEFF"/>
          </w:tcPr>
          <w:p>
            <w:pPr>
              <w:ind w:left="280"/>
              <w:spacing w:after="0" w:line="141" w:lineRule="exact"/>
              <w:rPr>
                <w:sz w:val="20"/>
                <w:szCs w:val="20"/>
                <w:color w:val="auto"/>
              </w:rPr>
            </w:pPr>
            <w:r>
              <w:rPr>
                <w:rFonts w:ascii="Times New Roman" w:cs="Times New Roman" w:eastAsia="Times New Roman" w:hAnsi="Times New Roman"/>
                <w:sz w:val="14"/>
                <w:szCs w:val="14"/>
                <w:color w:val="auto"/>
              </w:rPr>
              <w:t>2021 (see note</w:t>
            </w:r>
          </w:p>
        </w:tc>
        <w:tc>
          <w:tcPr>
            <w:tcW w:w="40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restart"/>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restart"/>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restart"/>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restart"/>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vMerge w:val="restart"/>
            <w:shd w:val="clear" w:color="auto" w:fill="CCEEFF"/>
          </w:tcPr>
          <w:p>
            <w:pPr>
              <w:spacing w:after="0"/>
              <w:rPr>
                <w:sz w:val="12"/>
                <w:szCs w:val="12"/>
                <w:color w:val="auto"/>
              </w:rPr>
            </w:pPr>
          </w:p>
        </w:tc>
        <w:tc>
          <w:tcPr>
            <w:tcW w:w="40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18,252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18,252</w:t>
            </w:r>
          </w:p>
        </w:tc>
        <w:tc>
          <w:tcPr>
            <w:tcW w:w="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60,476</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78,728</w:t>
            </w:r>
          </w:p>
        </w:tc>
        <w:tc>
          <w:tcPr>
            <w:tcW w:w="0" w:type="dxa"/>
            <w:vAlign w:val="bottom"/>
          </w:tcPr>
          <w:p>
            <w:pPr>
              <w:spacing w:after="0"/>
              <w:rPr>
                <w:sz w:val="1"/>
                <w:szCs w:val="1"/>
                <w:color w:val="auto"/>
              </w:rPr>
            </w:pPr>
          </w:p>
        </w:tc>
      </w:tr>
      <w:tr>
        <w:trPr>
          <w:trHeight w:val="187"/>
        </w:trPr>
        <w:tc>
          <w:tcPr>
            <w:tcW w:w="12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below)</w:t>
            </w:r>
          </w:p>
        </w:tc>
        <w:tc>
          <w:tcPr>
            <w:tcW w:w="40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5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50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500" w:type="dxa"/>
            <w:vAlign w:val="bottom"/>
            <w:tcBorders>
              <w:bottom w:val="single" w:sz="8" w:color="auto"/>
            </w:tcBorders>
            <w:vMerge w:val="continue"/>
            <w:shd w:val="clear" w:color="auto" w:fill="CCEEFF"/>
          </w:tcPr>
          <w:p>
            <w:pPr>
              <w:spacing w:after="0"/>
              <w:rPr>
                <w:sz w:val="16"/>
                <w:szCs w:val="16"/>
                <w:color w:val="auto"/>
              </w:rPr>
            </w:pPr>
          </w:p>
        </w:tc>
        <w:tc>
          <w:tcPr>
            <w:tcW w:w="60" w:type="dxa"/>
            <w:vAlign w:val="bottom"/>
            <w:vMerge w:val="continue"/>
            <w:shd w:val="clear" w:color="auto" w:fill="CCEEFF"/>
          </w:tcPr>
          <w:p>
            <w:pPr>
              <w:spacing w:after="0"/>
              <w:rPr>
                <w:sz w:val="16"/>
                <w:szCs w:val="16"/>
                <w:color w:val="auto"/>
              </w:rPr>
            </w:pPr>
          </w:p>
        </w:tc>
        <w:tc>
          <w:tcPr>
            <w:tcW w:w="4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4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1220" w:type="dxa"/>
            <w:vAlign w:val="bottom"/>
          </w:tcPr>
          <w:p>
            <w:pPr>
              <w:spacing w:after="0" w:line="121" w:lineRule="exact"/>
              <w:rPr>
                <w:sz w:val="20"/>
                <w:szCs w:val="20"/>
                <w:color w:val="auto"/>
              </w:rPr>
            </w:pPr>
            <w:r>
              <w:rPr>
                <w:rFonts w:ascii="Times New Roman" w:cs="Times New Roman" w:eastAsia="Times New Roman" w:hAnsi="Times New Roman"/>
                <w:sz w:val="13"/>
                <w:szCs w:val="13"/>
                <w:b w:val="1"/>
                <w:bCs w:val="1"/>
                <w:color w:val="auto"/>
              </w:rPr>
              <w:t>Balance at</w:t>
            </w:r>
          </w:p>
        </w:tc>
        <w:tc>
          <w:tcPr>
            <w:tcW w:w="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8"/>
              </w:rPr>
              <w:t>24,718,402</w:t>
            </w:r>
          </w:p>
        </w:tc>
        <w:tc>
          <w:tcPr>
            <w:tcW w:w="6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291,092,303</w:t>
            </w:r>
          </w:p>
        </w:tc>
        <w:tc>
          <w:tcPr>
            <w:tcW w:w="6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29</w:t>
            </w:r>
          </w:p>
        </w:tc>
        <w:tc>
          <w:tcPr>
            <w:tcW w:w="60" w:type="dxa"/>
            <w:vAlign w:val="bottom"/>
          </w:tcPr>
          <w:p>
            <w:pPr>
              <w:spacing w:after="0"/>
              <w:rPr>
                <w:sz w:val="10"/>
                <w:szCs w:val="10"/>
                <w:color w:val="auto"/>
              </w:rPr>
            </w:pPr>
          </w:p>
        </w:tc>
        <w:tc>
          <w:tcPr>
            <w:tcW w:w="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   —</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$ 97,548</w:t>
            </w:r>
          </w:p>
        </w:tc>
        <w:tc>
          <w:tcPr>
            <w:tcW w:w="80" w:type="dxa"/>
            <w:vAlign w:val="bottom"/>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  (146,115)</w:t>
            </w:r>
          </w:p>
        </w:tc>
        <w:tc>
          <w:tcPr>
            <w:tcW w:w="80" w:type="dxa"/>
            <w:vAlign w:val="bottom"/>
          </w:tcPr>
          <w:p>
            <w:pPr>
              <w:spacing w:after="0"/>
              <w:rPr>
                <w:sz w:val="10"/>
                <w:szCs w:val="10"/>
                <w:color w:val="auto"/>
              </w:rPr>
            </w:pPr>
          </w:p>
        </w:tc>
        <w:tc>
          <w:tcPr>
            <w:tcW w:w="160" w:type="dxa"/>
            <w:vAlign w:val="bottom"/>
            <w:vMerge w:val="restart"/>
          </w:tcPr>
          <w:p>
            <w:pPr>
              <w:jc w:val="right"/>
              <w:ind w:right="25"/>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vMerge w:val="restart"/>
          </w:tcPr>
          <w:p>
            <w:pPr>
              <w:ind w:left="500"/>
              <w:spacing w:after="0"/>
              <w:rPr>
                <w:sz w:val="20"/>
                <w:szCs w:val="20"/>
                <w:color w:val="auto"/>
              </w:rPr>
            </w:pPr>
            <w:r>
              <w:rPr>
                <w:rFonts w:ascii="Times New Roman" w:cs="Times New Roman" w:eastAsia="Times New Roman" w:hAnsi="Times New Roman"/>
                <w:sz w:val="14"/>
                <w:szCs w:val="14"/>
                <w:color w:val="auto"/>
                <w:w w:val="97"/>
              </w:rPr>
              <w:t>(9)</w:t>
            </w:r>
          </w:p>
        </w:tc>
        <w:tc>
          <w:tcPr>
            <w:tcW w:w="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(48,545)</w:t>
            </w:r>
          </w:p>
        </w:tc>
        <w:tc>
          <w:tcPr>
            <w:tcW w:w="8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(356,717)</w:t>
            </w:r>
          </w:p>
        </w:tc>
        <w:tc>
          <w:tcPr>
            <w:tcW w:w="8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(405,262)</w:t>
            </w:r>
          </w:p>
        </w:tc>
        <w:tc>
          <w:tcPr>
            <w:tcW w:w="0" w:type="dxa"/>
            <w:vAlign w:val="bottom"/>
          </w:tcPr>
          <w:p>
            <w:pPr>
              <w:spacing w:after="0"/>
              <w:rPr>
                <w:sz w:val="1"/>
                <w:szCs w:val="1"/>
                <w:color w:val="auto"/>
              </w:rPr>
            </w:pPr>
          </w:p>
        </w:tc>
      </w:tr>
      <w:tr>
        <w:trPr>
          <w:trHeight w:val="186"/>
        </w:trPr>
        <w:tc>
          <w:tcPr>
            <w:tcW w:w="1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46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vMerge w:val="continue"/>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122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Equity-based</w:t>
            </w:r>
          </w:p>
        </w:tc>
        <w:tc>
          <w:tcPr>
            <w:tcW w:w="46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9,045</w:t>
            </w:r>
          </w:p>
        </w:tc>
        <w:tc>
          <w:tcPr>
            <w:tcW w:w="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9,045</w:t>
            </w: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9,045</w:t>
            </w:r>
          </w:p>
        </w:tc>
        <w:tc>
          <w:tcPr>
            <w:tcW w:w="0" w:type="dxa"/>
            <w:vAlign w:val="bottom"/>
          </w:tcPr>
          <w:p>
            <w:pPr>
              <w:spacing w:after="0"/>
              <w:rPr>
                <w:sz w:val="1"/>
                <w:szCs w:val="1"/>
                <w:color w:val="auto"/>
              </w:rPr>
            </w:pPr>
          </w:p>
        </w:tc>
      </w:tr>
      <w:tr>
        <w:trPr>
          <w:trHeight w:val="187"/>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w:t>
            </w:r>
          </w:p>
        </w:tc>
        <w:tc>
          <w:tcPr>
            <w:tcW w:w="46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22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Proceeds from</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20" w:type="dxa"/>
            <w:vAlign w:val="bottom"/>
          </w:tcPr>
          <w:p>
            <w:pPr>
              <w:ind w:left="140"/>
              <w:spacing w:after="0" w:line="141" w:lineRule="exact"/>
              <w:rPr>
                <w:sz w:val="20"/>
                <w:szCs w:val="20"/>
                <w:color w:val="auto"/>
              </w:rPr>
            </w:pPr>
            <w:r>
              <w:rPr>
                <w:rFonts w:ascii="Times New Roman" w:cs="Times New Roman" w:eastAsia="Times New Roman" w:hAnsi="Times New Roman"/>
                <w:sz w:val="14"/>
                <w:szCs w:val="14"/>
                <w:color w:val="auto"/>
              </w:rPr>
              <w:t>issuance of</w:t>
            </w:r>
          </w:p>
        </w:tc>
        <w:tc>
          <w:tcPr>
            <w:tcW w:w="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378,331</w:t>
            </w:r>
          </w:p>
        </w:tc>
        <w:tc>
          <w:tcPr>
            <w:tcW w:w="60" w:type="dxa"/>
            <w:vAlign w:val="bottom"/>
          </w:tcPr>
          <w:p>
            <w:pPr>
              <w:spacing w:after="0"/>
              <w:rPr>
                <w:sz w:val="12"/>
                <w:szCs w:val="12"/>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8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8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0" w:type="dxa"/>
            <w:vAlign w:val="bottom"/>
          </w:tcPr>
          <w:p>
            <w:pPr>
              <w:spacing w:after="0"/>
              <w:rPr>
                <w:sz w:val="1"/>
                <w:szCs w:val="1"/>
                <w:color w:val="auto"/>
              </w:rPr>
            </w:pPr>
          </w:p>
        </w:tc>
      </w:tr>
      <w:tr>
        <w:trPr>
          <w:trHeight w:val="185"/>
        </w:trPr>
        <w:tc>
          <w:tcPr>
            <w:tcW w:w="1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w:t>
            </w:r>
          </w:p>
        </w:tc>
        <w:tc>
          <w:tcPr>
            <w:tcW w:w="46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22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Issuance of common</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20" w:type="dxa"/>
            <w:vAlign w:val="bottom"/>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stock - warrant</w:t>
            </w:r>
          </w:p>
        </w:tc>
        <w:tc>
          <w:tcPr>
            <w:tcW w:w="46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5,939,739</w:t>
            </w:r>
          </w:p>
        </w:tc>
        <w:tc>
          <w:tcPr>
            <w:tcW w:w="6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14,400</w:t>
            </w:r>
          </w:p>
        </w:tc>
        <w:tc>
          <w:tcPr>
            <w:tcW w:w="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14,401</w:t>
            </w: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14,401</w:t>
            </w:r>
          </w:p>
        </w:tc>
        <w:tc>
          <w:tcPr>
            <w:tcW w:w="0" w:type="dxa"/>
            <w:vAlign w:val="bottom"/>
          </w:tcPr>
          <w:p>
            <w:pPr>
              <w:spacing w:after="0"/>
              <w:rPr>
                <w:sz w:val="1"/>
                <w:szCs w:val="1"/>
                <w:color w:val="auto"/>
              </w:rPr>
            </w:pPr>
          </w:p>
        </w:tc>
      </w:tr>
      <w:tr>
        <w:trPr>
          <w:trHeight w:val="187"/>
        </w:trPr>
        <w:tc>
          <w:tcPr>
            <w:tcW w:w="1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exchanges</w:t>
            </w:r>
          </w:p>
        </w:tc>
        <w:tc>
          <w:tcPr>
            <w:tcW w:w="46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220" w:type="dxa"/>
            <w:vAlign w:val="bottom"/>
          </w:tcPr>
          <w:p>
            <w:pPr>
              <w:spacing w:after="0"/>
              <w:rPr>
                <w:sz w:val="20"/>
                <w:szCs w:val="20"/>
                <w:color w:val="auto"/>
              </w:rPr>
            </w:pPr>
            <w:r>
              <w:rPr>
                <w:rFonts w:ascii="Times New Roman" w:cs="Times New Roman" w:eastAsia="Times New Roman" w:hAnsi="Times New Roman"/>
                <w:sz w:val="14"/>
                <w:szCs w:val="14"/>
                <w:color w:val="auto"/>
              </w:rPr>
              <w:t>Repurchases of stock</w:t>
            </w: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(2,484,717)</w:t>
            </w:r>
          </w:p>
        </w:tc>
        <w:tc>
          <w:tcPr>
            <w:tcW w:w="60" w:type="dxa"/>
            <w:vAlign w:val="bottom"/>
          </w:tcPr>
          <w:p>
            <w:pPr>
              <w:spacing w:after="0"/>
              <w:rPr>
                <w:sz w:val="16"/>
                <w:szCs w:val="16"/>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(13,054)</w:t>
            </w:r>
          </w:p>
        </w:tc>
        <w:tc>
          <w:tcPr>
            <w:tcW w:w="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(13,054)</w:t>
            </w: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(13,054)</w:t>
            </w:r>
          </w:p>
        </w:tc>
        <w:tc>
          <w:tcPr>
            <w:tcW w:w="0" w:type="dxa"/>
            <w:vAlign w:val="bottom"/>
          </w:tcPr>
          <w:p>
            <w:pPr>
              <w:spacing w:after="0"/>
              <w:rPr>
                <w:sz w:val="1"/>
                <w:szCs w:val="1"/>
                <w:color w:val="auto"/>
              </w:rPr>
            </w:pPr>
          </w:p>
        </w:tc>
      </w:tr>
      <w:tr>
        <w:trPr>
          <w:trHeight w:val="142"/>
        </w:trPr>
        <w:tc>
          <w:tcPr>
            <w:tcW w:w="122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Vesting of restricted</w:t>
            </w:r>
          </w:p>
        </w:tc>
        <w:tc>
          <w:tcPr>
            <w:tcW w:w="46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487,900</w:t>
            </w:r>
          </w:p>
        </w:tc>
        <w:tc>
          <w:tcPr>
            <w:tcW w:w="6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1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 units</w:t>
            </w:r>
          </w:p>
        </w:tc>
        <w:tc>
          <w:tcPr>
            <w:tcW w:w="46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22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Restricted stock</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20" w:type="dxa"/>
            <w:vAlign w:val="bottom"/>
          </w:tcPr>
          <w:p>
            <w:pPr>
              <w:ind w:left="140"/>
              <w:spacing w:after="0" w:line="141" w:lineRule="exact"/>
              <w:rPr>
                <w:sz w:val="20"/>
                <w:szCs w:val="20"/>
                <w:color w:val="auto"/>
              </w:rPr>
            </w:pPr>
            <w:r>
              <w:rPr>
                <w:rFonts w:ascii="Times New Roman" w:cs="Times New Roman" w:eastAsia="Times New Roman" w:hAnsi="Times New Roman"/>
                <w:sz w:val="14"/>
                <w:szCs w:val="14"/>
                <w:color w:val="auto"/>
              </w:rPr>
              <w:t>units withheld to</w:t>
            </w:r>
          </w:p>
        </w:tc>
        <w:tc>
          <w:tcPr>
            <w:tcW w:w="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8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8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0" w:type="dxa"/>
            <w:vAlign w:val="bottom"/>
          </w:tcPr>
          <w:p>
            <w:pPr>
              <w:spacing w:after="0"/>
              <w:rPr>
                <w:sz w:val="1"/>
                <w:szCs w:val="1"/>
                <w:color w:val="auto"/>
              </w:rPr>
            </w:pPr>
          </w:p>
        </w:tc>
      </w:tr>
      <w:tr>
        <w:trPr>
          <w:trHeight w:val="185"/>
        </w:trPr>
        <w:tc>
          <w:tcPr>
            <w:tcW w:w="1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 taxes</w:t>
            </w:r>
          </w:p>
        </w:tc>
        <w:tc>
          <w:tcPr>
            <w:tcW w:w="46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480" w:type="dxa"/>
            <w:vAlign w:val="bottom"/>
            <w:gridSpan w:val="2"/>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22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Acquisition of</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20" w:type="dxa"/>
            <w:vAlign w:val="bottom"/>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noncontrolling</w:t>
            </w:r>
          </w:p>
        </w:tc>
        <w:tc>
          <w:tcPr>
            <w:tcW w:w="46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w:t>
            </w:r>
          </w:p>
        </w:tc>
        <w:tc>
          <w:tcPr>
            <w:tcW w:w="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w:t>
            </w:r>
          </w:p>
        </w:tc>
        <w:tc>
          <w:tcPr>
            <w:tcW w:w="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0" w:type="dxa"/>
            <w:vAlign w:val="bottom"/>
          </w:tcPr>
          <w:p>
            <w:pPr>
              <w:spacing w:after="0"/>
              <w:rPr>
                <w:sz w:val="1"/>
                <w:szCs w:val="1"/>
                <w:color w:val="auto"/>
              </w:rPr>
            </w:pPr>
          </w:p>
        </w:tc>
      </w:tr>
      <w:tr>
        <w:trPr>
          <w:trHeight w:val="187"/>
        </w:trPr>
        <w:tc>
          <w:tcPr>
            <w:tcW w:w="1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 Chaikin</w:t>
            </w:r>
          </w:p>
        </w:tc>
        <w:tc>
          <w:tcPr>
            <w:tcW w:w="46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220" w:type="dxa"/>
            <w:vAlign w:val="bottom"/>
          </w:tcPr>
          <w:p>
            <w:pPr>
              <w:spacing w:after="0"/>
              <w:rPr>
                <w:sz w:val="20"/>
                <w:szCs w:val="20"/>
                <w:color w:val="auto"/>
              </w:rPr>
            </w:pPr>
            <w:r>
              <w:rPr>
                <w:rFonts w:ascii="Times New Roman" w:cs="Times New Roman" w:eastAsia="Times New Roman" w:hAnsi="Times New Roman"/>
                <w:sz w:val="14"/>
                <w:szCs w:val="14"/>
                <w:color w:val="auto"/>
              </w:rPr>
              <w:t>Distributions</w:t>
            </w: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(4,609)</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(4,609)</w:t>
            </w:r>
          </w:p>
        </w:tc>
        <w:tc>
          <w:tcPr>
            <w:tcW w:w="0" w:type="dxa"/>
            <w:vAlign w:val="bottom"/>
          </w:tcPr>
          <w:p>
            <w:pPr>
              <w:spacing w:after="0"/>
              <w:rPr>
                <w:sz w:val="1"/>
                <w:szCs w:val="1"/>
                <w:color w:val="auto"/>
              </w:rPr>
            </w:pPr>
          </w:p>
        </w:tc>
      </w:tr>
      <w:tr>
        <w:trPr>
          <w:trHeight w:val="142"/>
        </w:trPr>
        <w:tc>
          <w:tcPr>
            <w:tcW w:w="122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Foreign currency</w:t>
            </w: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20" w:type="dxa"/>
            <w:vAlign w:val="bottom"/>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translation</w:t>
            </w:r>
          </w:p>
        </w:tc>
        <w:tc>
          <w:tcPr>
            <w:tcW w:w="46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87"/>
        </w:trPr>
        <w:tc>
          <w:tcPr>
            <w:tcW w:w="1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w:t>
            </w:r>
          </w:p>
        </w:tc>
        <w:tc>
          <w:tcPr>
            <w:tcW w:w="460" w:type="dxa"/>
            <w:vAlign w:val="bottom"/>
            <w:gridSpan w:val="2"/>
            <w:vMerge w:val="continue"/>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480" w:type="dxa"/>
            <w:vAlign w:val="bottom"/>
            <w:gridSpan w:val="2"/>
            <w:vMerge w:val="continue"/>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22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Remeasurement of</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20" w:type="dxa"/>
            <w:vAlign w:val="bottom"/>
          </w:tcPr>
          <w:p>
            <w:pPr>
              <w:ind w:left="140"/>
              <w:spacing w:after="0" w:line="141" w:lineRule="exact"/>
              <w:rPr>
                <w:sz w:val="20"/>
                <w:szCs w:val="20"/>
                <w:color w:val="auto"/>
              </w:rPr>
            </w:pPr>
            <w:r>
              <w:rPr>
                <w:rFonts w:ascii="Times New Roman" w:cs="Times New Roman" w:eastAsia="Times New Roman" w:hAnsi="Times New Roman"/>
                <w:sz w:val="14"/>
                <w:szCs w:val="14"/>
                <w:color w:val="auto"/>
              </w:rPr>
              <w:t>deferred taxes due</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20" w:type="dxa"/>
            <w:vAlign w:val="bottom"/>
          </w:tcPr>
          <w:p>
            <w:pPr>
              <w:ind w:left="140"/>
              <w:spacing w:after="0" w:line="141" w:lineRule="exact"/>
              <w:rPr>
                <w:sz w:val="20"/>
                <w:szCs w:val="20"/>
                <w:color w:val="auto"/>
              </w:rPr>
            </w:pPr>
            <w:r>
              <w:rPr>
                <w:rFonts w:ascii="Times New Roman" w:cs="Times New Roman" w:eastAsia="Times New Roman" w:hAnsi="Times New Roman"/>
                <w:sz w:val="14"/>
                <w:szCs w:val="14"/>
                <w:color w:val="auto"/>
              </w:rPr>
              <w:t>to change in</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20" w:type="dxa"/>
            <w:vAlign w:val="bottom"/>
          </w:tcPr>
          <w:p>
            <w:pPr>
              <w:ind w:left="140"/>
              <w:spacing w:after="0" w:line="141" w:lineRule="exact"/>
              <w:rPr>
                <w:sz w:val="20"/>
                <w:szCs w:val="20"/>
                <w:color w:val="auto"/>
              </w:rPr>
            </w:pPr>
            <w:r>
              <w:rPr>
                <w:rFonts w:ascii="Times New Roman" w:cs="Times New Roman" w:eastAsia="Times New Roman" w:hAnsi="Times New Roman"/>
                <w:sz w:val="14"/>
                <w:szCs w:val="14"/>
                <w:color w:val="auto"/>
              </w:rPr>
              <w:t>noncontrolling</w:t>
            </w:r>
          </w:p>
        </w:tc>
        <w:tc>
          <w:tcPr>
            <w:tcW w:w="4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tcPr>
          <w:p>
            <w:pPr>
              <w:spacing w:after="0"/>
              <w:rPr>
                <w:sz w:val="12"/>
                <w:szCs w:val="12"/>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6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80" w:type="dxa"/>
            <w:vAlign w:val="bottom"/>
          </w:tcPr>
          <w:p>
            <w:pPr>
              <w:spacing w:after="0"/>
              <w:rPr>
                <w:sz w:val="12"/>
                <w:szCs w:val="12"/>
                <w:color w:val="auto"/>
              </w:rPr>
            </w:pP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183"/>
        </w:trPr>
        <w:tc>
          <w:tcPr>
            <w:tcW w:w="1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w:t>
            </w:r>
          </w:p>
        </w:tc>
        <w:tc>
          <w:tcPr>
            <w:tcW w:w="460" w:type="dxa"/>
            <w:vAlign w:val="bottom"/>
            <w:gridSpan w:val="2"/>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75" w:name="page76"/>
    <w:bookmarkEnd w:id="75"/>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MARKETWISE, INC.</w:t>
      </w:r>
    </w:p>
    <w:p>
      <w:pPr>
        <w:spacing w:after="0" w:line="2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Deficit / Members’ Deficit</w:t>
      </w:r>
    </w:p>
    <w:p>
      <w:pPr>
        <w:spacing w:after="0" w:line="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i w:val="1"/>
          <w:iCs w:val="1"/>
          <w:color w:val="auto"/>
        </w:rPr>
        <w:t>(In thousands, except share and unit data)</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0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72"/>
              <w:spacing w:after="0"/>
              <w:rPr>
                <w:sz w:val="20"/>
                <w:szCs w:val="20"/>
                <w:color w:val="auto"/>
              </w:rPr>
            </w:pPr>
            <w:r>
              <w:rPr>
                <w:rFonts w:ascii="Times New Roman" w:cs="Times New Roman" w:eastAsia="Times New Roman" w:hAnsi="Times New Roman"/>
                <w:sz w:val="12"/>
                <w:szCs w:val="12"/>
                <w:b w:val="1"/>
                <w:bCs w:val="1"/>
                <w:color w:val="auto"/>
              </w:rPr>
              <w:t>Total</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0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center"/>
              <w:ind w:right="52"/>
              <w:spacing w:after="0" w:line="119" w:lineRule="exact"/>
              <w:rPr>
                <w:sz w:val="20"/>
                <w:szCs w:val="20"/>
                <w:color w:val="auto"/>
              </w:rPr>
            </w:pPr>
            <w:r>
              <w:rPr>
                <w:rFonts w:ascii="Times New Roman" w:cs="Times New Roman" w:eastAsia="Times New Roman" w:hAnsi="Times New Roman"/>
                <w:sz w:val="12"/>
                <w:szCs w:val="12"/>
                <w:b w:val="1"/>
                <w:bCs w:val="1"/>
                <w:color w:val="auto"/>
              </w:rPr>
              <w:t>Deficit /</w:t>
            </w: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center"/>
              <w:ind w:right="52"/>
              <w:spacing w:after="0" w:line="129" w:lineRule="exact"/>
              <w:rPr>
                <w:sz w:val="20"/>
                <w:szCs w:val="20"/>
                <w:color w:val="auto"/>
              </w:rPr>
            </w:pPr>
            <w:r>
              <w:rPr>
                <w:rFonts w:ascii="Times New Roman" w:cs="Times New Roman" w:eastAsia="Times New Roman" w:hAnsi="Times New Roman"/>
                <w:sz w:val="12"/>
                <w:szCs w:val="12"/>
                <w:b w:val="1"/>
                <w:bCs w:val="1"/>
                <w:color w:val="auto"/>
              </w:rPr>
              <w:t>Members’</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jc w:val="center"/>
              <w:ind w:right="34"/>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27"/>
        </w:trPr>
        <w:tc>
          <w:tcPr>
            <w:tcW w:w="10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center"/>
              <w:ind w:right="72"/>
              <w:spacing w:after="0" w:line="127" w:lineRule="exact"/>
              <w:rPr>
                <w:sz w:val="20"/>
                <w:szCs w:val="20"/>
                <w:color w:val="auto"/>
              </w:rPr>
            </w:pPr>
            <w:r>
              <w:rPr>
                <w:rFonts w:ascii="Times New Roman" w:cs="Times New Roman" w:eastAsia="Times New Roman" w:hAnsi="Times New Roman"/>
                <w:sz w:val="12"/>
                <w:szCs w:val="12"/>
                <w:b w:val="1"/>
                <w:bCs w:val="1"/>
                <w:color w:val="auto"/>
              </w:rPr>
              <w:t>Deficit</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720" w:type="dxa"/>
            <w:vAlign w:val="bottom"/>
            <w:gridSpan w:val="2"/>
          </w:tcPr>
          <w:p>
            <w:pPr>
              <w:ind w:left="280"/>
              <w:spacing w:after="0"/>
              <w:rPr>
                <w:sz w:val="20"/>
                <w:szCs w:val="20"/>
                <w:color w:val="auto"/>
              </w:rPr>
            </w:pPr>
            <w:r>
              <w:rPr>
                <w:rFonts w:ascii="Times New Roman" w:cs="Times New Roman" w:eastAsia="Times New Roman" w:hAnsi="Times New Roman"/>
                <w:sz w:val="12"/>
                <w:szCs w:val="12"/>
                <w:b w:val="1"/>
                <w:bCs w:val="1"/>
                <w:color w:val="auto"/>
              </w:rPr>
              <w:t>Class A</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Common Stock - Class</w:t>
            </w:r>
          </w:p>
        </w:tc>
        <w:tc>
          <w:tcPr>
            <w:tcW w:w="1400" w:type="dxa"/>
            <w:vAlign w:val="bottom"/>
            <w:gridSpan w:val="4"/>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Common Stock - Class</w:t>
            </w:r>
          </w:p>
        </w:tc>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Preferred Stock</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84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Attributable</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29"/>
        </w:trPr>
        <w:tc>
          <w:tcPr>
            <w:tcW w:w="1080" w:type="dxa"/>
            <w:vAlign w:val="bottom"/>
          </w:tcPr>
          <w:p>
            <w:pPr>
              <w:spacing w:after="0"/>
              <w:rPr>
                <w:sz w:val="11"/>
                <w:szCs w:val="11"/>
                <w:color w:val="auto"/>
              </w:rPr>
            </w:pPr>
          </w:p>
        </w:tc>
        <w:tc>
          <w:tcPr>
            <w:tcW w:w="1040" w:type="dxa"/>
            <w:vAlign w:val="bottom"/>
            <w:gridSpan w:val="4"/>
          </w:tcPr>
          <w:p>
            <w:pPr>
              <w:jc w:val="right"/>
              <w:ind w:right="140"/>
              <w:spacing w:after="0" w:line="129" w:lineRule="exact"/>
              <w:rPr>
                <w:sz w:val="20"/>
                <w:szCs w:val="20"/>
                <w:color w:val="auto"/>
              </w:rPr>
            </w:pPr>
            <w:r>
              <w:rPr>
                <w:rFonts w:ascii="Times New Roman" w:cs="Times New Roman" w:eastAsia="Times New Roman" w:hAnsi="Times New Roman"/>
                <w:sz w:val="12"/>
                <w:szCs w:val="12"/>
                <w:b w:val="1"/>
                <w:bCs w:val="1"/>
                <w:color w:val="auto"/>
              </w:rPr>
              <w:t>Members’ units</w:t>
            </w:r>
          </w:p>
        </w:tc>
        <w:tc>
          <w:tcPr>
            <w:tcW w:w="72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b w:val="1"/>
                <w:bCs w:val="1"/>
                <w:color w:val="auto"/>
              </w:rPr>
              <w:t>A</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jc w:val="right"/>
              <w:ind w:right="11"/>
              <w:spacing w:after="0" w:line="129" w:lineRule="exact"/>
              <w:rPr>
                <w:sz w:val="20"/>
                <w:szCs w:val="20"/>
                <w:color w:val="auto"/>
              </w:rPr>
            </w:pPr>
            <w:r>
              <w:rPr>
                <w:rFonts w:ascii="Times New Roman" w:cs="Times New Roman" w:eastAsia="Times New Roman" w:hAnsi="Times New Roman"/>
                <w:sz w:val="12"/>
                <w:szCs w:val="12"/>
                <w:b w:val="1"/>
                <w:bCs w:val="1"/>
                <w:color w:val="auto"/>
              </w:rPr>
              <w:t>B</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jc w:val="center"/>
              <w:ind w:right="150"/>
              <w:spacing w:after="0" w:line="129" w:lineRule="exact"/>
              <w:rPr>
                <w:sz w:val="20"/>
                <w:szCs w:val="20"/>
                <w:color w:val="auto"/>
              </w:rPr>
            </w:pPr>
            <w:r>
              <w:rPr>
                <w:rFonts w:ascii="Times New Roman" w:cs="Times New Roman" w:eastAsia="Times New Roman" w:hAnsi="Times New Roman"/>
                <w:sz w:val="12"/>
                <w:szCs w:val="12"/>
                <w:b w:val="1"/>
                <w:bCs w:val="1"/>
                <w:color w:val="auto"/>
              </w:rPr>
              <w:t>Other</w:t>
            </w:r>
          </w:p>
        </w:tc>
        <w:tc>
          <w:tcPr>
            <w:tcW w:w="140" w:type="dxa"/>
            <w:vAlign w:val="bottom"/>
          </w:tcPr>
          <w:p>
            <w:pPr>
              <w:spacing w:after="0"/>
              <w:rPr>
                <w:sz w:val="11"/>
                <w:szCs w:val="11"/>
                <w:color w:val="auto"/>
              </w:rPr>
            </w:pPr>
          </w:p>
        </w:tc>
        <w:tc>
          <w:tcPr>
            <w:tcW w:w="700" w:type="dxa"/>
            <w:vAlign w:val="bottom"/>
          </w:tcPr>
          <w:p>
            <w:pPr>
              <w:jc w:val="center"/>
              <w:ind w:right="52"/>
              <w:spacing w:after="0" w:line="129" w:lineRule="exact"/>
              <w:rPr>
                <w:sz w:val="20"/>
                <w:szCs w:val="20"/>
                <w:color w:val="auto"/>
              </w:rPr>
            </w:pPr>
            <w:r>
              <w:rPr>
                <w:rFonts w:ascii="Times New Roman" w:cs="Times New Roman" w:eastAsia="Times New Roman" w:hAnsi="Times New Roman"/>
                <w:sz w:val="12"/>
                <w:szCs w:val="12"/>
                <w:b w:val="1"/>
                <w:bCs w:val="1"/>
                <w:color w:val="auto"/>
                <w:w w:val="99"/>
              </w:rPr>
              <w:t>to</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center"/>
              <w:ind w:right="34"/>
              <w:spacing w:after="0" w:line="129" w:lineRule="exact"/>
              <w:rPr>
                <w:sz w:val="20"/>
                <w:szCs w:val="20"/>
                <w:color w:val="auto"/>
              </w:rPr>
            </w:pPr>
            <w:r>
              <w:rPr>
                <w:rFonts w:ascii="Times New Roman" w:cs="Times New Roman" w:eastAsia="Times New Roman" w:hAnsi="Times New Roman"/>
                <w:sz w:val="12"/>
                <w:szCs w:val="12"/>
                <w:b w:val="1"/>
                <w:bCs w:val="1"/>
                <w:color w:val="auto"/>
                <w:w w:val="99"/>
              </w:rPr>
              <w:t>Deficit /</w:t>
            </w:r>
          </w:p>
        </w:tc>
        <w:tc>
          <w:tcPr>
            <w:tcW w:w="0" w:type="dxa"/>
            <w:vAlign w:val="bottom"/>
          </w:tcPr>
          <w:p>
            <w:pPr>
              <w:spacing w:after="0"/>
              <w:rPr>
                <w:sz w:val="1"/>
                <w:szCs w:val="1"/>
                <w:color w:val="auto"/>
              </w:rPr>
            </w:pPr>
          </w:p>
        </w:tc>
      </w:tr>
      <w:tr>
        <w:trPr>
          <w:trHeight w:val="47"/>
        </w:trPr>
        <w:tc>
          <w:tcPr>
            <w:tcW w:w="108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740" w:type="dxa"/>
            <w:vAlign w:val="bottom"/>
          </w:tcPr>
          <w:p>
            <w:pPr>
              <w:jc w:val="center"/>
              <w:spacing w:after="0" w:line="47" w:lineRule="exact"/>
              <w:rPr>
                <w:sz w:val="20"/>
                <w:szCs w:val="20"/>
                <w:color w:val="auto"/>
              </w:rPr>
            </w:pPr>
            <w:r>
              <w:rPr>
                <w:rFonts w:ascii="Times New Roman" w:cs="Times New Roman" w:eastAsia="Times New Roman" w:hAnsi="Times New Roman"/>
                <w:sz w:val="5"/>
                <w:szCs w:val="5"/>
                <w:b w:val="1"/>
                <w:bCs w:val="1"/>
                <w:color w:val="auto"/>
              </w:rPr>
              <w:t>paid-in</w:t>
            </w:r>
          </w:p>
        </w:tc>
        <w:tc>
          <w:tcPr>
            <w:tcW w:w="820" w:type="dxa"/>
            <w:vAlign w:val="bottom"/>
            <w:gridSpan w:val="2"/>
          </w:tcPr>
          <w:p>
            <w:pPr>
              <w:jc w:val="right"/>
              <w:spacing w:after="0" w:line="47" w:lineRule="exact"/>
              <w:rPr>
                <w:sz w:val="20"/>
                <w:szCs w:val="20"/>
                <w:color w:val="auto"/>
              </w:rPr>
            </w:pPr>
            <w:r>
              <w:rPr>
                <w:rFonts w:ascii="Times New Roman" w:cs="Times New Roman" w:eastAsia="Times New Roman" w:hAnsi="Times New Roman"/>
                <w:sz w:val="5"/>
                <w:szCs w:val="5"/>
                <w:b w:val="1"/>
                <w:bCs w:val="1"/>
                <w:color w:val="auto"/>
              </w:rPr>
              <w:t>Accumulated</w:t>
            </w:r>
          </w:p>
        </w:tc>
        <w:tc>
          <w:tcPr>
            <w:tcW w:w="920" w:type="dxa"/>
            <w:vAlign w:val="bottom"/>
            <w:gridSpan w:val="2"/>
          </w:tcPr>
          <w:p>
            <w:pPr>
              <w:jc w:val="center"/>
              <w:spacing w:after="0" w:line="47" w:lineRule="exact"/>
              <w:rPr>
                <w:sz w:val="20"/>
                <w:szCs w:val="20"/>
                <w:color w:val="auto"/>
              </w:rPr>
            </w:pPr>
            <w:r>
              <w:rPr>
                <w:rFonts w:ascii="Times New Roman" w:cs="Times New Roman" w:eastAsia="Times New Roman" w:hAnsi="Times New Roman"/>
                <w:sz w:val="5"/>
                <w:szCs w:val="5"/>
                <w:b w:val="1"/>
                <w:bCs w:val="1"/>
                <w:color w:val="auto"/>
              </w:rPr>
              <w:t>Comprehensive</w:t>
            </w:r>
          </w:p>
        </w:tc>
        <w:tc>
          <w:tcPr>
            <w:tcW w:w="840" w:type="dxa"/>
            <w:vAlign w:val="bottom"/>
            <w:gridSpan w:val="2"/>
          </w:tcPr>
          <w:p>
            <w:pPr>
              <w:jc w:val="center"/>
              <w:spacing w:after="0" w:line="47" w:lineRule="exact"/>
              <w:rPr>
                <w:sz w:val="20"/>
                <w:szCs w:val="20"/>
                <w:color w:val="auto"/>
              </w:rPr>
            </w:pPr>
            <w:r>
              <w:rPr>
                <w:rFonts w:ascii="Times New Roman" w:cs="Times New Roman" w:eastAsia="Times New Roman" w:hAnsi="Times New Roman"/>
                <w:sz w:val="5"/>
                <w:szCs w:val="5"/>
                <w:b w:val="1"/>
                <w:bCs w:val="1"/>
                <w:color w:val="auto"/>
              </w:rPr>
              <w:t>MarketWise,</w:t>
            </w:r>
          </w:p>
        </w:tc>
        <w:tc>
          <w:tcPr>
            <w:tcW w:w="920" w:type="dxa"/>
            <w:vAlign w:val="bottom"/>
            <w:gridSpan w:val="2"/>
          </w:tcPr>
          <w:p>
            <w:pPr>
              <w:ind w:left="60"/>
              <w:spacing w:after="0" w:line="47" w:lineRule="exact"/>
              <w:rPr>
                <w:sz w:val="20"/>
                <w:szCs w:val="20"/>
                <w:color w:val="auto"/>
              </w:rPr>
            </w:pPr>
            <w:r>
              <w:rPr>
                <w:rFonts w:ascii="Times New Roman" w:cs="Times New Roman" w:eastAsia="Times New Roman" w:hAnsi="Times New Roman"/>
                <w:sz w:val="5"/>
                <w:szCs w:val="5"/>
                <w:b w:val="1"/>
                <w:bCs w:val="1"/>
                <w:color w:val="auto"/>
              </w:rPr>
              <w:t>Noncontrolling</w:t>
            </w:r>
          </w:p>
        </w:tc>
        <w:tc>
          <w:tcPr>
            <w:tcW w:w="140" w:type="dxa"/>
            <w:vAlign w:val="bottom"/>
          </w:tcPr>
          <w:p>
            <w:pPr>
              <w:spacing w:after="0"/>
              <w:rPr>
                <w:sz w:val="4"/>
                <w:szCs w:val="4"/>
                <w:color w:val="auto"/>
              </w:rPr>
            </w:pPr>
          </w:p>
        </w:tc>
        <w:tc>
          <w:tcPr>
            <w:tcW w:w="660" w:type="dxa"/>
            <w:vAlign w:val="bottom"/>
          </w:tcPr>
          <w:p>
            <w:pPr>
              <w:jc w:val="center"/>
              <w:ind w:right="34"/>
              <w:spacing w:after="0" w:line="47" w:lineRule="exact"/>
              <w:rPr>
                <w:sz w:val="20"/>
                <w:szCs w:val="20"/>
                <w:color w:val="auto"/>
              </w:rPr>
            </w:pPr>
            <w:r>
              <w:rPr>
                <w:rFonts w:ascii="Times New Roman" w:cs="Times New Roman" w:eastAsia="Times New Roman" w:hAnsi="Times New Roman"/>
                <w:sz w:val="5"/>
                <w:szCs w:val="5"/>
                <w:b w:val="1"/>
                <w:bCs w:val="1"/>
                <w:color w:val="auto"/>
              </w:rPr>
              <w:t>Members’</w:t>
            </w:r>
          </w:p>
        </w:tc>
        <w:tc>
          <w:tcPr>
            <w:tcW w:w="0" w:type="dxa"/>
            <w:vAlign w:val="bottom"/>
          </w:tcPr>
          <w:p>
            <w:pPr>
              <w:spacing w:after="0"/>
              <w:rPr>
                <w:sz w:val="1"/>
                <w:szCs w:val="1"/>
                <w:color w:val="auto"/>
              </w:rPr>
            </w:pPr>
          </w:p>
        </w:tc>
      </w:tr>
      <w:tr>
        <w:trPr>
          <w:trHeight w:val="186"/>
        </w:trPr>
        <w:tc>
          <w:tcPr>
            <w:tcW w:w="1080" w:type="dxa"/>
            <w:vAlign w:val="bottom"/>
          </w:tcPr>
          <w:p>
            <w:pPr>
              <w:spacing w:after="0"/>
              <w:rPr>
                <w:sz w:val="16"/>
                <w:szCs w:val="16"/>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720" w:type="dxa"/>
            <w:vAlign w:val="bottom"/>
          </w:tcPr>
          <w:p>
            <w:pPr>
              <w:jc w:val="right"/>
              <w:ind w:right="131"/>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0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800" w:type="dxa"/>
            <w:vAlign w:val="bottom"/>
          </w:tcPr>
          <w:p>
            <w:pPr>
              <w:jc w:val="right"/>
              <w:ind w:right="171"/>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0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4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7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60" w:type="dxa"/>
            <w:vAlign w:val="bottom"/>
          </w:tcPr>
          <w:p>
            <w:pPr>
              <w:spacing w:after="0"/>
              <w:rPr>
                <w:sz w:val="16"/>
                <w:szCs w:val="16"/>
                <w:color w:val="auto"/>
              </w:rPr>
            </w:pPr>
          </w:p>
        </w:tc>
        <w:tc>
          <w:tcPr>
            <w:tcW w:w="660" w:type="dxa"/>
            <w:vAlign w:val="bottom"/>
          </w:tcPr>
          <w:p>
            <w:pPr>
              <w:jc w:val="right"/>
              <w:ind w:right="17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92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140" w:type="dxa"/>
            <w:vAlign w:val="bottom"/>
          </w:tcPr>
          <w:p>
            <w:pPr>
              <w:spacing w:after="0"/>
              <w:rPr>
                <w:sz w:val="16"/>
                <w:szCs w:val="16"/>
                <w:color w:val="auto"/>
              </w:rPr>
            </w:pPr>
          </w:p>
        </w:tc>
        <w:tc>
          <w:tcPr>
            <w:tcW w:w="700" w:type="dxa"/>
            <w:vAlign w:val="bottom"/>
          </w:tcPr>
          <w:p>
            <w:pPr>
              <w:jc w:val="center"/>
              <w:ind w:right="72"/>
              <w:spacing w:after="0"/>
              <w:rPr>
                <w:sz w:val="20"/>
                <w:szCs w:val="20"/>
                <w:color w:val="auto"/>
              </w:rPr>
            </w:pPr>
            <w:r>
              <w:rPr>
                <w:rFonts w:ascii="Times New Roman" w:cs="Times New Roman" w:eastAsia="Times New Roman" w:hAnsi="Times New Roman"/>
                <w:sz w:val="12"/>
                <w:szCs w:val="12"/>
                <w:b w:val="1"/>
                <w:bCs w:val="1"/>
                <w:color w:val="auto"/>
              </w:rPr>
              <w:t>Inc.</w:t>
            </w:r>
          </w:p>
        </w:tc>
        <w:tc>
          <w:tcPr>
            <w:tcW w:w="200" w:type="dxa"/>
            <w:vAlign w:val="bottom"/>
          </w:tcPr>
          <w:p>
            <w:pPr>
              <w:spacing w:after="0"/>
              <w:rPr>
                <w:sz w:val="16"/>
                <w:szCs w:val="16"/>
                <w:color w:val="auto"/>
              </w:rPr>
            </w:pPr>
          </w:p>
        </w:tc>
        <w:tc>
          <w:tcPr>
            <w:tcW w:w="720" w:type="dxa"/>
            <w:vAlign w:val="bottom"/>
          </w:tcPr>
          <w:p>
            <w:pPr>
              <w:jc w:val="right"/>
              <w:ind w:right="190"/>
              <w:spacing w:after="0"/>
              <w:rPr>
                <w:sz w:val="20"/>
                <w:szCs w:val="20"/>
                <w:color w:val="auto"/>
              </w:rPr>
            </w:pPr>
            <w:r>
              <w:rPr>
                <w:rFonts w:ascii="Times New Roman" w:cs="Times New Roman" w:eastAsia="Times New Roman" w:hAnsi="Times New Roman"/>
                <w:sz w:val="12"/>
                <w:szCs w:val="12"/>
                <w:b w:val="1"/>
                <w:bCs w:val="1"/>
                <w:color w:val="auto"/>
              </w:rPr>
              <w:t>Interest</w:t>
            </w:r>
          </w:p>
        </w:tc>
        <w:tc>
          <w:tcPr>
            <w:tcW w:w="140" w:type="dxa"/>
            <w:vAlign w:val="bottom"/>
          </w:tcPr>
          <w:p>
            <w:pPr>
              <w:spacing w:after="0"/>
              <w:rPr>
                <w:sz w:val="16"/>
                <w:szCs w:val="16"/>
                <w:color w:val="auto"/>
              </w:rPr>
            </w:pPr>
          </w:p>
        </w:tc>
        <w:tc>
          <w:tcPr>
            <w:tcW w:w="660" w:type="dxa"/>
            <w:vAlign w:val="bottom"/>
          </w:tcPr>
          <w:p>
            <w:pPr>
              <w:jc w:val="center"/>
              <w:ind w:right="34"/>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0" w:type="dxa"/>
            <w:vAlign w:val="bottom"/>
          </w:tcPr>
          <w:p>
            <w:pPr>
              <w:spacing w:after="0"/>
              <w:rPr>
                <w:sz w:val="1"/>
                <w:szCs w:val="1"/>
                <w:color w:val="auto"/>
              </w:rPr>
            </w:pPr>
          </w:p>
        </w:tc>
      </w:tr>
      <w:tr>
        <w:trPr>
          <w:trHeight w:val="191"/>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4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17,990</w:t>
            </w:r>
          </w:p>
        </w:tc>
        <w:tc>
          <w:tcPr>
            <w:tcW w:w="2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17,990</w:t>
            </w: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83,180</w:t>
            </w: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101,170</w:t>
            </w:r>
          </w:p>
        </w:tc>
        <w:tc>
          <w:tcPr>
            <w:tcW w:w="0" w:type="dxa"/>
            <w:vAlign w:val="bottom"/>
          </w:tcPr>
          <w:p>
            <w:pPr>
              <w:spacing w:after="0"/>
              <w:rPr>
                <w:sz w:val="1"/>
                <w:szCs w:val="1"/>
                <w:color w:val="auto"/>
              </w:rPr>
            </w:pPr>
          </w:p>
        </w:tc>
      </w:tr>
      <w:tr>
        <w:trPr>
          <w:trHeight w:val="120"/>
        </w:trPr>
        <w:tc>
          <w:tcPr>
            <w:tcW w:w="1080" w:type="dxa"/>
            <w:vAlign w:val="bottom"/>
          </w:tcPr>
          <w:p>
            <w:pPr>
              <w:spacing w:after="0" w:line="121" w:lineRule="exact"/>
              <w:rPr>
                <w:sz w:val="20"/>
                <w:szCs w:val="20"/>
                <w:color w:val="auto"/>
              </w:rPr>
            </w:pPr>
            <w:r>
              <w:rPr>
                <w:rFonts w:ascii="Times New Roman" w:cs="Times New Roman" w:eastAsia="Times New Roman" w:hAnsi="Times New Roman"/>
                <w:sz w:val="13"/>
                <w:szCs w:val="13"/>
                <w:b w:val="1"/>
                <w:bCs w:val="1"/>
                <w:color w:val="auto"/>
              </w:rPr>
              <w:t>Balance at</w:t>
            </w: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080" w:type="dxa"/>
            <w:vAlign w:val="bottom"/>
          </w:tcPr>
          <w:p>
            <w:pPr>
              <w:ind w:left="14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w w:val="98"/>
              </w:rPr>
              <w:t>29,039,655</w:t>
            </w: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2"/>
                <w:szCs w:val="12"/>
                <w:color w:val="auto"/>
              </w:rPr>
            </w:pPr>
          </w:p>
        </w:tc>
        <w:tc>
          <w:tcPr>
            <w:tcW w:w="80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w w:val="99"/>
              </w:rPr>
              <w:t>291,092,303</w:t>
            </w:r>
          </w:p>
        </w:tc>
        <w:tc>
          <w:tcPr>
            <w:tcW w:w="24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60" w:type="dxa"/>
            <w:vAlign w:val="bottom"/>
          </w:tcPr>
          <w:p>
            <w:pPr>
              <w:spacing w:after="0"/>
              <w:rPr>
                <w:sz w:val="12"/>
                <w:szCs w:val="12"/>
                <w:color w:val="auto"/>
              </w:rPr>
            </w:pP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color w:val="auto"/>
              </w:rPr>
              <w:t>$ 106,852</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(128,125)</w:t>
            </w:r>
          </w:p>
        </w:tc>
        <w:tc>
          <w:tcPr>
            <w:tcW w:w="220" w:type="dxa"/>
            <w:vAlign w:val="bottom"/>
            <w:vMerge w:val="restart"/>
          </w:tcPr>
          <w:p>
            <w:pPr>
              <w:jc w:val="right"/>
              <w:ind w:right="42"/>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44</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(21,197)</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(277,186)</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(298,383)</w:t>
            </w:r>
          </w:p>
        </w:tc>
        <w:tc>
          <w:tcPr>
            <w:tcW w:w="0" w:type="dxa"/>
            <w:vAlign w:val="bottom"/>
          </w:tcPr>
          <w:p>
            <w:pPr>
              <w:spacing w:after="0"/>
              <w:rPr>
                <w:sz w:val="1"/>
                <w:szCs w:val="1"/>
                <w:color w:val="auto"/>
              </w:rPr>
            </w:pPr>
          </w:p>
        </w:tc>
      </w:tr>
      <w:tr>
        <w:trPr>
          <w:trHeight w:val="186"/>
        </w:trPr>
        <w:tc>
          <w:tcPr>
            <w:tcW w:w="10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10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Equity-based</w:t>
            </w:r>
          </w:p>
        </w:tc>
        <w:tc>
          <w:tcPr>
            <w:tcW w:w="44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22,638</w:t>
            </w:r>
          </w:p>
        </w:tc>
        <w:tc>
          <w:tcPr>
            <w:tcW w:w="1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22,638</w:t>
            </w:r>
          </w:p>
        </w:tc>
        <w:tc>
          <w:tcPr>
            <w:tcW w:w="2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22,638</w:t>
            </w:r>
          </w:p>
        </w:tc>
        <w:tc>
          <w:tcPr>
            <w:tcW w:w="0" w:type="dxa"/>
            <w:vAlign w:val="bottom"/>
          </w:tcPr>
          <w:p>
            <w:pPr>
              <w:spacing w:after="0"/>
              <w:rPr>
                <w:sz w:val="1"/>
                <w:szCs w:val="1"/>
                <w:color w:val="auto"/>
              </w:rPr>
            </w:pPr>
          </w:p>
        </w:tc>
      </w:tr>
      <w:tr>
        <w:trPr>
          <w:trHeight w:val="187"/>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compensation</w:t>
            </w:r>
          </w:p>
        </w:tc>
        <w:tc>
          <w:tcPr>
            <w:tcW w:w="44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Proceeds from</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80" w:type="dxa"/>
            <w:vAlign w:val="bottom"/>
          </w:tcPr>
          <w:p>
            <w:pPr>
              <w:ind w:left="140"/>
              <w:spacing w:after="0" w:line="141" w:lineRule="exact"/>
              <w:rPr>
                <w:sz w:val="20"/>
                <w:szCs w:val="20"/>
                <w:color w:val="auto"/>
              </w:rPr>
            </w:pPr>
            <w:r>
              <w:rPr>
                <w:rFonts w:ascii="Times New Roman" w:cs="Times New Roman" w:eastAsia="Times New Roman" w:hAnsi="Times New Roman"/>
                <w:sz w:val="14"/>
                <w:szCs w:val="14"/>
                <w:color w:val="auto"/>
              </w:rPr>
              <w:t>issuance of</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4,637,519</w:t>
            </w:r>
          </w:p>
        </w:tc>
        <w:tc>
          <w:tcPr>
            <w:tcW w:w="24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80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color w:val="auto"/>
              </w:rPr>
              <w:t>678</w:t>
            </w:r>
          </w:p>
        </w:tc>
        <w:tc>
          <w:tcPr>
            <w:tcW w:w="160" w:type="dxa"/>
            <w:vAlign w:val="bottom"/>
          </w:tcPr>
          <w:p>
            <w:pPr>
              <w:spacing w:after="0"/>
              <w:rPr>
                <w:sz w:val="12"/>
                <w:szCs w:val="12"/>
                <w:color w:val="auto"/>
              </w:rPr>
            </w:pPr>
          </w:p>
        </w:tc>
        <w:tc>
          <w:tcPr>
            <w:tcW w:w="66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679</w:t>
            </w:r>
          </w:p>
        </w:tc>
        <w:tc>
          <w:tcPr>
            <w:tcW w:w="200" w:type="dxa"/>
            <w:vAlign w:val="bottom"/>
          </w:tcPr>
          <w:p>
            <w:pPr>
              <w:spacing w:after="0"/>
              <w:rPr>
                <w:sz w:val="12"/>
                <w:szCs w:val="12"/>
                <w:color w:val="auto"/>
              </w:rPr>
            </w:pPr>
          </w:p>
        </w:tc>
        <w:tc>
          <w:tcPr>
            <w:tcW w:w="72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679</w:t>
            </w:r>
          </w:p>
        </w:tc>
        <w:tc>
          <w:tcPr>
            <w:tcW w:w="0" w:type="dxa"/>
            <w:vAlign w:val="bottom"/>
          </w:tcPr>
          <w:p>
            <w:pPr>
              <w:spacing w:after="0"/>
              <w:rPr>
                <w:sz w:val="1"/>
                <w:szCs w:val="1"/>
                <w:color w:val="auto"/>
              </w:rPr>
            </w:pPr>
          </w:p>
        </w:tc>
      </w:tr>
      <w:tr>
        <w:trPr>
          <w:trHeight w:val="185"/>
        </w:trPr>
        <w:tc>
          <w:tcPr>
            <w:tcW w:w="1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w:t>
            </w:r>
          </w:p>
        </w:tc>
        <w:tc>
          <w:tcPr>
            <w:tcW w:w="4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08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Vesting of</w:t>
            </w: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restricted stock</w:t>
            </w:r>
          </w:p>
        </w:tc>
        <w:tc>
          <w:tcPr>
            <w:tcW w:w="44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2,259,892</w:t>
            </w:r>
          </w:p>
        </w:tc>
        <w:tc>
          <w:tcPr>
            <w:tcW w:w="24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units</w:t>
            </w:r>
          </w:p>
        </w:tc>
        <w:tc>
          <w:tcPr>
            <w:tcW w:w="44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Restricted stock</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80" w:type="dxa"/>
            <w:vAlign w:val="bottom"/>
          </w:tcPr>
          <w:p>
            <w:pPr>
              <w:ind w:left="140"/>
              <w:spacing w:after="0" w:line="141" w:lineRule="exact"/>
              <w:rPr>
                <w:sz w:val="20"/>
                <w:szCs w:val="20"/>
                <w:color w:val="auto"/>
              </w:rPr>
            </w:pPr>
            <w:r>
              <w:rPr>
                <w:rFonts w:ascii="Times New Roman" w:cs="Times New Roman" w:eastAsia="Times New Roman" w:hAnsi="Times New Roman"/>
                <w:sz w:val="14"/>
                <w:szCs w:val="14"/>
                <w:color w:val="auto"/>
              </w:rPr>
              <w:t>units withheld</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(601,959)</w:t>
            </w:r>
          </w:p>
        </w:tc>
        <w:tc>
          <w:tcPr>
            <w:tcW w:w="240" w:type="dxa"/>
            <w:vAlign w:val="bottom"/>
          </w:tcPr>
          <w:p>
            <w:pPr>
              <w:spacing w:after="0"/>
              <w:rPr>
                <w:sz w:val="12"/>
                <w:szCs w:val="12"/>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(1,045)</w:t>
            </w:r>
          </w:p>
        </w:tc>
        <w:tc>
          <w:tcPr>
            <w:tcW w:w="160" w:type="dxa"/>
            <w:vAlign w:val="bottom"/>
          </w:tcPr>
          <w:p>
            <w:pPr>
              <w:spacing w:after="0"/>
              <w:rPr>
                <w:sz w:val="12"/>
                <w:szCs w:val="12"/>
                <w:color w:val="auto"/>
              </w:rPr>
            </w:pPr>
          </w:p>
        </w:tc>
        <w:tc>
          <w:tcPr>
            <w:tcW w:w="66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(1,045)</w:t>
            </w:r>
          </w:p>
        </w:tc>
        <w:tc>
          <w:tcPr>
            <w:tcW w:w="200" w:type="dxa"/>
            <w:vAlign w:val="bottom"/>
          </w:tcPr>
          <w:p>
            <w:pPr>
              <w:spacing w:after="0"/>
              <w:rPr>
                <w:sz w:val="12"/>
                <w:szCs w:val="12"/>
                <w:color w:val="auto"/>
              </w:rPr>
            </w:pPr>
          </w:p>
        </w:tc>
        <w:tc>
          <w:tcPr>
            <w:tcW w:w="72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(1,045)</w:t>
            </w:r>
          </w:p>
        </w:tc>
        <w:tc>
          <w:tcPr>
            <w:tcW w:w="0" w:type="dxa"/>
            <w:vAlign w:val="bottom"/>
          </w:tcPr>
          <w:p>
            <w:pPr>
              <w:spacing w:after="0"/>
              <w:rPr>
                <w:sz w:val="1"/>
                <w:szCs w:val="1"/>
                <w:color w:val="auto"/>
              </w:rPr>
            </w:pPr>
          </w:p>
        </w:tc>
      </w:tr>
      <w:tr>
        <w:trPr>
          <w:trHeight w:val="185"/>
        </w:trPr>
        <w:tc>
          <w:tcPr>
            <w:tcW w:w="1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 pay taxes</w:t>
            </w:r>
          </w:p>
        </w:tc>
        <w:tc>
          <w:tcPr>
            <w:tcW w:w="4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08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Shares withheld to</w:t>
            </w:r>
          </w:p>
        </w:tc>
        <w:tc>
          <w:tcPr>
            <w:tcW w:w="44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(1,950,126)</w:t>
            </w:r>
          </w:p>
        </w:tc>
        <w:tc>
          <w:tcPr>
            <w:tcW w:w="24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(4,988)</w:t>
            </w:r>
          </w:p>
        </w:tc>
        <w:tc>
          <w:tcPr>
            <w:tcW w:w="1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(4,988)</w:t>
            </w:r>
          </w:p>
        </w:tc>
        <w:tc>
          <w:tcPr>
            <w:tcW w:w="2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(4,988)</w:t>
            </w:r>
          </w:p>
        </w:tc>
        <w:tc>
          <w:tcPr>
            <w:tcW w:w="0" w:type="dxa"/>
            <w:vAlign w:val="bottom"/>
          </w:tcPr>
          <w:p>
            <w:pPr>
              <w:spacing w:after="0"/>
              <w:rPr>
                <w:sz w:val="1"/>
                <w:szCs w:val="1"/>
                <w:color w:val="auto"/>
              </w:rPr>
            </w:pPr>
          </w:p>
        </w:tc>
      </w:tr>
      <w:tr>
        <w:trPr>
          <w:trHeight w:val="187"/>
        </w:trPr>
        <w:tc>
          <w:tcPr>
            <w:tcW w:w="1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 taxes</w:t>
            </w:r>
          </w:p>
        </w:tc>
        <w:tc>
          <w:tcPr>
            <w:tcW w:w="44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Dividends</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(8,437)</w:t>
            </w:r>
          </w:p>
        </w:tc>
        <w:tc>
          <w:tcPr>
            <w:tcW w:w="160" w:type="dxa"/>
            <w:vAlign w:val="bottom"/>
          </w:tcPr>
          <w:p>
            <w:pPr>
              <w:spacing w:after="0"/>
              <w:rPr>
                <w:sz w:val="12"/>
                <w:szCs w:val="12"/>
                <w:color w:val="auto"/>
              </w:rPr>
            </w:pPr>
          </w:p>
        </w:tc>
        <w:tc>
          <w:tcPr>
            <w:tcW w:w="66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(8,437)</w:t>
            </w:r>
          </w:p>
        </w:tc>
        <w:tc>
          <w:tcPr>
            <w:tcW w:w="200" w:type="dxa"/>
            <w:vAlign w:val="bottom"/>
          </w:tcPr>
          <w:p>
            <w:pPr>
              <w:spacing w:after="0"/>
              <w:rPr>
                <w:sz w:val="12"/>
                <w:szCs w:val="12"/>
                <w:color w:val="auto"/>
              </w:rPr>
            </w:pPr>
          </w:p>
        </w:tc>
        <w:tc>
          <w:tcPr>
            <w:tcW w:w="72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(8,437)</w:t>
            </w:r>
          </w:p>
        </w:tc>
        <w:tc>
          <w:tcPr>
            <w:tcW w:w="0" w:type="dxa"/>
            <w:vAlign w:val="bottom"/>
          </w:tcPr>
          <w:p>
            <w:pPr>
              <w:spacing w:after="0"/>
              <w:rPr>
                <w:sz w:val="1"/>
                <w:szCs w:val="1"/>
                <w:color w:val="auto"/>
              </w:rPr>
            </w:pPr>
          </w:p>
        </w:tc>
      </w:tr>
      <w:tr>
        <w:trPr>
          <w:trHeight w:val="185"/>
        </w:trPr>
        <w:tc>
          <w:tcPr>
            <w:tcW w:w="1080" w:type="dxa"/>
            <w:vAlign w:val="bottom"/>
          </w:tcPr>
          <w:p>
            <w:pPr>
              <w:spacing w:after="0"/>
              <w:rPr>
                <w:sz w:val="20"/>
                <w:szCs w:val="20"/>
                <w:color w:val="auto"/>
              </w:rPr>
            </w:pPr>
            <w:r>
              <w:rPr>
                <w:rFonts w:ascii="Times New Roman" w:cs="Times New Roman" w:eastAsia="Times New Roman" w:hAnsi="Times New Roman"/>
                <w:sz w:val="14"/>
                <w:szCs w:val="14"/>
                <w:color w:val="auto"/>
              </w:rPr>
              <w:t>declared</w:t>
            </w:r>
          </w:p>
        </w:tc>
        <w:tc>
          <w:tcPr>
            <w:tcW w:w="4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08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Distributions</w:t>
            </w: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declared to</w:t>
            </w: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color w:val="auto"/>
              </w:rPr>
              <w:t>noncontrolling</w:t>
            </w:r>
          </w:p>
        </w:tc>
        <w:tc>
          <w:tcPr>
            <w:tcW w:w="44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(55,736)</w:t>
            </w: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(55,736)</w:t>
            </w:r>
          </w:p>
        </w:tc>
        <w:tc>
          <w:tcPr>
            <w:tcW w:w="0" w:type="dxa"/>
            <w:vAlign w:val="bottom"/>
          </w:tcPr>
          <w:p>
            <w:pPr>
              <w:spacing w:after="0"/>
              <w:rPr>
                <w:sz w:val="1"/>
                <w:szCs w:val="1"/>
                <w:color w:val="auto"/>
              </w:rPr>
            </w:pPr>
          </w:p>
        </w:tc>
      </w:tr>
      <w:tr>
        <w:trPr>
          <w:trHeight w:val="187"/>
        </w:trPr>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interests</w:t>
            </w:r>
          </w:p>
        </w:tc>
        <w:tc>
          <w:tcPr>
            <w:tcW w:w="44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Issuance per</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80" w:type="dxa"/>
            <w:vAlign w:val="bottom"/>
          </w:tcPr>
          <w:p>
            <w:pPr>
              <w:ind w:left="140"/>
              <w:spacing w:after="0" w:line="141" w:lineRule="exact"/>
              <w:rPr>
                <w:sz w:val="20"/>
                <w:szCs w:val="20"/>
                <w:color w:val="auto"/>
              </w:rPr>
            </w:pPr>
            <w:r>
              <w:rPr>
                <w:rFonts w:ascii="Times New Roman" w:cs="Times New Roman" w:eastAsia="Times New Roman" w:hAnsi="Times New Roman"/>
                <w:sz w:val="14"/>
                <w:szCs w:val="14"/>
                <w:color w:val="auto"/>
              </w:rPr>
              <w:t>redemption of</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80" w:type="dxa"/>
            <w:vAlign w:val="bottom"/>
          </w:tcPr>
          <w:p>
            <w:pPr>
              <w:ind w:left="140"/>
              <w:spacing w:after="0" w:line="141" w:lineRule="exact"/>
              <w:rPr>
                <w:sz w:val="20"/>
                <w:szCs w:val="20"/>
                <w:color w:val="auto"/>
              </w:rPr>
            </w:pPr>
            <w:r>
              <w:rPr>
                <w:rFonts w:ascii="Times New Roman" w:cs="Times New Roman" w:eastAsia="Times New Roman" w:hAnsi="Times New Roman"/>
                <w:sz w:val="14"/>
                <w:szCs w:val="14"/>
                <w:color w:val="auto"/>
              </w:rPr>
              <w:t>Class B shares</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80" w:type="dxa"/>
            <w:vAlign w:val="bottom"/>
          </w:tcPr>
          <w:p>
            <w:pPr>
              <w:ind w:left="140"/>
              <w:spacing w:after="0" w:line="141" w:lineRule="exact"/>
              <w:rPr>
                <w:sz w:val="20"/>
                <w:szCs w:val="20"/>
                <w:color w:val="auto"/>
              </w:rPr>
            </w:pPr>
            <w:r>
              <w:rPr>
                <w:rFonts w:ascii="Times New Roman" w:cs="Times New Roman" w:eastAsia="Times New Roman" w:hAnsi="Times New Roman"/>
                <w:sz w:val="14"/>
                <w:szCs w:val="14"/>
                <w:color w:val="auto"/>
              </w:rPr>
              <w:t>for Class A</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3,000,000</w:t>
            </w:r>
          </w:p>
        </w:tc>
        <w:tc>
          <w:tcPr>
            <w:tcW w:w="240" w:type="dxa"/>
            <w:vAlign w:val="bottom"/>
          </w:tcPr>
          <w:p>
            <w:pPr>
              <w:spacing w:after="0"/>
              <w:rPr>
                <w:sz w:val="12"/>
                <w:szCs w:val="12"/>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(3,000,000)</w:t>
            </w:r>
          </w:p>
        </w:tc>
        <w:tc>
          <w:tcPr>
            <w:tcW w:w="240" w:type="dxa"/>
            <w:vAlign w:val="bottom"/>
          </w:tcPr>
          <w:p>
            <w:pPr>
              <w:spacing w:after="0"/>
              <w:rPr>
                <w:sz w:val="12"/>
                <w:szCs w:val="12"/>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(2,167)</w:t>
            </w:r>
          </w:p>
        </w:tc>
        <w:tc>
          <w:tcPr>
            <w:tcW w:w="160" w:type="dxa"/>
            <w:vAlign w:val="bottom"/>
          </w:tcPr>
          <w:p>
            <w:pPr>
              <w:spacing w:after="0"/>
              <w:rPr>
                <w:sz w:val="12"/>
                <w:szCs w:val="12"/>
                <w:color w:val="auto"/>
              </w:rPr>
            </w:pPr>
          </w:p>
        </w:tc>
        <w:tc>
          <w:tcPr>
            <w:tcW w:w="66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(2,167)</w:t>
            </w:r>
          </w:p>
        </w:tc>
        <w:tc>
          <w:tcPr>
            <w:tcW w:w="200" w:type="dxa"/>
            <w:vAlign w:val="bottom"/>
          </w:tcPr>
          <w:p>
            <w:pPr>
              <w:spacing w:after="0"/>
              <w:rPr>
                <w:sz w:val="12"/>
                <w:szCs w:val="12"/>
                <w:color w:val="auto"/>
              </w:rPr>
            </w:pPr>
          </w:p>
        </w:tc>
        <w:tc>
          <w:tcPr>
            <w:tcW w:w="72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2,547</w:t>
            </w: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0" w:type="dxa"/>
            <w:vAlign w:val="bottom"/>
          </w:tcPr>
          <w:p>
            <w:pPr>
              <w:spacing w:after="0"/>
              <w:rPr>
                <w:sz w:val="1"/>
                <w:szCs w:val="1"/>
                <w:color w:val="auto"/>
              </w:rPr>
            </w:pPr>
          </w:p>
        </w:tc>
      </w:tr>
      <w:tr>
        <w:trPr>
          <w:trHeight w:val="185"/>
        </w:trPr>
        <w:tc>
          <w:tcPr>
            <w:tcW w:w="1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4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080" w:type="dxa"/>
            <w:vAlign w:val="bottom"/>
            <w:shd w:val="clear" w:color="auto" w:fill="CCEEFF"/>
          </w:tcPr>
          <w:p>
            <w:pPr>
              <w:spacing w:after="0" w:line="143" w:lineRule="exact"/>
              <w:rPr>
                <w:sz w:val="20"/>
                <w:szCs w:val="20"/>
                <w:color w:val="auto"/>
              </w:rPr>
            </w:pPr>
            <w:r>
              <w:rPr>
                <w:rFonts w:ascii="Times New Roman" w:cs="Times New Roman" w:eastAsia="Times New Roman" w:hAnsi="Times New Roman"/>
                <w:sz w:val="14"/>
                <w:szCs w:val="14"/>
                <w:color w:val="auto"/>
              </w:rPr>
              <w:t>Remeasurement of</w:t>
            </w: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80" w:type="dxa"/>
            <w:vAlign w:val="bottom"/>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deferred taxes</w:t>
            </w: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80" w:type="dxa"/>
            <w:vAlign w:val="bottom"/>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due to change</w:t>
            </w: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80" w:type="dxa"/>
            <w:vAlign w:val="bottom"/>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in</w:t>
            </w:r>
          </w:p>
        </w:tc>
        <w:tc>
          <w:tcPr>
            <w:tcW w:w="4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80" w:type="dxa"/>
            <w:vAlign w:val="bottom"/>
            <w:shd w:val="clear" w:color="auto" w:fill="CCEEFF"/>
          </w:tcPr>
          <w:p>
            <w:pPr>
              <w:ind w:left="140"/>
              <w:spacing w:after="0" w:line="141" w:lineRule="exact"/>
              <w:rPr>
                <w:sz w:val="20"/>
                <w:szCs w:val="20"/>
                <w:color w:val="auto"/>
              </w:rPr>
            </w:pPr>
            <w:r>
              <w:rPr>
                <w:rFonts w:ascii="Times New Roman" w:cs="Times New Roman" w:eastAsia="Times New Roman" w:hAnsi="Times New Roman"/>
                <w:sz w:val="14"/>
                <w:szCs w:val="14"/>
                <w:color w:val="auto"/>
              </w:rPr>
              <w:t>noncontrolling</w:t>
            </w:r>
          </w:p>
        </w:tc>
        <w:tc>
          <w:tcPr>
            <w:tcW w:w="44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1,633</w:t>
            </w:r>
          </w:p>
        </w:tc>
        <w:tc>
          <w:tcPr>
            <w:tcW w:w="1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1,633</w:t>
            </w:r>
          </w:p>
        </w:tc>
        <w:tc>
          <w:tcPr>
            <w:tcW w:w="2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0" w:type="dxa"/>
            <w:vAlign w:val="bottom"/>
          </w:tcPr>
          <w:p>
            <w:pPr>
              <w:spacing w:after="0"/>
              <w:rPr>
                <w:sz w:val="1"/>
                <w:szCs w:val="1"/>
                <w:color w:val="auto"/>
              </w:rPr>
            </w:pPr>
          </w:p>
        </w:tc>
      </w:tr>
      <w:tr>
        <w:trPr>
          <w:trHeight w:val="187"/>
        </w:trPr>
        <w:tc>
          <w:tcPr>
            <w:tcW w:w="1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w:t>
            </w:r>
          </w:p>
        </w:tc>
        <w:tc>
          <w:tcPr>
            <w:tcW w:w="440" w:type="dxa"/>
            <w:vAlign w:val="bottom"/>
            <w:vMerge w:val="continue"/>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gridSpan w:val="2"/>
            <w:vMerge w:val="continue"/>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1080" w:type="dxa"/>
            <w:vAlign w:val="bottom"/>
          </w:tcPr>
          <w:p>
            <w:pPr>
              <w:spacing w:after="0" w:line="141" w:lineRule="exact"/>
              <w:rPr>
                <w:sz w:val="20"/>
                <w:szCs w:val="20"/>
                <w:color w:val="auto"/>
              </w:rPr>
            </w:pPr>
            <w:r>
              <w:rPr>
                <w:rFonts w:ascii="Times New Roman" w:cs="Times New Roman" w:eastAsia="Times New Roman" w:hAnsi="Times New Roman"/>
                <w:sz w:val="14"/>
                <w:szCs w:val="14"/>
                <w:color w:val="auto"/>
              </w:rPr>
              <w:t>Foreign currency</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80" w:type="dxa"/>
            <w:vAlign w:val="bottom"/>
          </w:tcPr>
          <w:p>
            <w:pPr>
              <w:ind w:left="140"/>
              <w:spacing w:after="0" w:line="141" w:lineRule="exact"/>
              <w:rPr>
                <w:sz w:val="20"/>
                <w:szCs w:val="20"/>
                <w:color w:val="auto"/>
              </w:rPr>
            </w:pPr>
            <w:r>
              <w:rPr>
                <w:rFonts w:ascii="Times New Roman" w:cs="Times New Roman" w:eastAsia="Times New Roman" w:hAnsi="Times New Roman"/>
                <w:sz w:val="14"/>
                <w:szCs w:val="14"/>
                <w:color w:val="auto"/>
              </w:rPr>
              <w:t>translation</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2"/>
                <w:szCs w:val="12"/>
                <w:color w:val="auto"/>
              </w:rPr>
            </w:pP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6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21</w:t>
            </w:r>
          </w:p>
        </w:tc>
        <w:tc>
          <w:tcPr>
            <w:tcW w:w="140" w:type="dxa"/>
            <w:vAlign w:val="bottom"/>
          </w:tcPr>
          <w:p>
            <w:pPr>
              <w:spacing w:after="0"/>
              <w:rPr>
                <w:sz w:val="12"/>
                <w:szCs w:val="12"/>
                <w:color w:val="auto"/>
              </w:rPr>
            </w:pPr>
          </w:p>
        </w:tc>
        <w:tc>
          <w:tcPr>
            <w:tcW w:w="70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color w:val="auto"/>
              </w:rPr>
              <w:t>21</w:t>
            </w:r>
          </w:p>
        </w:tc>
        <w:tc>
          <w:tcPr>
            <w:tcW w:w="200" w:type="dxa"/>
            <w:vAlign w:val="bottom"/>
          </w:tcPr>
          <w:p>
            <w:pPr>
              <w:spacing w:after="0"/>
              <w:rPr>
                <w:sz w:val="12"/>
                <w:szCs w:val="12"/>
                <w:color w:val="auto"/>
              </w:rPr>
            </w:pPr>
          </w:p>
        </w:tc>
        <w:tc>
          <w:tcPr>
            <w:tcW w:w="720" w:type="dxa"/>
            <w:vAlign w:val="bottom"/>
            <w:vMerge w:val="restart"/>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85"/>
        </w:trPr>
        <w:tc>
          <w:tcPr>
            <w:tcW w:w="1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adjustments</w:t>
            </w:r>
          </w:p>
        </w:tc>
        <w:tc>
          <w:tcPr>
            <w:tcW w:w="4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0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4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1,782</w:t>
            </w:r>
          </w:p>
        </w:tc>
        <w:tc>
          <w:tcPr>
            <w:tcW w:w="2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1,782</w:t>
            </w: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52,513</w:t>
            </w: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54,295</w:t>
            </w:r>
          </w:p>
        </w:tc>
        <w:tc>
          <w:tcPr>
            <w:tcW w:w="0" w:type="dxa"/>
            <w:vAlign w:val="bottom"/>
          </w:tcPr>
          <w:p>
            <w:pPr>
              <w:spacing w:after="0"/>
              <w:rPr>
                <w:sz w:val="1"/>
                <w:szCs w:val="1"/>
                <w:color w:val="auto"/>
              </w:rPr>
            </w:pPr>
          </w:p>
        </w:tc>
      </w:tr>
      <w:tr>
        <w:trPr>
          <w:trHeight w:val="134"/>
        </w:trPr>
        <w:tc>
          <w:tcPr>
            <w:tcW w:w="1080" w:type="dxa"/>
            <w:vAlign w:val="bottom"/>
          </w:tcPr>
          <w:p>
            <w:pPr>
              <w:spacing w:after="0" w:line="134"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080" w:type="dxa"/>
            <w:vAlign w:val="bottom"/>
          </w:tcPr>
          <w:p>
            <w:pPr>
              <w:ind w:left="140"/>
              <w:spacing w:after="0" w:line="14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tcPr>
          <w:p>
            <w:pPr>
              <w:jc w:val="right"/>
              <w:ind w:right="92"/>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w w:val="98"/>
              </w:rPr>
              <w:t>36,384,981</w:t>
            </w: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tcPr>
          <w:p>
            <w:pPr>
              <w:spacing w:after="0"/>
              <w:rPr>
                <w:sz w:val="12"/>
                <w:szCs w:val="12"/>
                <w:color w:val="auto"/>
              </w:rPr>
            </w:pPr>
          </w:p>
        </w:tc>
        <w:tc>
          <w:tcPr>
            <w:tcW w:w="80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w w:val="99"/>
              </w:rPr>
              <w:t>288,092,303</w:t>
            </w:r>
          </w:p>
        </w:tc>
        <w:tc>
          <w:tcPr>
            <w:tcW w:w="24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60" w:type="dxa"/>
            <w:vAlign w:val="bottom"/>
          </w:tcPr>
          <w:p>
            <w:pPr>
              <w:spacing w:after="0"/>
              <w:rPr>
                <w:sz w:val="12"/>
                <w:szCs w:val="12"/>
                <w:color w:val="auto"/>
              </w:rPr>
            </w:pPr>
          </w:p>
        </w:tc>
        <w:tc>
          <w:tcPr>
            <w:tcW w:w="4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color w:val="auto"/>
              </w:rPr>
              <w:t>$ 115,164</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(126,343)</w:t>
            </w:r>
          </w:p>
        </w:tc>
        <w:tc>
          <w:tcPr>
            <w:tcW w:w="220" w:type="dxa"/>
            <w:vAlign w:val="bottom"/>
            <w:vMerge w:val="restart"/>
          </w:tcPr>
          <w:p>
            <w:pPr>
              <w:jc w:val="right"/>
              <w:ind w:right="42"/>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ind w:left="480"/>
              <w:spacing w:after="0"/>
              <w:rPr>
                <w:sz w:val="20"/>
                <w:szCs w:val="20"/>
                <w:color w:val="auto"/>
              </w:rPr>
            </w:pPr>
            <w:r>
              <w:rPr>
                <w:rFonts w:ascii="Times New Roman" w:cs="Times New Roman" w:eastAsia="Times New Roman" w:hAnsi="Times New Roman"/>
                <w:sz w:val="14"/>
                <w:szCs w:val="14"/>
                <w:color w:val="auto"/>
              </w:rPr>
              <w:t>65</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(11,081)</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(277,862)</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(288,943)</w:t>
            </w:r>
          </w:p>
        </w:tc>
        <w:tc>
          <w:tcPr>
            <w:tcW w:w="0" w:type="dxa"/>
            <w:vAlign w:val="bottom"/>
          </w:tcPr>
          <w:p>
            <w:pPr>
              <w:spacing w:after="0"/>
              <w:rPr>
                <w:sz w:val="1"/>
                <w:szCs w:val="1"/>
                <w:color w:val="auto"/>
              </w:rPr>
            </w:pPr>
          </w:p>
        </w:tc>
      </w:tr>
      <w:tr>
        <w:trPr>
          <w:trHeight w:val="186"/>
        </w:trPr>
        <w:tc>
          <w:tcPr>
            <w:tcW w:w="10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gridSpan w:val="2"/>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840"/>
          </w:cols>
          <w:pgMar w:left="320" w:top="121" w:right="739" w:bottom="1440" w:gutter="0" w:footer="0" w:header="0"/>
        </w:sectPr>
      </w:pPr>
    </w:p>
    <w:bookmarkStart w:id="76" w:name="page77"/>
    <w:bookmarkEnd w:id="76"/>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MARKETWISE,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 of Cash Flows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0"/>
        </w:trPr>
        <w:tc>
          <w:tcPr>
            <w:tcW w:w="63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62"/>
        </w:trPr>
        <w:tc>
          <w:tcPr>
            <w:tcW w:w="634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2"/>
                <w:szCs w:val="12"/>
                <w:b w:val="1"/>
                <w:bCs w:val="1"/>
                <w:color w:val="auto"/>
              </w:rPr>
              <w:t>2021</w:t>
            </w:r>
          </w:p>
        </w:tc>
      </w:tr>
      <w:tr>
        <w:trPr>
          <w:trHeight w:val="172"/>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85"/>
        </w:trPr>
        <w:tc>
          <w:tcPr>
            <w:tcW w:w="6340" w:type="dxa"/>
            <w:vAlign w:val="bottom"/>
          </w:tcPr>
          <w:p>
            <w:pPr>
              <w:spacing w:after="0"/>
              <w:rPr>
                <w:sz w:val="20"/>
                <w:szCs w:val="20"/>
                <w:color w:val="auto"/>
              </w:rPr>
            </w:pPr>
            <w:r>
              <w:rPr>
                <w:rFonts w:ascii="Times New Roman" w:cs="Times New Roman" w:eastAsia="Times New Roman" w:hAnsi="Times New Roman"/>
                <w:sz w:val="14"/>
                <w:szCs w:val="14"/>
                <w:color w:val="auto"/>
              </w:rPr>
              <w:t>Net income (loss)</w:t>
            </w:r>
          </w:p>
        </w:tc>
        <w:tc>
          <w:tcPr>
            <w:tcW w:w="980" w:type="dxa"/>
            <w:vAlign w:val="bottom"/>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54,295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101,170</w:t>
            </w:r>
          </w:p>
        </w:tc>
        <w:tc>
          <w:tcPr>
            <w:tcW w:w="100" w:type="dxa"/>
            <w:vAlign w:val="bottom"/>
          </w:tcPr>
          <w:p>
            <w:pPr>
              <w:spacing w:after="0"/>
              <w:rPr>
                <w:sz w:val="16"/>
                <w:szCs w:val="16"/>
                <w:color w:val="auto"/>
              </w:rPr>
            </w:pPr>
          </w:p>
        </w:tc>
        <w:tc>
          <w:tcPr>
            <w:tcW w:w="380" w:type="dxa"/>
            <w:vAlign w:val="bottom"/>
          </w:tcPr>
          <w:p>
            <w:pPr>
              <w:jc w:val="right"/>
              <w:ind w:right="21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(953,883)</w:t>
            </w:r>
          </w:p>
        </w:tc>
      </w:tr>
      <w:tr>
        <w:trPr>
          <w:trHeight w:val="189"/>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Adjustments to reconcile net income (loss) to net cash provided by operating activities:</w:t>
            </w: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5"/>
        </w:trPr>
        <w:tc>
          <w:tcPr>
            <w:tcW w:w="6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2,676</w:t>
            </w:r>
          </w:p>
        </w:tc>
      </w:tr>
      <w:tr>
        <w:trPr>
          <w:trHeight w:val="18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Impairment and other charges</w:t>
            </w: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5"/>
        </w:trPr>
        <w:tc>
          <w:tcPr>
            <w:tcW w:w="6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23,384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210,912</w:t>
            </w:r>
          </w:p>
        </w:tc>
      </w:tr>
      <w:tr>
        <w:trPr>
          <w:trHeight w:val="18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 in fair value of derivative liabilities – Class B Units</w:t>
            </w:r>
          </w:p>
        </w:tc>
        <w:tc>
          <w:tcPr>
            <w:tcW w:w="9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728,079</w:t>
            </w:r>
          </w:p>
        </w:tc>
      </w:tr>
      <w:tr>
        <w:trPr>
          <w:trHeight w:val="185"/>
        </w:trPr>
        <w:tc>
          <w:tcPr>
            <w:tcW w:w="6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 in fair value of derivative liabilities – other</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(15,665)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(18,017)</w:t>
            </w:r>
          </w:p>
        </w:tc>
      </w:tr>
      <w:tr>
        <w:trPr>
          <w:trHeight w:val="18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taxes</w:t>
            </w: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2,358</w:t>
            </w:r>
          </w:p>
        </w:tc>
      </w:tr>
      <w:tr>
        <w:trPr>
          <w:trHeight w:val="185"/>
        </w:trPr>
        <w:tc>
          <w:tcPr>
            <w:tcW w:w="6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Unrealized gains on foreign currency</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8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Noncash lease expense</w:t>
            </w: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1,894</w:t>
            </w:r>
          </w:p>
        </w:tc>
      </w:tr>
      <w:tr>
        <w:trPr>
          <w:trHeight w:val="185"/>
        </w:trPr>
        <w:tc>
          <w:tcPr>
            <w:tcW w:w="6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Loss on sale of business</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 on sale of cryptocurrencies</w:t>
            </w:r>
          </w:p>
        </w:tc>
        <w:tc>
          <w:tcPr>
            <w:tcW w:w="9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185"/>
        </w:trPr>
        <w:tc>
          <w:tcPr>
            <w:tcW w:w="6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9"/>
        </w:trPr>
        <w:tc>
          <w:tcPr>
            <w:tcW w:w="6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Accounts receivable</w:t>
            </w: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4,593</w:t>
            </w:r>
          </w:p>
        </w:tc>
      </w:tr>
      <w:tr>
        <w:trPr>
          <w:trHeight w:val="185"/>
        </w:trPr>
        <w:tc>
          <w:tcPr>
            <w:tcW w:w="6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Related party receivables and payables, net</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w:t>
            </w:r>
          </w:p>
        </w:tc>
      </w:tr>
      <w:tr>
        <w:trPr>
          <w:trHeight w:val="189"/>
        </w:trPr>
        <w:tc>
          <w:tcPr>
            <w:tcW w:w="6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Prepaid expenses</w:t>
            </w: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(4,513)</w:t>
            </w:r>
          </w:p>
        </w:tc>
      </w:tr>
      <w:tr>
        <w:trPr>
          <w:trHeight w:val="185"/>
        </w:trPr>
        <w:tc>
          <w:tcPr>
            <w:tcW w:w="6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Other current assets and other assets</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(744)</w:t>
            </w:r>
          </w:p>
        </w:tc>
      </w:tr>
      <w:tr>
        <w:trPr>
          <w:trHeight w:val="189"/>
        </w:trPr>
        <w:tc>
          <w:tcPr>
            <w:tcW w:w="6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Cryptocurrency intangible assets</w:t>
            </w:r>
          </w:p>
        </w:tc>
        <w:tc>
          <w:tcPr>
            <w:tcW w:w="9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r>
      <w:tr>
        <w:trPr>
          <w:trHeight w:val="185"/>
        </w:trPr>
        <w:tc>
          <w:tcPr>
            <w:tcW w:w="6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Deferred contract acquisition costs</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31,329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(95,835)</w:t>
            </w:r>
          </w:p>
        </w:tc>
      </w:tr>
      <w:tr>
        <w:trPr>
          <w:trHeight w:val="189"/>
        </w:trPr>
        <w:tc>
          <w:tcPr>
            <w:tcW w:w="6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Trade and other payables</w:t>
            </w: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(7,282)</w:t>
            </w:r>
          </w:p>
        </w:tc>
      </w:tr>
      <w:tr>
        <w:trPr>
          <w:trHeight w:val="185"/>
        </w:trPr>
        <w:tc>
          <w:tcPr>
            <w:tcW w:w="6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Accrued expenses</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14,205</w:t>
            </w:r>
          </w:p>
        </w:tc>
      </w:tr>
      <w:tr>
        <w:trPr>
          <w:trHeight w:val="189"/>
        </w:trPr>
        <w:tc>
          <w:tcPr>
            <w:tcW w:w="6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Deferred revenue</w:t>
            </w: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(67,092)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(51,980)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175,553</w:t>
            </w:r>
          </w:p>
        </w:tc>
      </w:tr>
      <w:tr>
        <w:trPr>
          <w:trHeight w:val="185"/>
        </w:trPr>
        <w:tc>
          <w:tcPr>
            <w:tcW w:w="6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Derivative liabilities</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w:t>
            </w:r>
          </w:p>
        </w:tc>
      </w:tr>
      <w:tr>
        <w:trPr>
          <w:trHeight w:val="189"/>
        </w:trPr>
        <w:tc>
          <w:tcPr>
            <w:tcW w:w="6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(1,154)</w:t>
            </w:r>
          </w:p>
        </w:tc>
      </w:tr>
      <w:tr>
        <w:trPr>
          <w:trHeight w:val="185"/>
        </w:trPr>
        <w:tc>
          <w:tcPr>
            <w:tcW w:w="63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Other current and long-term liabilities</w:t>
            </w:r>
          </w:p>
        </w:tc>
        <w:tc>
          <w:tcPr>
            <w:tcW w:w="9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(3,780)</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5,329</w:t>
            </w:r>
          </w:p>
        </w:tc>
      </w:tr>
      <w:tr>
        <w:trPr>
          <w:trHeight w:val="181"/>
        </w:trPr>
        <w:tc>
          <w:tcPr>
            <w:tcW w:w="6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9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62,428</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48,374</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63,632</w:t>
            </w:r>
          </w:p>
        </w:tc>
      </w:tr>
      <w:tr>
        <w:trPr>
          <w:trHeight w:val="166"/>
        </w:trPr>
        <w:tc>
          <w:tcPr>
            <w:tcW w:w="6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8"/>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paid for acquisitions, net of cash acquired</w:t>
            </w: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(7,139)</w:t>
            </w:r>
          </w:p>
        </w:tc>
      </w:tr>
      <w:tr>
        <w:trPr>
          <w:trHeight w:val="185"/>
        </w:trPr>
        <w:tc>
          <w:tcPr>
            <w:tcW w:w="6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Acquisition of noncontrolling interests, including transaction costs</w:t>
            </w:r>
          </w:p>
        </w:tc>
        <w:tc>
          <w:tcPr>
            <w:tcW w:w="9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w:t>
            </w:r>
          </w:p>
        </w:tc>
      </w:tr>
      <w:tr>
        <w:trPr>
          <w:trHeight w:val="185"/>
        </w:trPr>
        <w:tc>
          <w:tcPr>
            <w:tcW w:w="6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Purchases of intangible assets</w:t>
            </w:r>
          </w:p>
        </w:tc>
        <w:tc>
          <w:tcPr>
            <w:tcW w:w="9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(892)</w:t>
            </w:r>
          </w:p>
        </w:tc>
      </w:tr>
      <w:tr>
        <w:trPr>
          <w:trHeight w:val="18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Capitalized software development costs</w:t>
            </w:r>
          </w:p>
        </w:tc>
        <w:tc>
          <w:tcPr>
            <w:tcW w:w="9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(1,662)</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r>
      <w:tr>
        <w:trPr>
          <w:trHeight w:val="177"/>
        </w:trPr>
        <w:tc>
          <w:tcPr>
            <w:tcW w:w="634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9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(1,897)</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(13,238)</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(8,311)</w:t>
            </w:r>
          </w:p>
        </w:tc>
      </w:tr>
      <w:tr>
        <w:trPr>
          <w:trHeight w:val="169"/>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85"/>
        </w:trPr>
        <w:tc>
          <w:tcPr>
            <w:tcW w:w="6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proceeds from the Transactions</w:t>
            </w:r>
          </w:p>
        </w:tc>
        <w:tc>
          <w:tcPr>
            <w:tcW w:w="9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113,641</w:t>
            </w:r>
          </w:p>
        </w:tc>
      </w:tr>
      <w:tr>
        <w:trPr>
          <w:trHeight w:val="18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Issuance of related party notes receivable</w:t>
            </w:r>
          </w:p>
        </w:tc>
        <w:tc>
          <w:tcPr>
            <w:tcW w:w="9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185"/>
        </w:trPr>
        <w:tc>
          <w:tcPr>
            <w:tcW w:w="6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related party notes receivable</w:t>
            </w:r>
          </w:p>
        </w:tc>
        <w:tc>
          <w:tcPr>
            <w:tcW w:w="98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issuance of common stock</w:t>
            </w: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5"/>
        </w:trPr>
        <w:tc>
          <w:tcPr>
            <w:tcW w:w="6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 and restricted stock units withheld to pay taxes</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Repurchases of stock</w:t>
            </w:r>
          </w:p>
        </w:tc>
        <w:tc>
          <w:tcPr>
            <w:tcW w:w="9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(13,054)</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(3,340)</w:t>
            </w:r>
          </w:p>
        </w:tc>
      </w:tr>
      <w:tr>
        <w:trPr>
          <w:trHeight w:val="185"/>
        </w:trPr>
        <w:tc>
          <w:tcPr>
            <w:tcW w:w="63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Dividends paid</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(5,744)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Distributions to members</w:t>
            </w:r>
          </w:p>
        </w:tc>
        <w:tc>
          <w:tcPr>
            <w:tcW w:w="9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(135,451)</w:t>
            </w:r>
          </w:p>
        </w:tc>
      </w:tr>
      <w:tr>
        <w:trPr>
          <w:trHeight w:val="185"/>
        </w:trPr>
        <w:tc>
          <w:tcPr>
            <w:tcW w:w="6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Distributions to noncontrolling interests</w:t>
            </w:r>
          </w:p>
        </w:tc>
        <w:tc>
          <w:tcPr>
            <w:tcW w:w="9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(52,855)</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(4,609)</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(5,517)</w:t>
            </w:r>
          </w:p>
        </w:tc>
      </w:tr>
      <w:tr>
        <w:trPr>
          <w:trHeight w:val="181"/>
        </w:trPr>
        <w:tc>
          <w:tcPr>
            <w:tcW w:w="63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9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(63,953)</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(16,192)</w:t>
            </w:r>
          </w:p>
        </w:tc>
        <w:tc>
          <w:tcPr>
            <w:tcW w:w="1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(30,678)</w:t>
            </w:r>
          </w:p>
        </w:tc>
      </w:tr>
      <w:tr>
        <w:trPr>
          <w:trHeight w:val="177"/>
        </w:trPr>
        <w:tc>
          <w:tcPr>
            <w:tcW w:w="6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9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81"/>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18,997</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7" w:name="page78"/>
    <w:bookmarkEnd w:id="77"/>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MARKETWISE,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Statement of Cash Flows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(In thousands)</w:t>
      </w: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 beginning of period</w:t>
            </w: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158,575</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139,578</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114,927</w:t>
            </w:r>
          </w:p>
        </w:tc>
      </w:tr>
      <w:tr>
        <w:trPr>
          <w:trHeight w:val="206"/>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 end of period</w:t>
            </w:r>
          </w:p>
        </w:tc>
        <w:tc>
          <w:tcPr>
            <w:tcW w:w="580" w:type="dxa"/>
            <w:vAlign w:val="bottom"/>
            <w:tcBorders>
              <w:bottom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155,174</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158,575</w:t>
            </w: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139,578</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8" w:name="page79"/>
    <w:bookmarkEnd w:id="78"/>
    <w:p>
      <w:pPr>
        <w:jc w:val="center"/>
        <w:ind w:right="-45"/>
        <w:spacing w:after="0"/>
        <w:rPr>
          <w:sz w:val="20"/>
          <w:szCs w:val="20"/>
          <w:color w:val="auto"/>
        </w:rPr>
      </w:pPr>
      <w:r>
        <w:rPr>
          <w:rFonts w:ascii="Times New Roman" w:cs="Times New Roman" w:eastAsia="Times New Roman" w:hAnsi="Times New Roman"/>
          <w:sz w:val="16"/>
          <w:szCs w:val="16"/>
          <w:b w:val="1"/>
          <w:bCs w:val="1"/>
          <w:color w:val="auto"/>
        </w:rPr>
        <w:t>MARKETWISE, INC.</w:t>
      </w:r>
    </w:p>
    <w:p>
      <w:pPr>
        <w:spacing w:after="0" w:line="21"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3"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6"/>
          <w:szCs w:val="16"/>
          <w:i w:val="1"/>
          <w:iCs w:val="1"/>
          <w:color w:val="auto"/>
        </w:rPr>
        <w:t>(Dollar amounts in thousands, except share, unit, per share,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66" w:hanging="566"/>
        <w:spacing w:after="0"/>
        <w:tabs>
          <w:tab w:leader="none" w:pos="566" w:val="left"/>
        </w:tabs>
        <w:numPr>
          <w:ilvl w:val="0"/>
          <w:numId w:val="2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Organization</w:t>
      </w:r>
    </w:p>
    <w:p>
      <w:pPr>
        <w:spacing w:after="0" w:line="14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i w:val="1"/>
          <w:iCs w:val="1"/>
          <w:color w:val="auto"/>
        </w:rPr>
        <w:t>Description of Business and Basis of Presentation</w:t>
      </w:r>
    </w:p>
    <w:p>
      <w:pPr>
        <w:spacing w:after="0" w:line="145" w:lineRule="exact"/>
        <w:rPr>
          <w:sz w:val="20"/>
          <w:szCs w:val="20"/>
          <w:color w:val="auto"/>
        </w:rPr>
      </w:pPr>
    </w:p>
    <w:p>
      <w:pPr>
        <w:ind w:left="6" w:right="160"/>
        <w:spacing w:after="0" w:line="252" w:lineRule="auto"/>
        <w:rPr>
          <w:sz w:val="20"/>
          <w:szCs w:val="20"/>
          <w:color w:val="auto"/>
        </w:rPr>
      </w:pPr>
      <w:r>
        <w:rPr>
          <w:rFonts w:ascii="Times New Roman" w:cs="Times New Roman" w:eastAsia="Times New Roman" w:hAnsi="Times New Roman"/>
          <w:sz w:val="16"/>
          <w:szCs w:val="16"/>
          <w:color w:val="auto"/>
        </w:rPr>
        <w:t>MarketWise, Inc. (“MarketWise,” “the Company,” “we,” “us,” or “our”) is a holding company that has no material assets other than its ownership in MarketWise, LLC, and operates and controls all of the businesses and operations of MarketWise, LLC and its subsidiaries. The Company provides independent investment research for investors around the world. We believe we are a leading content and technology multi-brand platform for self-directed investors. We offer a comprehensive portfolio of high-quality, independent investment research, as well as several software and analytical tools, on a subscription basis.</w:t>
      </w:r>
    </w:p>
    <w:p>
      <w:pPr>
        <w:spacing w:after="0" w:line="11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While our headquarters are in Baltimore, Maryland, we operate multiple subsidiaries in the United States.</w:t>
      </w:r>
    </w:p>
    <w:p>
      <w:pPr>
        <w:spacing w:after="0" w:line="14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i w:val="1"/>
          <w:iCs w:val="1"/>
          <w:color w:val="auto"/>
        </w:rPr>
        <w:t>Reverse Recapitalization with Ascendant Digital Acquisition Corp.</w:t>
      </w:r>
    </w:p>
    <w:p>
      <w:pPr>
        <w:spacing w:after="0" w:line="145" w:lineRule="exact"/>
        <w:rPr>
          <w:sz w:val="20"/>
          <w:szCs w:val="20"/>
          <w:color w:val="auto"/>
        </w:rPr>
      </w:pPr>
    </w:p>
    <w:p>
      <w:pPr>
        <w:ind w:left="6" w:right="540"/>
        <w:spacing w:after="0" w:line="310" w:lineRule="auto"/>
        <w:rPr>
          <w:sz w:val="20"/>
          <w:szCs w:val="20"/>
          <w:color w:val="auto"/>
        </w:rPr>
      </w:pPr>
      <w:r>
        <w:rPr>
          <w:rFonts w:ascii="Times New Roman" w:cs="Times New Roman" w:eastAsia="Times New Roman" w:hAnsi="Times New Roman"/>
          <w:sz w:val="14"/>
          <w:szCs w:val="14"/>
          <w:color w:val="auto"/>
        </w:rPr>
        <w:t>On July 21, 2021, as contemplated by the Business Combination Agreement, dated as of March 1, 2021, by and among Ascendant Digital Acquisition Corp. (“ADAC”), MarketWise, LLC, all of the members of MarketWise, LLC (other than MarketWise, Inc., the “MarketWise Members”), and Shareholder Representative Services LLC, (as amended, the “Transaction Agreement”), ADAC was domesticated and continues as a Delaware corporation, changing its name to “MarketWise, Inc.”</w:t>
      </w:r>
    </w:p>
    <w:p>
      <w:pPr>
        <w:spacing w:after="0" w:line="78" w:lineRule="exact"/>
        <w:rPr>
          <w:sz w:val="20"/>
          <w:szCs w:val="20"/>
          <w:color w:val="auto"/>
        </w:rPr>
      </w:pPr>
    </w:p>
    <w:p>
      <w:pPr>
        <w:ind w:left="6" w:right="20"/>
        <w:spacing w:after="0" w:line="248" w:lineRule="auto"/>
        <w:rPr>
          <w:sz w:val="20"/>
          <w:szCs w:val="20"/>
          <w:color w:val="auto"/>
        </w:rPr>
      </w:pPr>
      <w:r>
        <w:rPr>
          <w:rFonts w:ascii="Times New Roman" w:cs="Times New Roman" w:eastAsia="Times New Roman" w:hAnsi="Times New Roman"/>
          <w:sz w:val="16"/>
          <w:szCs w:val="16"/>
          <w:color w:val="auto"/>
        </w:rPr>
        <w:t>As a result of, and upon the effective time thereof, among other things, (1) each of the then issued and outstanding Class A ordinary shares, par value $0.0001 per share, of ADAC (the “ADAC Class A ordinary shares”) automatically converted, on a one-for-one basis, into a share of Class A common stock, par value $0.0001 per share, of MarketWise, Inc. (the “Class A common stock”); (2) each of the then issued and outstanding redeemable warrants of ADAC automatically converted into a redeemable warrant to acquire one share of Class A common stock (the “warrants”); and (3) each of the then issued and outstanding units of ADAC that had not been previously separated into the underlying ADAC Class A ordinary shares and underlying warrants upon the request of the holder thereof were cancelled and entitled the holder thereof to one share of Class A common stock and one-half of one warrant. No fractional warrants were issued upon such separation.</w:t>
      </w:r>
    </w:p>
    <w:p>
      <w:pPr>
        <w:spacing w:after="0" w:line="122" w:lineRule="exact"/>
        <w:rPr>
          <w:sz w:val="20"/>
          <w:szCs w:val="20"/>
          <w:color w:val="auto"/>
        </w:rPr>
      </w:pPr>
    </w:p>
    <w:p>
      <w:pPr>
        <w:ind w:left="6"/>
        <w:spacing w:after="0" w:line="250" w:lineRule="auto"/>
        <w:rPr>
          <w:sz w:val="20"/>
          <w:szCs w:val="20"/>
          <w:color w:val="auto"/>
        </w:rPr>
      </w:pPr>
      <w:r>
        <w:rPr>
          <w:rFonts w:ascii="Times New Roman" w:cs="Times New Roman" w:eastAsia="Times New Roman" w:hAnsi="Times New Roman"/>
          <w:sz w:val="16"/>
          <w:szCs w:val="16"/>
          <w:color w:val="auto"/>
        </w:rPr>
        <w:t>On July 21, 2021, as contemplated by the Transaction Agreement, MarketWise, Inc. and MarketWise, LLC consummated the business combination contemplated by the Transaction Agreement whereby (i) MarketWise, LLC restructured its capitalization, appointed MarketWise, Inc. as its managing member, and issued to MarketWise, Inc. 28,003,096 common units of MarketWise, LLC (the “LLC Units”), and 30,979,993 warrants to purchase LLC Units and (ii) MarketWise, Inc. issued 291,092,303 shares of Class B common stock, par value $0.0001 per share, of MarketWise, Inc. (the “Class B common stock” and, together with the Class A common stock, the “common stock”) to the MarketWise Members.</w:t>
      </w:r>
    </w:p>
    <w:p>
      <w:pPr>
        <w:spacing w:after="0" w:line="118" w:lineRule="exact"/>
        <w:rPr>
          <w:sz w:val="20"/>
          <w:szCs w:val="20"/>
          <w:color w:val="auto"/>
        </w:rPr>
      </w:pPr>
    </w:p>
    <w:p>
      <w:pPr>
        <w:ind w:left="6" w:right="20"/>
        <w:spacing w:after="0" w:line="252" w:lineRule="auto"/>
        <w:rPr>
          <w:sz w:val="20"/>
          <w:szCs w:val="20"/>
          <w:color w:val="auto"/>
        </w:rPr>
      </w:pPr>
      <w:r>
        <w:rPr>
          <w:rFonts w:ascii="Times New Roman" w:cs="Times New Roman" w:eastAsia="Times New Roman" w:hAnsi="Times New Roman"/>
          <w:sz w:val="16"/>
          <w:szCs w:val="16"/>
          <w:color w:val="auto"/>
        </w:rPr>
        <w:t>On March 1, 2021, concurrently with the execution of the Transaction Agreement, ADAC entered into subscription agreements with certain investors (collectively, the “PIPE Investors”) who subscribed for 15,000,000 shares of Class A common stock at $10.00 per share for an aggregate commitment amount of $150,000 (the “PIPE Investment” and, together with the other transactions described above and all transactions contemplated by or pursuant to the Transaction Agreement, the “Transactions”). The PIPE Investment was consummated on July 21, 2021 substantially concurrently with the closing of the other Transactions.</w:t>
      </w:r>
    </w:p>
    <w:p>
      <w:pPr>
        <w:spacing w:after="0" w:line="116" w:lineRule="exact"/>
        <w:rPr>
          <w:sz w:val="20"/>
          <w:szCs w:val="20"/>
          <w:color w:val="auto"/>
        </w:rPr>
      </w:pPr>
    </w:p>
    <w:p>
      <w:pPr>
        <w:ind w:left="6"/>
        <w:spacing w:after="0" w:line="250" w:lineRule="auto"/>
        <w:rPr>
          <w:sz w:val="20"/>
          <w:szCs w:val="20"/>
          <w:color w:val="auto"/>
        </w:rPr>
      </w:pPr>
      <w:r>
        <w:rPr>
          <w:rFonts w:ascii="Times New Roman" w:cs="Times New Roman" w:eastAsia="Times New Roman" w:hAnsi="Times New Roman"/>
          <w:sz w:val="16"/>
          <w:szCs w:val="16"/>
          <w:color w:val="auto"/>
        </w:rPr>
        <w:t>Immediately after giving effect to the Transactions, there were 28,003,096 shares of Class A common stock (including 3,051,000 Sponsor Earn Out Shares (as defined and discussed in our Current Report on Form 8-K filed with the Securities and Exchange Commission (“SEC”) on July 28, 2021) the “Original Report”), 291,092,303 shares of Class B common stock, and 30,979,993 warrants outstanding (including 10,280,000 Private Placement Warrants (as defined in the Original Report)). Upon the consummation of the Transactions, ADAC’s ordinary shares, warrants, and units ceased trading on The New York Stock Exchange, and MarketWise, Inc.’s Class A common stock and warrants began trading on the Nasdaq under the symbols “MKTW” and “MKTW W,”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176135" cy="400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06"/>
          </w:cols>
          <w:pgMar w:left="314" w:top="121" w:right="379" w:bottom="1440" w:gutter="0" w:footer="0" w:header="0"/>
        </w:sectPr>
      </w:pPr>
    </w:p>
    <w:bookmarkStart w:id="79" w:name="page80"/>
    <w:bookmarkEnd w:id="79"/>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MARKETWISE, INC.</w:t>
      </w:r>
    </w:p>
    <w:p>
      <w:pPr>
        <w:spacing w:after="0" w:line="2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i w:val="1"/>
          <w:iCs w:val="1"/>
          <w:color w:val="auto"/>
        </w:rPr>
        <w:t>(Dollar amounts in thousands, except share, unit, per share, and per unit data)</w:t>
      </w:r>
    </w:p>
    <w:p>
      <w:pPr>
        <w:spacing w:after="0" w:line="200" w:lineRule="exact"/>
        <w:rPr>
          <w:sz w:val="20"/>
          <w:szCs w:val="20"/>
          <w:color w:val="auto"/>
        </w:rPr>
      </w:pPr>
    </w:p>
    <w:p>
      <w:pPr>
        <w:spacing w:after="0" w:line="349" w:lineRule="exact"/>
        <w:rPr>
          <w:sz w:val="20"/>
          <w:szCs w:val="20"/>
          <w:color w:val="auto"/>
        </w:rPr>
      </w:pPr>
    </w:p>
    <w:p>
      <w:pPr>
        <w:ind w:left="6" w:right="20"/>
        <w:spacing w:after="0" w:line="252" w:lineRule="auto"/>
        <w:rPr>
          <w:sz w:val="20"/>
          <w:szCs w:val="20"/>
          <w:color w:val="auto"/>
        </w:rPr>
      </w:pPr>
      <w:r>
        <w:rPr>
          <w:rFonts w:ascii="Times New Roman" w:cs="Times New Roman" w:eastAsia="Times New Roman" w:hAnsi="Times New Roman"/>
          <w:sz w:val="16"/>
          <w:szCs w:val="16"/>
          <w:color w:val="auto"/>
        </w:rPr>
        <w:t>Immediately after giving effect to the Transactions, (1) ADAC’s public stockholders owned approximately 0.1% of the outstanding MarketWise, Inc. common stock, (2) the MarketWise Members owned approximately 91.2% of the outstanding MarketWise, Inc. common stock, (3) Ascendant Sponsor LP, a Cayman Islands exempted limited partnership and related parties (the “Sponsor”) collectively owned approximately 3.2% of the outstanding MarketWise, Inc. common stock (including 3,051,000 Sponsor Earn Out Shares), and (4) the PIPE Investors owned approximately 4.7% of the outstanding MarketWise, Inc. common stock.</w:t>
      </w:r>
    </w:p>
    <w:p>
      <w:pPr>
        <w:spacing w:after="0" w:line="116" w:lineRule="exact"/>
        <w:rPr>
          <w:sz w:val="20"/>
          <w:szCs w:val="20"/>
          <w:color w:val="auto"/>
        </w:rPr>
      </w:pPr>
    </w:p>
    <w:p>
      <w:pPr>
        <w:ind w:left="6" w:right="100"/>
        <w:spacing w:after="0" w:line="250" w:lineRule="auto"/>
        <w:rPr>
          <w:sz w:val="20"/>
          <w:szCs w:val="20"/>
          <w:color w:val="auto"/>
        </w:rPr>
      </w:pPr>
      <w:r>
        <w:rPr>
          <w:rFonts w:ascii="Times New Roman" w:cs="Times New Roman" w:eastAsia="Times New Roman" w:hAnsi="Times New Roman"/>
          <w:sz w:val="16"/>
          <w:szCs w:val="16"/>
          <w:color w:val="auto"/>
        </w:rPr>
        <w:t>The Transaction was accounted for as a reverse recapitalization in accordance with generally accepted accounting principles in the United States of America (“GAAP”). Under the guidance in Accounting Standards Codification (“ASC”) Topic 805, MarketWise, LLC is treated as the “acquirer” for financial reporting purposes. As such, MarketWise, LLC is deemed the accounting predecessor of the combined business and MarketWise, Inc. the successor registrant for SEC purposes, meaning that MarketWise, LLC’s financial statements for previous periods will be disclosed in the registrant’s future periodic reports filed with the SEC. The reverse recapitalization was treated as the equivalent of MarketWise, LLC issuing stock for the net assets of ADAC, accompanied by a recapitalization.</w:t>
      </w:r>
    </w:p>
    <w:p>
      <w:pPr>
        <w:spacing w:after="0" w:line="118" w:lineRule="exact"/>
        <w:rPr>
          <w:sz w:val="20"/>
          <w:szCs w:val="20"/>
          <w:color w:val="auto"/>
        </w:rPr>
      </w:pPr>
    </w:p>
    <w:p>
      <w:pPr>
        <w:ind w:left="6" w:right="60"/>
        <w:spacing w:after="0" w:line="250" w:lineRule="auto"/>
        <w:rPr>
          <w:sz w:val="20"/>
          <w:szCs w:val="20"/>
          <w:color w:val="auto"/>
        </w:rPr>
      </w:pPr>
      <w:r>
        <w:rPr>
          <w:rFonts w:ascii="Times New Roman" w:cs="Times New Roman" w:eastAsia="Times New Roman" w:hAnsi="Times New Roman"/>
          <w:sz w:val="16"/>
          <w:szCs w:val="16"/>
          <w:color w:val="auto"/>
        </w:rPr>
        <w:t>As part of the recapitalization Transactions, we recorded net cash proceeds from the Transactions of $113.6 million in equity. This cash amount includes: (1) the reclassification of ADAC’s Trust Account of $414.6 million to cash and cash equivalents that became available at the time of the Transactions; (2) proceeds of $150.0 million from the issuance and sale of MarketWise Class A common stock in the PIPE investment; (3) payment of $48.8 million in non-recurring transaction costs; (4) settlement of $14.5 million in deferred underwriters’ discount; and (5) the payment of $387.7 million to redeeming stockholders of ADAC. We also recorded (1) $45.0 million in equity related to the establishment of the initial value of the warrants; and (2) $11.1 million in equity related to the establishment of the initial value of deferred taxes.</w:t>
      </w:r>
    </w:p>
    <w:p>
      <w:pPr>
        <w:spacing w:after="0" w:line="200" w:lineRule="exact"/>
        <w:rPr>
          <w:sz w:val="20"/>
          <w:szCs w:val="20"/>
          <w:color w:val="auto"/>
        </w:rPr>
      </w:pPr>
    </w:p>
    <w:p>
      <w:pPr>
        <w:spacing w:after="0" w:line="266" w:lineRule="exact"/>
        <w:rPr>
          <w:sz w:val="20"/>
          <w:szCs w:val="20"/>
          <w:color w:val="auto"/>
        </w:rPr>
      </w:pPr>
    </w:p>
    <w:p>
      <w:pPr>
        <w:ind w:left="566" w:hanging="566"/>
        <w:spacing w:after="0"/>
        <w:tabs>
          <w:tab w:leader="none" w:pos="566" w:val="left"/>
        </w:tabs>
        <w:numPr>
          <w:ilvl w:val="0"/>
          <w:numId w:val="2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Summary of Significant Accounting Policies</w:t>
      </w:r>
    </w:p>
    <w:p>
      <w:pPr>
        <w:spacing w:after="0" w:line="14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i w:val="1"/>
          <w:iCs w:val="1"/>
          <w:color w:val="auto"/>
        </w:rPr>
        <w:t>Basis of Consolidation</w:t>
      </w:r>
    </w:p>
    <w:p>
      <w:pPr>
        <w:spacing w:after="0" w:line="145" w:lineRule="exact"/>
        <w:rPr>
          <w:sz w:val="20"/>
          <w:szCs w:val="20"/>
          <w:color w:val="auto"/>
        </w:rPr>
      </w:pPr>
    </w:p>
    <w:p>
      <w:pPr>
        <w:ind w:left="6" w:right="260"/>
        <w:spacing w:after="0" w:line="268" w:lineRule="auto"/>
        <w:rPr>
          <w:sz w:val="20"/>
          <w:szCs w:val="20"/>
          <w:color w:val="auto"/>
        </w:rPr>
      </w:pPr>
      <w:r>
        <w:rPr>
          <w:rFonts w:ascii="Times New Roman" w:cs="Times New Roman" w:eastAsia="Times New Roman" w:hAnsi="Times New Roman"/>
          <w:sz w:val="16"/>
          <w:szCs w:val="16"/>
          <w:color w:val="auto"/>
        </w:rPr>
        <w:t>The accompanying consolidated financial statements include the accounts of MarketWise, Inc. and its subsidiary, MarketWise, LLC, a variable interest entity (“VIE”) for which MarketWise, Inc. is deemed to be the primary beneficiary.</w:t>
      </w:r>
    </w:p>
    <w:p>
      <w:pPr>
        <w:spacing w:after="0" w:line="104" w:lineRule="exact"/>
        <w:rPr>
          <w:sz w:val="20"/>
          <w:szCs w:val="20"/>
          <w:color w:val="auto"/>
        </w:rPr>
      </w:pPr>
    </w:p>
    <w:p>
      <w:pPr>
        <w:ind w:left="6"/>
        <w:spacing w:after="0" w:line="256" w:lineRule="auto"/>
        <w:rPr>
          <w:sz w:val="20"/>
          <w:szCs w:val="20"/>
          <w:color w:val="auto"/>
        </w:rPr>
      </w:pPr>
      <w:r>
        <w:rPr>
          <w:rFonts w:ascii="Times New Roman" w:cs="Times New Roman" w:eastAsia="Times New Roman" w:hAnsi="Times New Roman"/>
          <w:sz w:val="16"/>
          <w:szCs w:val="16"/>
          <w:color w:val="auto"/>
        </w:rPr>
        <w:t>MarketWise, Inc. is a holding company that owns a minority economic interest in MarketWise, LLC but, through its role as the managing member of MarketWise, LLC, controls all of the business and operations of MarketWise, LLC. Therefore, MarketWise, LLC and its subsidiaries are included in the Company’s consolidated financial statements. As of December 31, 2023, MarketWise, Inc. had a 11.2% ownership interest in MarketWise, LLC.</w:t>
      </w:r>
    </w:p>
    <w:p>
      <w:pPr>
        <w:spacing w:after="0" w:line="113" w:lineRule="exact"/>
        <w:rPr>
          <w:sz w:val="20"/>
          <w:szCs w:val="20"/>
          <w:color w:val="auto"/>
        </w:rPr>
      </w:pPr>
    </w:p>
    <w:p>
      <w:pPr>
        <w:ind w:left="6" w:right="180"/>
        <w:spacing w:after="0" w:line="268" w:lineRule="auto"/>
        <w:rPr>
          <w:sz w:val="20"/>
          <w:szCs w:val="20"/>
          <w:color w:val="auto"/>
        </w:rPr>
      </w:pPr>
      <w:r>
        <w:rPr>
          <w:rFonts w:ascii="Times New Roman" w:cs="Times New Roman" w:eastAsia="Times New Roman" w:hAnsi="Times New Roman"/>
          <w:sz w:val="16"/>
          <w:szCs w:val="16"/>
          <w:color w:val="auto"/>
        </w:rPr>
        <w:t>The Company determined that MarketWise, LLC is the primary beneficiary of a VIE, and therefore, the assets, liabilities, and results of operations of that VIE are included in the Company’s consolidated financial statements.</w:t>
      </w:r>
    </w:p>
    <w:p>
      <w:pPr>
        <w:spacing w:after="0" w:line="104" w:lineRule="exact"/>
        <w:rPr>
          <w:sz w:val="20"/>
          <w:szCs w:val="20"/>
          <w:color w:val="auto"/>
        </w:rPr>
      </w:pPr>
    </w:p>
    <w:p>
      <w:pPr>
        <w:ind w:left="6" w:right="740"/>
        <w:spacing w:after="0" w:line="427" w:lineRule="auto"/>
        <w:rPr>
          <w:sz w:val="20"/>
          <w:szCs w:val="20"/>
          <w:color w:val="auto"/>
        </w:rPr>
      </w:pPr>
      <w:r>
        <w:rPr>
          <w:rFonts w:ascii="Times New Roman" w:cs="Times New Roman" w:eastAsia="Times New Roman" w:hAnsi="Times New Roman"/>
          <w:sz w:val="16"/>
          <w:szCs w:val="16"/>
          <w:color w:val="auto"/>
        </w:rPr>
        <w:t xml:space="preserve">The consolidated financial statements have been prepared in accordance with GAAP. All intercompany balances and transactions have been eliminated in consolidation. </w:t>
      </w:r>
      <w:r>
        <w:rPr>
          <w:rFonts w:ascii="Times New Roman" w:cs="Times New Roman" w:eastAsia="Times New Roman" w:hAnsi="Times New Roman"/>
          <w:sz w:val="16"/>
          <w:szCs w:val="16"/>
          <w:b w:val="1"/>
          <w:bCs w:val="1"/>
          <w:i w:val="1"/>
          <w:iCs w:val="1"/>
          <w:color w:val="auto"/>
        </w:rPr>
        <w:t>Use of Estimates</w:t>
      </w:r>
    </w:p>
    <w:p>
      <w:pPr>
        <w:ind w:left="6" w:right="100"/>
        <w:spacing w:after="0" w:line="248" w:lineRule="auto"/>
        <w:rPr>
          <w:sz w:val="20"/>
          <w:szCs w:val="20"/>
          <w:color w:val="auto"/>
        </w:rPr>
      </w:pPr>
      <w:r>
        <w:rPr>
          <w:rFonts w:ascii="Times New Roman" w:cs="Times New Roman" w:eastAsia="Times New Roman" w:hAnsi="Times New Roman"/>
          <w:sz w:val="16"/>
          <w:szCs w:val="16"/>
          <w:color w:val="auto"/>
        </w:rPr>
        <w:t>The preparation of consolidated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Significant estimates and assumptions made in the accompanying financial statements include, but are not limited to, the fair value of common units, derivatives, warrants, valuation of assets acquired and liabilities assumed in business combinations, useful lives of intangible assets with definite lives, benefit period of deferred contract acquisition costs, grant-date fair value of equity awards, determination of standalone selling prices, estimated life of membership customers, recoverability of goodwill and long-lived assets, valuation allowances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176135" cy="400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6"/>
          </w:cols>
          <w:pgMar w:left="314" w:top="121"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6"/>
          <w:szCs w:val="16"/>
          <w:b w:val="1"/>
          <w:bCs w:val="1"/>
          <w:color w:val="auto"/>
        </w:rPr>
        <w:t>MARKETWISE,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(Dollar amounts in thousands, except share, unit, per share, and per unit data)</w:t>
      </w:r>
    </w:p>
    <w:p>
      <w:pPr>
        <w:spacing w:after="0" w:line="200" w:lineRule="exact"/>
        <w:rPr>
          <w:sz w:val="20"/>
          <w:szCs w:val="20"/>
          <w:color w:val="auto"/>
        </w:rPr>
      </w:pPr>
    </w:p>
    <w:p>
      <w:pPr>
        <w:spacing w:after="0" w:line="34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deferred tax assets, the incremental borrowing rates to calculate lease liabilities and right-of-use (“ROU”) assets and certain accruals. We evaluate our estimates and assumptions on an ongoing basis using historical experience and other factors and adjust those estimates and assumptions when facts and circumstances dictate. Actual results could differ from those estimates.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Emerging Growth Company</w:t>
      </w:r>
    </w:p>
    <w:p>
      <w:pPr>
        <w:spacing w:after="0" w:line="145"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4"/>
          <w:szCs w:val="14"/>
          <w:color w:val="auto"/>
        </w:rPr>
        <w:t>We are an “emerging growth company,” as defined in Section 2(a) of the Securities Act, as modified by the Jumpstart Our Business Startups Act of 2012, as amended (the “JOBS Act”), and we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2022, as amended (“SOX”),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90"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audited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Variable Interest Entity</w:t>
      </w:r>
    </w:p>
    <w:p>
      <w:pPr>
        <w:spacing w:after="0" w:line="14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The usual condition for a controlling financial interest is ownership of a majority of the voting interests of an entity. However, a controlling financial interest may also exist through arrangements that do not involve controlling voting interests when an entity is insufficiently capitalized, or when an entity is not controlled through its voting interests, which is referred to as a variable interest entity.</w:t>
      </w:r>
    </w:p>
    <w:p>
      <w:pPr>
        <w:spacing w:after="0" w:line="113"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6"/>
          <w:szCs w:val="16"/>
          <w:color w:val="auto"/>
        </w:rPr>
        <w:t>We evaluate our ownership, contractual and other interests in entities to determine if we have a variable interest in an entity. These evaluations are complex, involve judgment, and the use of estimates and assumptions based on available historical information, among other factors. If we hold a contractual or ownership interest in an entity and we determine that the entity is a VIE and that we are determined to be the primary beneficiary, we consolidate such entity in our consolidated financial statements. The primary beneficiary of a VIE is the party that meets both of the following criteria: (1) has the power to make decisions that most significantly affect the economic performance of the VIE; and (2) has the obligation to absorb losses or the right to receive benefits that in either case could potentially be significant to the VIE. Periodically, we determine whether any changes in the interest or relationship with the entity impact the determination of whether we are still the primary beneficiary. If we are not deemed to be the primary beneficiary in a VIE, we account for the investment or other variable interests in a VIE in accordance with applicable GAAP.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Segment Information</w:t>
      </w:r>
    </w:p>
    <w:p>
      <w:pPr>
        <w:spacing w:after="0" w:line="14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Operating segments are components of an enterprise that engage in business activities that may generate revenues and expenses for which separate financial information is available and is evaluated regularly by our chief operating decision-maker (“CODM”) in deciding how to allocate resources and assess performance. Our Chief Executive Officer serves as the CODM.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MARKETWISE,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(Dollar amounts in thousands, except share, unit, per share, and per unit data)</w:t>
      </w:r>
    </w:p>
    <w:p>
      <w:pPr>
        <w:spacing w:after="0" w:line="200" w:lineRule="exact"/>
        <w:rPr>
          <w:sz w:val="20"/>
          <w:szCs w:val="20"/>
          <w:color w:val="auto"/>
        </w:rPr>
      </w:pPr>
    </w:p>
    <w:p>
      <w:pPr>
        <w:spacing w:after="0" w:line="349"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6"/>
          <w:szCs w:val="16"/>
          <w:color w:val="auto"/>
        </w:rPr>
        <w:t>Based on the financial information presented to and reviewed by our CODM in assessing our performance and for the purposes of allocating resources, we have determined our operating subsidiaries represent individual operating segments with similar economic characteristics that meet the criteria for aggregation into a single reportable segment for financial statement purposes. Accordingly, we have a single reportable segment.</w:t>
      </w:r>
    </w:p>
    <w:p>
      <w:pPr>
        <w:spacing w:after="0" w:line="11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In October 2023, the Company reorganized its reporting structure by merging its Empire Financial Research business that was previously included in its Roundtable Research reporting unit into its 1729 Research reporting unit. Accordingly, assets and liabilities were reassigned to 1729 Research, including goodwill of $7,665 which was determined using a relative fair value approach. Significant assumptions of the valuation included, but were not limited to, prospective financial information, growth rates, volatility metrics, discount rates, and inflation factors.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Long-lived assets were located in the United States as of December 31, 2023 and 2022.</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Cash and Cash Equivalents and Restricted Cash</w:t>
      </w:r>
    </w:p>
    <w:p>
      <w:pPr>
        <w:spacing w:after="0" w:line="14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6"/>
          <w:szCs w:val="16"/>
          <w:color w:val="auto"/>
        </w:rPr>
        <w:t>We consider all financial instruments purchased with an original maturity of three months or less at the time of purchase to be cash equivalents. Our cash equivalents are composed of money market funds and certificates of deposit.</w:t>
      </w:r>
    </w:p>
    <w:p>
      <w:pPr>
        <w:spacing w:after="0" w:line="10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We hold certain restricted cash with credit card processors as reserves for chargebacks and refunds. As the reserves are based on our credit card receivables which are collected within twelve months of each reporting period, the restricted cash has been included in other current assets on the consolidated balance sheets. We did not have restricted cash as of December 31, 2023 and 2022.</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Accounts Receivable</w:t>
      </w:r>
    </w:p>
    <w:p>
      <w:pPr>
        <w:spacing w:after="0" w:line="14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6"/>
          <w:szCs w:val="16"/>
          <w:color w:val="auto"/>
        </w:rPr>
        <w:t>Our accounts receivable primarily consist of receivables from third-party credit card providers which are stated at net realizable value. We did not record an allowance for doubtful accounts for the years ended December 31, 2023 and 2022.</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Concentration of Credit Risk and Other Risks and Uncertainties</w:t>
      </w:r>
    </w:p>
    <w:p>
      <w:pPr>
        <w:spacing w:after="0" w:line="145" w:lineRule="exact"/>
        <w:rPr>
          <w:sz w:val="20"/>
          <w:szCs w:val="20"/>
          <w:color w:val="auto"/>
        </w:rPr>
      </w:pPr>
    </w:p>
    <w:p>
      <w:pPr>
        <w:ind w:right="40"/>
        <w:spacing w:after="0" w:line="310" w:lineRule="auto"/>
        <w:rPr>
          <w:sz w:val="20"/>
          <w:szCs w:val="20"/>
          <w:color w:val="auto"/>
        </w:rPr>
      </w:pPr>
      <w:r>
        <w:rPr>
          <w:rFonts w:ascii="Times New Roman" w:cs="Times New Roman" w:eastAsia="Times New Roman" w:hAnsi="Times New Roman"/>
          <w:sz w:val="14"/>
          <w:szCs w:val="14"/>
          <w:color w:val="auto"/>
        </w:rPr>
        <w:t>Financial instruments that potentially subject us to significant concentrations of credit risk consist primarily of cash. We maintain deposits in federally insured financial institutions in excess of federally insured limits. We are exposed to credit risk in the event of a default by the financial institutions holding our cash to the extent recorded on the consolidated balance sheets. Management believes we are not exposed to significant credit risk due to the financial position of the depository institutions in which those deposits are held.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individual customer accounted for more than 10% of revenue for the years ended December 31, 2023, 2022 and 2021.</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Derivative Financial Instruments</w:t>
      </w:r>
    </w:p>
    <w:p>
      <w:pPr>
        <w:spacing w:after="0" w:line="14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 xml:space="preserve">From time to time, we utilize instruments which may contain embedded derivative instruments as part of our overall strategy to compensate and retain key employees and independent contractors (see </w:t>
      </w:r>
      <w:r>
        <w:rPr>
          <w:rFonts w:ascii="Times New Roman" w:cs="Times New Roman" w:eastAsia="Times New Roman" w:hAnsi="Times New Roman"/>
          <w:sz w:val="16"/>
          <w:szCs w:val="16"/>
          <w:i w:val="1"/>
          <w:iCs w:val="1"/>
          <w:color w:val="auto"/>
        </w:rPr>
        <w:t>Note 8 – Derivative Financial Instruments</w:t>
      </w:r>
      <w:r>
        <w:rPr>
          <w:rFonts w:ascii="Times New Roman" w:cs="Times New Roman" w:eastAsia="Times New Roman" w:hAnsi="Times New Roman"/>
          <w:sz w:val="16"/>
          <w:szCs w:val="16"/>
          <w:color w:val="auto"/>
        </w:rPr>
        <w:t xml:space="preserve"> below for additional information). Our derivative instruments are recorded at fair value on the consolidated balance sheets. Our derivative instruments have not been designated as hedges; therefore, both realized and unrealized gains and losses are recognized in earnings. For the purposes of cash flow presentation, realized and unrealized gains or losses are included within cash flows from operating activities. Upfront cash payments received upon the issuance of derivative instruments are included within cash flows from financing activities within the consolidated statements of cash flows.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Property and Equipment, Net</w:t>
      </w:r>
    </w:p>
    <w:p>
      <w:pPr>
        <w:spacing w:after="0" w:line="14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6"/>
          <w:szCs w:val="16"/>
          <w:color w:val="auto"/>
        </w:rPr>
        <w:t>Property and equipment are stated at cost less accumulated depreciation and amortization. Depreciation is computed on a straight-line basis over the estimated useful lives of the related assets. Leasehold improvements are amortized using the straight-line method over the shorter of the related asset’s estimated useful life or the remaining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6"/>
          <w:szCs w:val="16"/>
          <w:b w:val="1"/>
          <w:bCs w:val="1"/>
          <w:color w:val="auto"/>
        </w:rPr>
        <w:t>MARKETWISE,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(Dollar amounts in thousands, except share, unit, per share, and per unit data)</w:t>
      </w:r>
    </w:p>
    <w:p>
      <w:pPr>
        <w:spacing w:after="0" w:line="200" w:lineRule="exact"/>
        <w:rPr>
          <w:sz w:val="20"/>
          <w:szCs w:val="20"/>
          <w:color w:val="auto"/>
        </w:rPr>
      </w:pPr>
    </w:p>
    <w:p>
      <w:pPr>
        <w:spacing w:after="0" w:line="34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6"/>
          <w:szCs w:val="16"/>
          <w:color w:val="auto"/>
        </w:rPr>
        <w:t>term of the lease. Maintenance and repairs are charged to operations as incurred. Upon sale or retirement of assets, the cost and related accumulated depreciation are removed from the balance sheet and the resulting gain or loss is reflected in operations.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Business Combinations</w:t>
      </w:r>
    </w:p>
    <w:p>
      <w:pPr>
        <w:spacing w:after="0" w:line="14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6"/>
          <w:szCs w:val="16"/>
          <w:color w:val="auto"/>
        </w:rPr>
        <w:t>We allocate the fair value of purchase consideration to the tangible assets acquired, liabilities assumed, and intangible assets acquired based on their estimated fair values as of the acquisition date. The excess of the fair value of purchase consideration over the fair values of these identifiable assets and liabilities is recorded as goodwill. Such valuations require management to make significant estimates and assumptions, especially with respect to intangible assets. Significant estimates in valuing assets acquired and liabilities assumed include, but are not limited to, future expected cash flows from acquired customers, trade names, acquired technology and deferred revenue from a market participant perspective, as well as determining useful lives and discount rates. Management’s estimates of fair value are based upon assumptions believed to be reasonable, but which are inherently uncertain and unpredictable and as a result, actual results may differ from estimates. During the measurement period, which is up to one year from the acquisition date, we may record adjustments to the assets acquired and liabilities assumed, with the corresponding offset to goodwill. Upon the conclusion of the measurement period, any subsequent adjustments are recorded in earnings.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Goodwill and Intangible Assets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Goodwill</w:t>
      </w:r>
    </w:p>
    <w:p>
      <w:pPr>
        <w:spacing w:after="0" w:line="14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6"/>
          <w:szCs w:val="16"/>
          <w:color w:val="auto"/>
        </w:rPr>
        <w:t>Goodwill represents the excess of the aggregate fair value of the consideration transferred in a business combination over the fair value of the assets acquired, net of liabilities assumed. Goodwill is not amortized but is evaluated for impairment annually, or more frequently if events or changes in circumstances indicate the goodwill may be impaired. Our annual impairment testing date is the first day of the fourth quarter.</w:t>
      </w:r>
    </w:p>
    <w:p>
      <w:pPr>
        <w:spacing w:after="0" w:line="113"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6"/>
          <w:szCs w:val="16"/>
          <w:color w:val="auto"/>
        </w:rPr>
        <w:t>Events or changes in circumstances which could trigger an impairment review include significant changes in the manner of our use of the acquired assets or the strategy for our overall business, significant negative industry or economic trends, significant underperformance relative to historical or projected future results of operations, a significant adverse change in the business climate, an adverse action or assessment by a regulator, unanticipated competition or a loss of key personnel. We have the option to first assess qualitative factors to determine whether the existence of events or circumstances leads to a determination that it is more likely than not that the fair value of the reporting unit is less than its carrying amount, including goodwill. If, after assessing the totality of events or circumstances, we determine it is not more likely than not that the fair value of the reporting unit is less than its carrying amount, then the quantitative goodwill impairment test is not required. However, if we conclude otherwise, then we are required to perform the quantitative goodwill impairment test.</w:t>
      </w:r>
    </w:p>
    <w:p>
      <w:pPr>
        <w:spacing w:after="0" w:line="119" w:lineRule="exact"/>
        <w:rPr>
          <w:sz w:val="20"/>
          <w:szCs w:val="20"/>
          <w:color w:val="auto"/>
        </w:rPr>
      </w:pPr>
    </w:p>
    <w:p>
      <w:pPr>
        <w:jc w:val="both"/>
        <w:ind w:right="40"/>
        <w:spacing w:after="0" w:line="310" w:lineRule="auto"/>
        <w:rPr>
          <w:sz w:val="20"/>
          <w:szCs w:val="20"/>
          <w:color w:val="auto"/>
        </w:rPr>
      </w:pPr>
      <w:r>
        <w:rPr>
          <w:rFonts w:ascii="Times New Roman" w:cs="Times New Roman" w:eastAsia="Times New Roman" w:hAnsi="Times New Roman"/>
          <w:sz w:val="14"/>
          <w:szCs w:val="14"/>
          <w:color w:val="auto"/>
        </w:rPr>
        <w:t>The quantitative goodwill impairment test involves comparing the estimated fair value of the reporting unit with its respective carrying amount, including goodwill. If the estimated fair value exceeds the carrying amount, goodwill is considered not to be impaired and no additional steps are necessary. If, however, the estimated fair value of the reporting unit is less than the carrying amount, then an impairment loss is recognized in an amount equal to the excess, limited to the total amount of goodwill allocated to that reporting unit.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 goodwill impairment charges have been recorded during the years ended December 31, 2023, 2022 and 2021.</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Intangible Assets, Net</w:t>
      </w:r>
    </w:p>
    <w:p>
      <w:pPr>
        <w:spacing w:after="0" w:line="14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6"/>
          <w:szCs w:val="16"/>
          <w:color w:val="auto"/>
        </w:rPr>
        <w:t>Intangible assets, net consists primarily of identifiable intangible assets that are subject to amortization such as developed technology, customer relationships, and trade names resulting from our acquisitions. Intangible assets arising from acquisitions are recorded at fair value on the date of acquisition and amortized over their estimated economic lives on a straight-line basis which approximates the pattern in which the economic benefits of the assets will be consumed. Intangible assets are presented net of accumulated amortization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6"/>
          <w:szCs w:val="16"/>
          <w:b w:val="1"/>
          <w:bCs w:val="1"/>
          <w:color w:val="auto"/>
        </w:rPr>
        <w:t>MARKETWISE,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(Dollar amounts in thousands, except share, unit, per share, and per unit data)</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Cryptocurrencies</w:t>
      </w:r>
    </w:p>
    <w:p>
      <w:pPr>
        <w:spacing w:after="0" w:line="145" w:lineRule="exact"/>
        <w:rPr>
          <w:sz w:val="20"/>
          <w:szCs w:val="20"/>
          <w:color w:val="auto"/>
        </w:rPr>
      </w:pPr>
    </w:p>
    <w:p>
      <w:pPr>
        <w:jc w:val="both"/>
        <w:ind w:right="460"/>
        <w:spacing w:after="0" w:line="310" w:lineRule="auto"/>
        <w:rPr>
          <w:sz w:val="20"/>
          <w:szCs w:val="20"/>
          <w:color w:val="auto"/>
        </w:rPr>
      </w:pPr>
      <w:r>
        <w:rPr>
          <w:rFonts w:ascii="Times New Roman" w:cs="Times New Roman" w:eastAsia="Times New Roman" w:hAnsi="Times New Roman"/>
          <w:sz w:val="14"/>
          <w:szCs w:val="14"/>
          <w:color w:val="auto"/>
        </w:rPr>
        <w:t>We purchased cryptocurrencies during the year ended December 31, 2018 primarily to be redeemed by customers as part of certain marketing campaigns. We recognized our portfolio of cryptocurrencies as intangible assets since cryptocurrencies are not considered cash and cash equivalents and do not have physical substance. We believe that the cryptocurrencies have an indefinite life since there are no significant legal, regulatory, contractual or economic factors that would limit the cryptocurrencies’ useful life.</w:t>
      </w:r>
    </w:p>
    <w:p>
      <w:pPr>
        <w:spacing w:after="0" w:line="7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6"/>
          <w:szCs w:val="16"/>
          <w:color w:val="auto"/>
        </w:rPr>
        <w:t>Our indefinite-lived cryptocurrency holdings are not amortized but are evaluated for impairment annually, or more frequently if events or changes in circumstances indicate the carrying amount may not be recoverable. We utilize the quoted market values of the cryptocurrencies in the impairment test on the cryptocurrency holdings. We sold cryptocurrencies on hand after the marketing campaigns ended and recognized gains of $0, $0 and $105 during the years ended December 31, 2023, 2022 and 2021, respectively, in other income, net on the consolidated statement of operations. As of December 31, 2023, we do not hold any cryptocurrencies.</w:t>
      </w:r>
    </w:p>
    <w:p>
      <w:pPr>
        <w:spacing w:after="0" w:line="116" w:lineRule="exact"/>
        <w:rPr>
          <w:sz w:val="20"/>
          <w:szCs w:val="20"/>
          <w:color w:val="auto"/>
        </w:rPr>
      </w:pPr>
    </w:p>
    <w:p>
      <w:pPr>
        <w:ind w:right="620"/>
        <w:spacing w:after="0" w:line="427" w:lineRule="auto"/>
        <w:rPr>
          <w:sz w:val="20"/>
          <w:szCs w:val="20"/>
          <w:color w:val="auto"/>
        </w:rPr>
      </w:pPr>
      <w:r>
        <w:rPr>
          <w:rFonts w:ascii="Times New Roman" w:cs="Times New Roman" w:eastAsia="Times New Roman" w:hAnsi="Times New Roman"/>
          <w:sz w:val="16"/>
          <w:szCs w:val="16"/>
          <w:color w:val="auto"/>
        </w:rPr>
        <w:t xml:space="preserve">The cash flows associated with the cryptocurrencies are recognized in the consolidated statement of cash flows as operating activities due to the nature of the transactions. </w:t>
      </w:r>
      <w:r>
        <w:rPr>
          <w:rFonts w:ascii="Times New Roman" w:cs="Times New Roman" w:eastAsia="Times New Roman" w:hAnsi="Times New Roman"/>
          <w:sz w:val="16"/>
          <w:szCs w:val="16"/>
          <w:b w:val="1"/>
          <w:bCs w:val="1"/>
          <w:i w:val="1"/>
          <w:iCs w:val="1"/>
          <w:color w:val="auto"/>
        </w:rPr>
        <w:t>Impairment of Long-Lived Assets</w:t>
      </w:r>
    </w:p>
    <w:p>
      <w:pPr>
        <w:spacing w:after="0" w:line="310" w:lineRule="auto"/>
        <w:rPr>
          <w:sz w:val="20"/>
          <w:szCs w:val="20"/>
          <w:color w:val="auto"/>
        </w:rPr>
      </w:pPr>
      <w:r>
        <w:rPr>
          <w:rFonts w:ascii="Times New Roman" w:cs="Times New Roman" w:eastAsia="Times New Roman" w:hAnsi="Times New Roman"/>
          <w:sz w:val="14"/>
          <w:szCs w:val="14"/>
          <w:color w:val="auto"/>
        </w:rPr>
        <w:t>Long-lived assets are reviewed for indications of possible impairment whenever events or changes in circumstances indicate that the carrying amount of an asset or asset group may not be recoverable. Recoverability is measured by comparison of the carrying amounts to the future undiscounted cash flows attributable to these assets or asset groups. An impairment loss is recognized to the extent an asset group is not recoverable, and the carrying amount exceeds the projected discounted future cash flows arising from these assets.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 Recognition</w:t>
      </w:r>
    </w:p>
    <w:p>
      <w:pPr>
        <w:spacing w:after="0" w:line="143"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6"/>
          <w:szCs w:val="16"/>
          <w:color w:val="auto"/>
        </w:rPr>
        <w:t xml:space="preserve">We recognize revenue in accordance with Accounting Standards Update (“ASU”) No. 2014-09, </w:t>
      </w:r>
      <w:r>
        <w:rPr>
          <w:rFonts w:ascii="Times New Roman" w:cs="Times New Roman" w:eastAsia="Times New Roman" w:hAnsi="Times New Roman"/>
          <w:sz w:val="16"/>
          <w:szCs w:val="16"/>
          <w:i w:val="1"/>
          <w:iCs w:val="1"/>
          <w:color w:val="auto"/>
        </w:rPr>
        <w:t>Revenue from Contracts with Customers (Topic 606)</w:t>
      </w:r>
      <w:r>
        <w:rPr>
          <w:rFonts w:ascii="Times New Roman" w:cs="Times New Roman" w:eastAsia="Times New Roman" w:hAnsi="Times New Roman"/>
          <w:sz w:val="16"/>
          <w:szCs w:val="16"/>
          <w:color w:val="auto"/>
        </w:rPr>
        <w:t xml:space="preserve"> and the related amendments (“ASC 606”).</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determine revenue recognition through the following steps:</w:t>
      </w:r>
    </w:p>
    <w:p>
      <w:pPr>
        <w:spacing w:after="0" w:line="143" w:lineRule="exact"/>
        <w:rPr>
          <w:sz w:val="20"/>
          <w:szCs w:val="20"/>
          <w:color w:val="auto"/>
        </w:rPr>
      </w:pPr>
    </w:p>
    <w:p>
      <w:pPr>
        <w:ind w:left="560" w:hanging="286"/>
        <w:spacing w:after="0"/>
        <w:tabs>
          <w:tab w:leader="none" w:pos="5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 the contract, or contracts, with a customer;</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 the performance obligations in the contract;</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Determine the transaction price;</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Allocate the transaction price to the performance obligations in the contract; and</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Recognize revenue when, or as, a performance obligation is satisfied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Research and software-as-a-service (“SaaS”) subscriptions</w:t>
      </w:r>
    </w:p>
    <w:p>
      <w:pPr>
        <w:spacing w:after="0" w:line="14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6"/>
          <w:szCs w:val="16"/>
          <w:color w:val="auto"/>
        </w:rPr>
        <w:t>We primarily earn revenue from services provided in delivering subscription-based financial research, publications and SaaS offerings to individual customers through our online platforms. Revenues are recognized evenly over the duration of the subscriptions, in an amount that reflects the consideration the Company expects to be entitled to in exchange for those services. Customers are typically billed in advance of the subscriptions.</w:t>
      </w:r>
    </w:p>
    <w:p>
      <w:pPr>
        <w:spacing w:after="0" w:line="11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We also offer membership subscriptions where we receive an upfront payment upon entering into the contract and receive a lower amount annually (a “maintenance fee”) thereafter. The right to discounts on future maintenance fee payments is considered a material right which is recognized as revenue when the customer exercises the option or when the option expires. Certain upfront fees on membership subscriptions are paid in installments, generally over a twelve-month period. We recognize revenue related to membership subscriptions over the estimated customer lives, which was five years for each of the years ended December 31, 2023, 2022 and 2021. We have determined the estimated life of membership customers based on historic customer attrition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MARKETWISE,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(Dollar amounts in thousands, except share, unit, per share, and per unit data)</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Advertising and other</w:t>
      </w:r>
    </w:p>
    <w:p>
      <w:pPr>
        <w:spacing w:after="0" w:line="145"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6"/>
          <w:szCs w:val="16"/>
          <w:color w:val="auto"/>
        </w:rPr>
        <w:t>We earn revenue from the sale of advertising placements on our websites. We also earn revenue from the sale of print products and events, such as webinars and conferences. In addition we recognize revenue that we refer to as “revenue share,” where we earn a fee for each successful sale that third party companies or related parties generate from our customer list.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Performance Obligations</w:t>
      </w:r>
    </w:p>
    <w:p>
      <w:pPr>
        <w:spacing w:after="0" w:line="145"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6"/>
          <w:szCs w:val="16"/>
          <w:color w:val="auto"/>
        </w:rPr>
        <w:t>A performance obligation is a promise in a contract to transfer a distinct good or service to the customer, and is the unit of account in ASC 606. A contract’s transaction price is allocated to each distinct performance obligation and recognized as revenue when, or as, the performance obligation is satisfied.</w:t>
      </w:r>
    </w:p>
    <w:p>
      <w:pPr>
        <w:spacing w:after="0" w:line="104"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6"/>
          <w:szCs w:val="16"/>
          <w:color w:val="auto"/>
        </w:rPr>
        <w:t>As part of certain marketing campaigns, we may offer a “performance guarantee” such that if we do not meet the guarantee conditions, the customer will receive, for example, an extension to their subscription term for no additional consideration. These offers are considered to be material rights for our customers and we allocate a portion of the transaction price to the material right performance obligation. Revenue associated with the material rights is recognized immediately if we have met the guarantee conditions, or over the extended subscription term if we have not met the guarantee conditions.</w:t>
      </w:r>
    </w:p>
    <w:p>
      <w:pPr>
        <w:spacing w:after="0" w:line="116" w:lineRule="exact"/>
        <w:rPr>
          <w:sz w:val="20"/>
          <w:szCs w:val="20"/>
          <w:color w:val="auto"/>
        </w:rPr>
      </w:pPr>
    </w:p>
    <w:p>
      <w:pPr>
        <w:jc w:val="both"/>
        <w:ind w:right="180"/>
        <w:spacing w:after="0" w:line="310" w:lineRule="auto"/>
        <w:rPr>
          <w:sz w:val="20"/>
          <w:szCs w:val="20"/>
          <w:color w:val="auto"/>
        </w:rPr>
      </w:pPr>
      <w:r>
        <w:rPr>
          <w:rFonts w:ascii="Times New Roman" w:cs="Times New Roman" w:eastAsia="Times New Roman" w:hAnsi="Times New Roman"/>
          <w:sz w:val="14"/>
          <w:szCs w:val="14"/>
          <w:color w:val="auto"/>
        </w:rPr>
        <w:t>Our performance obligations are satisfied over time as subscriptions are available to customers or at a point-in-time as products are delivered to customers. Accordingly, revenue from subscription services is recognized over the duration of the subscription. Our advertising performance obligations are satisfied at a point-in-time, and revenue is recognized when impressions are delivered. Revenue from products is recognized at a point-in-time when delivered. Revenue from events is recognized over the duration of the event.</w:t>
      </w:r>
    </w:p>
    <w:p>
      <w:pPr>
        <w:spacing w:after="0" w:line="7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6"/>
          <w:szCs w:val="16"/>
          <w:color w:val="auto"/>
        </w:rPr>
        <w:t>In addition, we apply the sales-based or usage-based royalty exception to revenue share, which are sales of functional intellectual property. Revenue is recognized at a point-in-time as fees are earned on successful sales from the customer lists.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Contracts with Multiple Performance Obligations</w:t>
      </w:r>
    </w:p>
    <w:p>
      <w:pPr>
        <w:spacing w:after="0" w:line="145"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6"/>
          <w:szCs w:val="16"/>
          <w:color w:val="auto"/>
        </w:rPr>
        <w:t>Our contracts with customers may include multiple performance obligations if subscription services are sold with other subscriptions, products or events within one contract. For such contracts, we allocate the transaction price to each performance obligation based on its relative standalone selling price. We generally determine standalone selling prices based on the prices charged to customers on a standalone basis.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Contract Balances</w:t>
      </w:r>
    </w:p>
    <w:p>
      <w:pPr>
        <w:spacing w:after="0" w:line="145"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6"/>
          <w:szCs w:val="16"/>
          <w:color w:val="auto"/>
        </w:rPr>
        <w:t>A contract asset is defined as an entity's right to consideration for goods or services that the entity has transferred to a customer but customer payment is contingent on a future event. A contract liability is defined to occur if the customer's payment of consideration precedes the entity's performance and represents the entity's obligation to transfer goods or services to a customer for which the entity has received consideration. Timing of revenue recognition may differ from the timing of invoicing to customers. We record a receivable when revenue is recognized prior to invoicing, or deferred revenue when revenue is recognized subsequent to invoicing. No contract assets are recorded on our consolidated balance sheets as of December 31, 2023 and 2022.</w:t>
      </w:r>
    </w:p>
    <w:p>
      <w:pPr>
        <w:spacing w:after="0" w:line="118"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6"/>
          <w:szCs w:val="16"/>
          <w:color w:val="auto"/>
        </w:rPr>
        <w:t>Deferred revenue is primarily comprised of unearned revenue related to subscription services. Subscribers typically pay all or a portion of the subscription fees by credit card prior to the start of the subscriptions. Contract receivables are presented as accounts receivable due to processing time with credit card providers.</w:t>
      </w:r>
    </w:p>
    <w:p>
      <w:pPr>
        <w:spacing w:after="0" w:line="104" w:lineRule="exact"/>
        <w:rPr>
          <w:sz w:val="20"/>
          <w:szCs w:val="20"/>
          <w:color w:val="auto"/>
        </w:rPr>
      </w:pPr>
    </w:p>
    <w:p>
      <w:pPr>
        <w:ind w:right="140"/>
        <w:spacing w:after="0" w:line="310" w:lineRule="auto"/>
        <w:rPr>
          <w:sz w:val="20"/>
          <w:szCs w:val="20"/>
          <w:color w:val="auto"/>
        </w:rPr>
      </w:pPr>
      <w:r>
        <w:rPr>
          <w:rFonts w:ascii="Times New Roman" w:cs="Times New Roman" w:eastAsia="Times New Roman" w:hAnsi="Times New Roman"/>
          <w:sz w:val="14"/>
          <w:szCs w:val="14"/>
          <w:color w:val="auto"/>
        </w:rPr>
        <w:t>Subscribers may be able to cancel certain subscriptions for a full or pro-rated refund for a certain period of time, which is usually not more than 90 days after the start of their subscriptions. After the refund period, we have no obligation to refund any of the consideration received. Refund obligations are a significant estimate which we recognize as of each reporting period based on historical trends and record a contract liability for this amount in deferred revenue and other contract liabilities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6"/>
          <w:szCs w:val="16"/>
          <w:b w:val="1"/>
          <w:bCs w:val="1"/>
          <w:color w:val="auto"/>
        </w:rPr>
        <w:t>MARKETWISE,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(Dollar amounts in thousands, except share, unit, per share, and per unit data)</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Assets Recognized from Costs to Obtain a Contract with a Customer</w:t>
      </w:r>
    </w:p>
    <w:p>
      <w:pPr>
        <w:spacing w:after="0" w:line="145"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6"/>
          <w:szCs w:val="16"/>
          <w:color w:val="auto"/>
        </w:rPr>
        <w:t>We capitalize incremental costs that are directly related to the acquisition or renewal of customer contracts, to the extent that the costs are expected to be recovered and if we expect the benefit of these costs to be longer than one year. We have elected to utilize the practical expedient and expense costs to obtain a contract with a customer when the expected benefit period is one year or less. Our capitalizable incremental costs include sales commissions to employees and fees paid to marketing vendors that are generally calculated as a percentage of the customer sale. We also capitalize revenue share fees that are payable to other companies, including related parties, who share their customer lists with us for each successful sale we make to a customer from their list. Capitalized costs are amortized on a straight-line basis over the shorter of the expected customer life or the expected benefit related directly to those costs, which is approximately four years.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Leases</w:t>
      </w:r>
    </w:p>
    <w:p>
      <w:pPr>
        <w:spacing w:after="0" w:line="143" w:lineRule="exact"/>
        <w:rPr>
          <w:sz w:val="20"/>
          <w:szCs w:val="20"/>
          <w:color w:val="auto"/>
        </w:rPr>
      </w:pPr>
    </w:p>
    <w:p>
      <w:pPr>
        <w:ind w:right="120"/>
        <w:spacing w:after="0" w:line="344" w:lineRule="auto"/>
        <w:rPr>
          <w:sz w:val="20"/>
          <w:szCs w:val="20"/>
          <w:color w:val="auto"/>
        </w:rPr>
      </w:pPr>
      <w:r>
        <w:rPr>
          <w:rFonts w:ascii="Times New Roman" w:cs="Times New Roman" w:eastAsia="Times New Roman" w:hAnsi="Times New Roman"/>
          <w:sz w:val="14"/>
          <w:szCs w:val="14"/>
          <w:color w:val="auto"/>
        </w:rPr>
        <w:t xml:space="preserve">We follow the provisions of ASU No. 2016-02,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(“ASU 2016-02”). We determine if an arrangement is a lease at inception. Operating leases are included in operating lease right-of-use (“ROU”) assets, operating lease liabilities, and operating lease liabilities, noncurrent in the consolidated balance sheets. We do not have any finance lease agreements.</w:t>
      </w:r>
    </w:p>
    <w:p>
      <w:pPr>
        <w:spacing w:after="0" w:line="55"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4"/>
          <w:szCs w:val="14"/>
          <w:color w:val="auto"/>
        </w:rPr>
        <w:t>ROU assets represent the right to use an underlying asset for the lease term and lease liabilities represent the obligation to make lease payments arising from the lease. Operating lease ROU assets and liabilities are recognized at commencement date based on the present value of lease payments over the lease term. As our leases do not provide an implicit rate, we use our incremental borrowing rate based on the information available at the commencement date in determining the present value of lease payments. The operating lease ROU asset includes any lease payments made and excludes payments received for lease incentives. Our lease terms may include options to extend or terminate the lease when it is reasonably certain that the option will be exercised. Lease expense for lease payments is recognized on a straight-line basis over the lease term.</w:t>
      </w:r>
    </w:p>
    <w:p>
      <w:pPr>
        <w:spacing w:after="0" w:line="90"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6"/>
          <w:szCs w:val="16"/>
          <w:color w:val="auto"/>
        </w:rPr>
        <w:t>We elected to use the practical expedient for short-term leases, and therefore do not record right-of-use assets or lease liabilities with lease durations of twelve months or less. Rather, the lease payments for short-term leases are recognized on the consolidated statements of operations on a straight-line basis over the lease term. We have also elected the practical expedient on not separating lease components from nonlease components for our office leases.</w:t>
      </w:r>
    </w:p>
    <w:p>
      <w:pPr>
        <w:spacing w:after="0" w:line="11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Variable payments, such as common area charges, maintenance, insurance and taxes, are primarily based on the amount of space we occupy. These payments in our leases are not dependent on an index or a rate and are excluded from the measurement of the lease liabilities and recognized in the consolidated statements of operations in the period in which the obligation for those payments is incurred. We remeasure our lease payments when the contingency underlying such variable payments is resolved such that some or all of the remaining payments become fixed.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Cost of Revenue</w:t>
      </w:r>
    </w:p>
    <w:p>
      <w:pPr>
        <w:spacing w:after="0" w:line="145"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6"/>
          <w:szCs w:val="16"/>
          <w:color w:val="auto"/>
        </w:rPr>
        <w:t>Cost of revenue consists primarily of payroll and payroll-related costs associated with producing and publishing our content, customer service, credit card processing fees, product costs and allocated overhead.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Sales and Marketing</w:t>
      </w:r>
    </w:p>
    <w:p>
      <w:pPr>
        <w:spacing w:after="0" w:line="145" w:lineRule="exact"/>
        <w:rPr>
          <w:sz w:val="20"/>
          <w:szCs w:val="20"/>
          <w:color w:val="auto"/>
        </w:rPr>
      </w:pPr>
    </w:p>
    <w:p>
      <w:pPr>
        <w:ind w:right="540"/>
        <w:spacing w:after="0" w:line="256" w:lineRule="auto"/>
        <w:rPr>
          <w:sz w:val="20"/>
          <w:szCs w:val="20"/>
          <w:color w:val="auto"/>
        </w:rPr>
      </w:pPr>
      <w:r>
        <w:rPr>
          <w:rFonts w:ascii="Times New Roman" w:cs="Times New Roman" w:eastAsia="Times New Roman" w:hAnsi="Times New Roman"/>
          <w:sz w:val="16"/>
          <w:szCs w:val="16"/>
          <w:color w:val="auto"/>
        </w:rPr>
        <w:t>Sales and marketing expenses consist primarily of payroll and payroll-related costs, amortization of deferred contract acquisition costs, allocated overhead, agency costs, advertising campaigns, and branding initiatives. Conferences, webinars and other event costs are expensed during the period in which the event takes place. Other sales and marketing and advertising costs are expensed as they are incurred.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Advertising expense was $44,270, $97,704 and $144,561 for the years ended December 31, 2023, 2022 and 2021, respectively.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Research and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MARKETWISE, INC.</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(Dollar amounts in thousands, except share, unit, per share, and per unit data)</w:t>
      </w:r>
    </w:p>
    <w:p>
      <w:pPr>
        <w:spacing w:after="0" w:line="200" w:lineRule="exact"/>
        <w:rPr>
          <w:sz w:val="20"/>
          <w:szCs w:val="20"/>
          <w:color w:val="auto"/>
        </w:rPr>
      </w:pPr>
    </w:p>
    <w:p>
      <w:pPr>
        <w:spacing w:after="0" w:line="349" w:lineRule="exact"/>
        <w:rPr>
          <w:sz w:val="20"/>
          <w:szCs w:val="20"/>
          <w:color w:val="auto"/>
        </w:rPr>
      </w:pPr>
    </w:p>
    <w:p>
      <w:pPr>
        <w:ind w:right="1020"/>
        <w:spacing w:after="0" w:line="427" w:lineRule="auto"/>
        <w:rPr>
          <w:sz w:val="20"/>
          <w:szCs w:val="20"/>
          <w:color w:val="auto"/>
        </w:rPr>
      </w:pPr>
      <w:r>
        <w:rPr>
          <w:rFonts w:ascii="Times New Roman" w:cs="Times New Roman" w:eastAsia="Times New Roman" w:hAnsi="Times New Roman"/>
          <w:sz w:val="16"/>
          <w:szCs w:val="16"/>
          <w:color w:val="auto"/>
        </w:rPr>
        <w:t xml:space="preserve">Research and development expenses consist primarily of payroll and related costs, allocated overhead, technical services, software expenses, and hosting expenses. </w:t>
      </w:r>
      <w:r>
        <w:rPr>
          <w:rFonts w:ascii="Times New Roman" w:cs="Times New Roman" w:eastAsia="Times New Roman" w:hAnsi="Times New Roman"/>
          <w:sz w:val="16"/>
          <w:szCs w:val="16"/>
          <w:b w:val="1"/>
          <w:bCs w:val="1"/>
          <w:i w:val="1"/>
          <w:iCs w:val="1"/>
          <w:color w:val="auto"/>
        </w:rPr>
        <w:t>General and Administrative</w:t>
      </w:r>
    </w:p>
    <w:p>
      <w:pPr>
        <w:ind w:right="520"/>
        <w:spacing w:after="0" w:line="268" w:lineRule="auto"/>
        <w:rPr>
          <w:sz w:val="20"/>
          <w:szCs w:val="20"/>
          <w:color w:val="auto"/>
        </w:rPr>
      </w:pPr>
      <w:r>
        <w:rPr>
          <w:rFonts w:ascii="Times New Roman" w:cs="Times New Roman" w:eastAsia="Times New Roman" w:hAnsi="Times New Roman"/>
          <w:sz w:val="16"/>
          <w:szCs w:val="16"/>
          <w:color w:val="auto"/>
        </w:rPr>
        <w:t>General and administrative expenses consist primarily of payroll and related costs, including severances, associated with our finance, legal, information technology, human resources, executive and administrative personnel, legal fees, corporate insurance, office expenses, professional fees, and travel and entertainment costs.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Stock-Based Compensation</w:t>
      </w:r>
    </w:p>
    <w:p>
      <w:pPr>
        <w:spacing w:after="0" w:line="145"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6"/>
          <w:szCs w:val="16"/>
          <w:color w:val="auto"/>
        </w:rPr>
        <w:t>Stock-based compensation expenses are included in cost of revenue, sales and marketing, and general and administrative expenses in a manner consistent with the employee’s salary and benefits in the consolidated statements of operations.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2021 Incentive Award Plan</w:t>
      </w:r>
    </w:p>
    <w:p>
      <w:pPr>
        <w:spacing w:after="0" w:line="145"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6"/>
          <w:szCs w:val="16"/>
          <w:color w:val="auto"/>
        </w:rPr>
        <w:t>On July 21, 2021, the MarketWise, Inc. 2021 Incentive Award Plan (the “2021 Incentive Award Plan”) became effective. As of December 31, 2023, 33,960,802 shares of Class A common stock were reserved for issuance pursuant to the 2021 Incentive Award Plan, and the maximum number of shares that may be issued pursuant to the exercise of incentive stock options granted under the 2021 Incentive Award Plan is 32,045,000, in each case, subject to certain adjustments set forth therein.</w:t>
      </w:r>
    </w:p>
    <w:p>
      <w:pPr>
        <w:spacing w:after="0" w:line="113"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6"/>
          <w:szCs w:val="16"/>
          <w:color w:val="auto"/>
        </w:rPr>
        <w:t>The 2021 Incentive Award Plan provides for the grant of stock options, including incentive stock options, or ISOs, and nonqualified stock options, or NSOs; restricted stock; restricted stock units, or RSUs; stock appreciation rights, or SARs; and other stock or cash-based awards.</w:t>
      </w:r>
    </w:p>
    <w:p>
      <w:pPr>
        <w:spacing w:after="0" w:line="10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Equity-based compensation with service conditions is measured based on the grant date fair value of the awards and recognized as compensation expense over the period during which the recipient is required to perform services in exchange for the award (the requisite service period). We have elected to use a straight-line attribution method for recognizing compensation costs relating to awards that have service conditions only. Forfeitures are recorded as they occur.</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2021 ESPP</w:t>
      </w:r>
    </w:p>
    <w:p>
      <w:pPr>
        <w:spacing w:after="0" w:line="14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6"/>
          <w:szCs w:val="16"/>
          <w:color w:val="auto"/>
        </w:rPr>
        <w:t>As a result of the Transactions, we adopted the 2021 Employee Stock Purchase Plan (“ESPP”) effective on January 1, 2022. Under the ESPP, the Company authorizes the grant of the right to purchase shares of Class A common stock by employees who qualify under the ESPP. As of December 31, 2023, the Company has reserved for issuance a total of 6,728,300 shares of Class A common stock for the ESPP. The current offering period began on July 1, 2023 and ended on December 31, 2023.</w:t>
      </w:r>
    </w:p>
    <w:p>
      <w:pPr>
        <w:spacing w:after="0" w:line="11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The ESPP is implemented through a series of offerings under which eligible employees are granted purchase rights to purchase shares of the Company’s Class A common stock on specified dates during such offerings. Under the ESPP, the Company has determined the offering period to occur in six month intervals, with the purchase occurring as of the last trading day of each offering period. On each purchase date, eligible employees will purchase the shares at a price per share equal to 85% of the lesser of (1) the fair market value of the Company’s Class A common stock on the first trading day of the offering period, or (2) the fair market value of the Company’s Class A common stock on the purchase date, as defined in the ESPP. The fair value of the ESPP is determined using the Monte Carlo model as of the beginning of each offering period and is expensed ratably over the six month offering period.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Profits Interests</w:t>
      </w:r>
    </w:p>
    <w:p>
      <w:pPr>
        <w:spacing w:after="0" w:line="14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6"/>
          <w:szCs w:val="16"/>
          <w:color w:val="auto"/>
        </w:rPr>
        <w:t xml:space="preserve">During the year ended December 31, 2023, the Company granted fully vested profits interests in a subsidiary of the Company to an employee. The profits interests are accounted for under ASC 718, </w:t>
      </w:r>
      <w:r>
        <w:rPr>
          <w:rFonts w:ascii="Times New Roman" w:cs="Times New Roman" w:eastAsia="Times New Roman" w:hAnsi="Times New Roman"/>
          <w:sz w:val="16"/>
          <w:szCs w:val="16"/>
          <w:i w:val="1"/>
          <w:iCs w:val="1"/>
          <w:color w:val="auto"/>
        </w:rPr>
        <w:t>Compensation—Stock Compensation,</w:t>
      </w:r>
      <w:r>
        <w:rPr>
          <w:rFonts w:ascii="Times New Roman" w:cs="Times New Roman" w:eastAsia="Times New Roman" w:hAnsi="Times New Roman"/>
          <w:sz w:val="16"/>
          <w:szCs w:val="16"/>
          <w:color w:val="auto"/>
        </w:rPr>
        <w:t xml:space="preserve"> and are classified as liability awards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which requires that the awards be remeasured to fair value at the end of each reporting period until the liability is settled.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6"/>
          <w:szCs w:val="16"/>
          <w:b w:val="1"/>
          <w:bCs w:val="1"/>
          <w:color w:val="auto"/>
        </w:rPr>
        <w:t>MARKETWISE,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(Dollar amounts in thousands, except share, unit, per share, and per unit data)</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Class B Units</w:t>
      </w:r>
    </w:p>
    <w:p>
      <w:pPr>
        <w:spacing w:after="0" w:line="14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As more fully described above, we completed our Transactions in July 2021, and all Class B Units issued by MarketWise, LLC fully vested as of the transaction date, and the original operating agreement of MarketWise, LLC (“Prior MarketWise Operating Agreement”) was terminated and replaced by a new operating agreement (“MarketWise Operating Agreement”) consistent with the Company’s Up-C structure. This MarketWise Operating Agreement does not contain the put and call options that existed under the Prior MarketWise Operating Agreement, and the MarketWise, LLC common units are treated as common equity under the new operating agreement and do not generate stock-based compensation expense.</w:t>
      </w:r>
    </w:p>
    <w:p>
      <w:pPr>
        <w:spacing w:after="0" w:line="11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6"/>
          <w:szCs w:val="16"/>
          <w:color w:val="auto"/>
        </w:rPr>
        <w:t>Prior to the Transactions, under the old operating agreement, and as part of our compensation and retention strategy, MarketWise, LLC granted incentive compensation units (“Class B Units”) to certain key employees, which are profit interests for United States federal income tax purposes. The Class B Units were accounted for as a substantive class of equity and allowed the recipient to realize value only to the extent that the value of the award appreciated.</w:t>
      </w:r>
    </w:p>
    <w:p>
      <w:pPr>
        <w:spacing w:after="0" w:line="113" w:lineRule="exact"/>
        <w:rPr>
          <w:sz w:val="20"/>
          <w:szCs w:val="20"/>
          <w:color w:val="auto"/>
        </w:rPr>
      </w:pPr>
    </w:p>
    <w:p>
      <w:pPr>
        <w:ind w:right="60"/>
        <w:spacing w:after="0" w:line="310" w:lineRule="auto"/>
        <w:rPr>
          <w:sz w:val="20"/>
          <w:szCs w:val="20"/>
          <w:color w:val="auto"/>
        </w:rPr>
      </w:pPr>
      <w:r>
        <w:rPr>
          <w:rFonts w:ascii="Times New Roman" w:cs="Times New Roman" w:eastAsia="Times New Roman" w:hAnsi="Times New Roman"/>
          <w:sz w:val="14"/>
          <w:szCs w:val="14"/>
          <w:color w:val="auto"/>
        </w:rPr>
        <w:t>The Class B Units contained service-based vesting conditions and had different vesting terms depending upon the employee which ranged from vesting immediately to eight years; vesting was accelerated upon the completion of the Transactions. Compensation cost was recognized on a straight-line basis over the requisite service period until vesting for the entire award, but at least equaled the number of vested units determined by the underlying vesting schedule. Forfeitures were accounted for in the period in which they occur.</w:t>
      </w:r>
    </w:p>
    <w:p>
      <w:pPr>
        <w:spacing w:after="0" w:line="7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6"/>
          <w:szCs w:val="16"/>
          <w:color w:val="auto"/>
        </w:rPr>
        <w:t>The Class B Units were subject to a put and call option whereby MarketWise, LLC could elect to redeem or be required to redeem these units at a value determined by a predefined formula based on a multiplier of its net income as defined by management. Employees may not exercise the put option until 25 months have elapsed from the issuance date. Since the redemption price is not representative of fair value, the employees are not considered to be subject to the risks and rewards of share ownership, and the Class B Units were classified as liabilities in the accompanying consolidated balance sheet. Prior to the completion of the Transactions, the liability for Class B units was remeasured to fair value at the end of each reporting period.</w:t>
      </w:r>
    </w:p>
    <w:p>
      <w:pPr>
        <w:spacing w:after="0" w:line="118"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6"/>
          <w:szCs w:val="16"/>
          <w:color w:val="auto"/>
        </w:rPr>
        <w:t xml:space="preserve">Since Class B Units were classified as liabilities, all cash distributions made to the unitholders of the Class B Units pursuant to the Prior MarketWise Operating Agreement were considered to be stock-based compensation expenses. See also </w:t>
      </w:r>
      <w:r>
        <w:rPr>
          <w:rFonts w:ascii="Times New Roman" w:cs="Times New Roman" w:eastAsia="Times New Roman" w:hAnsi="Times New Roman"/>
          <w:sz w:val="16"/>
          <w:szCs w:val="16"/>
          <w:i w:val="1"/>
          <w:iCs w:val="1"/>
          <w:color w:val="auto"/>
        </w:rPr>
        <w:t>Note 11 – Stock-Based Compensation</w:t>
      </w:r>
      <w:r>
        <w:rPr>
          <w:rFonts w:ascii="Times New Roman" w:cs="Times New Roman" w:eastAsia="Times New Roman" w:hAnsi="Times New Roman"/>
          <w:sz w:val="16"/>
          <w:szCs w:val="16"/>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Capitalized Software Development Costs</w:t>
      </w:r>
    </w:p>
    <w:p>
      <w:pPr>
        <w:spacing w:after="0" w:line="145" w:lineRule="exact"/>
        <w:rPr>
          <w:sz w:val="20"/>
          <w:szCs w:val="20"/>
          <w:color w:val="auto"/>
        </w:rPr>
      </w:pPr>
    </w:p>
    <w:p>
      <w:pPr>
        <w:ind w:right="360"/>
        <w:spacing w:after="0" w:line="256" w:lineRule="auto"/>
        <w:rPr>
          <w:sz w:val="20"/>
          <w:szCs w:val="20"/>
          <w:color w:val="auto"/>
        </w:rPr>
      </w:pPr>
      <w:r>
        <w:rPr>
          <w:rFonts w:ascii="Times New Roman" w:cs="Times New Roman" w:eastAsia="Times New Roman" w:hAnsi="Times New Roman"/>
          <w:sz w:val="16"/>
          <w:szCs w:val="16"/>
          <w:color w:val="auto"/>
        </w:rPr>
        <w:t>For internal use software, we capitalize external costs and payroll and payroll-related costs related to employees that developed new or additional software functionality. Costs incurred during the preliminary project and post-implementation stages are expensed as incurred and included in research and development in the consolidated statements of operations. These capitalized costs are amortized using the straight-line method over the software’s expected useful life, which is generally three years.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Capitalized Implementation Costs</w:t>
      </w:r>
    </w:p>
    <w:p>
      <w:pPr>
        <w:spacing w:after="0" w:line="145"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6"/>
          <w:szCs w:val="16"/>
          <w:color w:val="auto"/>
        </w:rPr>
        <w:t>We capitalize implementation costs incurred in cloud computing hosting arrangements that are service contracts and amortize such costs using the straight-line method over the term of the related hosting arrangement and any expected renewal periods. These costs include external direct costs for materials and services and payroll and payroll-related costs of employees devoting time to the project. Software maintenance and training costs are expensed in the period in which they are incurred. The capitalized implementation costs are capitalized within other current assets and other assets on the consolidated balance sheets.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Fair Value Measurement</w:t>
      </w:r>
    </w:p>
    <w:p>
      <w:pPr>
        <w:spacing w:after="0" w:line="145"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6"/>
          <w:szCs w:val="16"/>
          <w:color w:val="auto"/>
        </w:rPr>
        <w:t>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6"/>
          <w:szCs w:val="16"/>
          <w:b w:val="1"/>
          <w:bCs w:val="1"/>
          <w:color w:val="auto"/>
        </w:rPr>
        <w:t>MARKETWISE,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(Dollar amounts in thousands, except share, unit, per share, and per unit data)</w:t>
      </w:r>
    </w:p>
    <w:p>
      <w:pPr>
        <w:spacing w:after="0" w:line="200" w:lineRule="exact"/>
        <w:rPr>
          <w:sz w:val="20"/>
          <w:szCs w:val="20"/>
          <w:color w:val="auto"/>
        </w:rPr>
      </w:pPr>
    </w:p>
    <w:p>
      <w:pPr>
        <w:spacing w:after="0" w:line="34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principal or most advantageous market for the asset or liability in an orderly transaction between market participants on the measurement date. Valuation techniques used to measure fair value must maximize the use of observable inputs and minimize the use of unobservable inputs. GAAP establishes a three-tier fair value hierarchy for disclosure of fair value measurements as follows: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Level 1—Observable inputs such as unadjusted, quoted prices in active markets for identical assets or liabilities at the measurement date;</w:t>
      </w:r>
    </w:p>
    <w:p>
      <w:pPr>
        <w:spacing w:after="0" w:line="143"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6"/>
          <w:szCs w:val="16"/>
          <w:color w:val="auto"/>
        </w:rPr>
        <w:t>Level 2—Inputs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Level 3— Unobservable inputs that are supported by little or no market activity and that are significant to the fair value of the assets or liabilities.</w:t>
      </w:r>
    </w:p>
    <w:p>
      <w:pPr>
        <w:spacing w:after="0" w:line="143"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6"/>
          <w:szCs w:val="16"/>
          <w:color w:val="auto"/>
        </w:rPr>
        <w:t>The carrying amount of our financial instruments, including accounts receivable, trade and other payables, accrued expenses and related party receivables and payables, approximate their respective fair values because of their short maturities. The fair value of stock-based compensation liabilities for Class B Units, the derivatives liabilities associated with our deferred compensation arrangements, and the warrant liabilities were determined using unobservable Level 3 inputs. We have not elected the fair value option for any financial assets and liabilities for which such an election would have been permitted.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Warrant Liability</w:t>
      </w:r>
    </w:p>
    <w:p>
      <w:pPr>
        <w:spacing w:after="0" w:line="145"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6"/>
          <w:szCs w:val="16"/>
          <w:color w:val="auto"/>
        </w:rPr>
        <w:t xml:space="preserve">Warrants are accounted for as either equity-classified or liability-classified instruments based on an assessment of the warrant’s specific terms and applicable authoritative guidance in Financial Accounting Standards Board (“FASB”) ASC 480, </w:t>
      </w:r>
      <w:r>
        <w:rPr>
          <w:rFonts w:ascii="Times New Roman" w:cs="Times New Roman" w:eastAsia="Times New Roman" w:hAnsi="Times New Roman"/>
          <w:sz w:val="16"/>
          <w:szCs w:val="16"/>
          <w:i w:val="1"/>
          <w:iCs w:val="1"/>
          <w:color w:val="auto"/>
        </w:rPr>
        <w:t>Distinguishing Liabilities from Equity</w:t>
      </w:r>
      <w:r>
        <w:rPr>
          <w:rFonts w:ascii="Times New Roman" w:cs="Times New Roman" w:eastAsia="Times New Roman" w:hAnsi="Times New Roman"/>
          <w:sz w:val="16"/>
          <w:szCs w:val="16"/>
          <w:color w:val="auto"/>
        </w:rPr>
        <w:t xml:space="preserve"> (“ASC 480”) and ASC 815, </w:t>
      </w:r>
      <w:r>
        <w:rPr>
          <w:rFonts w:ascii="Times New Roman" w:cs="Times New Roman" w:eastAsia="Times New Roman" w:hAnsi="Times New Roman"/>
          <w:sz w:val="16"/>
          <w:szCs w:val="16"/>
          <w:i w:val="1"/>
          <w:iCs w:val="1"/>
          <w:color w:val="auto"/>
        </w:rPr>
        <w:t>Derivatives and Hedging</w:t>
      </w:r>
      <w:r>
        <w:rPr>
          <w:rFonts w:ascii="Times New Roman" w:cs="Times New Roman" w:eastAsia="Times New Roman" w:hAnsi="Times New Roman"/>
          <w:sz w:val="16"/>
          <w:szCs w:val="16"/>
          <w:color w:val="auto"/>
        </w:rPr>
        <w:t xml:space="preserve">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ordinary shares,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20"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6"/>
          <w:szCs w:val="16"/>
          <w:color w:val="auto"/>
        </w:rPr>
        <w:t xml:space="preserve">As more fully described in </w:t>
      </w:r>
      <w:r>
        <w:rPr>
          <w:rFonts w:ascii="Times New Roman" w:cs="Times New Roman" w:eastAsia="Times New Roman" w:hAnsi="Times New Roman"/>
          <w:sz w:val="16"/>
          <w:szCs w:val="16"/>
          <w:i w:val="1"/>
          <w:iCs w:val="1"/>
          <w:color w:val="auto"/>
        </w:rPr>
        <w:t>Note 17 – Warrant Exchange</w:t>
      </w:r>
      <w:r>
        <w:rPr>
          <w:rFonts w:ascii="Times New Roman" w:cs="Times New Roman" w:eastAsia="Times New Roman" w:hAnsi="Times New Roman"/>
          <w:sz w:val="16"/>
          <w:szCs w:val="16"/>
          <w:color w:val="auto"/>
        </w:rPr>
        <w:t xml:space="preserve"> the Private Placement Warrants and Public Warrants were exchanged for Class A common stock of MarketWise, Inc. in September 2022.</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Foreign Currency Translation</w:t>
      </w:r>
    </w:p>
    <w:p>
      <w:pPr>
        <w:spacing w:after="0" w:line="145" w:lineRule="exact"/>
        <w:rPr>
          <w:sz w:val="20"/>
          <w:szCs w:val="20"/>
          <w:color w:val="auto"/>
        </w:rPr>
      </w:pPr>
    </w:p>
    <w:p>
      <w:pPr>
        <w:ind w:right="80"/>
        <w:spacing w:after="0" w:line="299" w:lineRule="auto"/>
        <w:rPr>
          <w:sz w:val="20"/>
          <w:szCs w:val="20"/>
          <w:color w:val="auto"/>
        </w:rPr>
      </w:pPr>
      <w:r>
        <w:rPr>
          <w:rFonts w:ascii="Times New Roman" w:cs="Times New Roman" w:eastAsia="Times New Roman" w:hAnsi="Times New Roman"/>
          <w:sz w:val="14"/>
          <w:szCs w:val="14"/>
          <w:color w:val="auto"/>
        </w:rPr>
        <w:t>A subsidiary is an entity in Singapore, and its functional currency is the local currency. Gains and losses on transactions denominated in currencies other than the functional currency are included in determining net income (loss) for the period. Assets and liabilities of our foreign subsidiary are translated using the exchange rates in effect at the balance sheet date. Results of operations are translated using weighted average exchange rates. Adjustments arising from the translation of our foreign subsidiary’s functional currency into U.S. dollars are reported as foreign currency translation adjustments in accumulated other comprehensive loss in the consolidated statements of members’ deficit.</w:t>
      </w:r>
    </w:p>
    <w:p>
      <w:pPr>
        <w:spacing w:after="0" w:line="86" w:lineRule="exact"/>
        <w:rPr>
          <w:sz w:val="20"/>
          <w:szCs w:val="20"/>
          <w:color w:val="auto"/>
        </w:rPr>
      </w:pPr>
    </w:p>
    <w:p>
      <w:pPr>
        <w:jc w:val="both"/>
        <w:ind w:right="180"/>
        <w:spacing w:after="0" w:line="256" w:lineRule="auto"/>
        <w:rPr>
          <w:sz w:val="20"/>
          <w:szCs w:val="20"/>
          <w:color w:val="auto"/>
        </w:rPr>
      </w:pPr>
      <w:r>
        <w:rPr>
          <w:rFonts w:ascii="Times New Roman" w:cs="Times New Roman" w:eastAsia="Times New Roman" w:hAnsi="Times New Roman"/>
          <w:sz w:val="16"/>
          <w:szCs w:val="16"/>
          <w:color w:val="auto"/>
        </w:rPr>
        <w:t>Transaction gains and losses that arise from exchange rate fluctuations on transactions denominated in a currency other than the functional currency are included in other income, net in the accompanying consolidated statement of operations when realized. Foreign currency transaction activity was immaterial for the years ended December 31, 2023, 2022 and 2021.</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Comprehensive Income (Loss)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Comprehensive income (loss) is currently comprised of changes in foreign currency translation adjustments.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6"/>
          <w:szCs w:val="16"/>
          <w:b w:val="1"/>
          <w:bCs w:val="1"/>
          <w:color w:val="auto"/>
        </w:rPr>
        <w:t>MARKETWISE,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(Dollar amounts in thousands, except share, unit, per share, and per unit data)</w:t>
      </w:r>
    </w:p>
    <w:p>
      <w:pPr>
        <w:spacing w:after="0" w:line="200" w:lineRule="exact"/>
        <w:rPr>
          <w:sz w:val="20"/>
          <w:szCs w:val="20"/>
          <w:color w:val="auto"/>
        </w:rPr>
      </w:pPr>
    </w:p>
    <w:p>
      <w:pPr>
        <w:spacing w:after="0" w:line="34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6"/>
          <w:szCs w:val="16"/>
          <w:color w:val="auto"/>
        </w:rPr>
        <w:t>Prior to the Transactions, we were a pass-through entity for income tax purposes. Subsequent to the Transactions, the portion of earnings allocable to MarketWise, Inc. is subject to corporate level tax rates at the federal, state and local levels. Therefore, the amount of income taxes recorded prior to the Transactions are not representative of the expenses expected in the future.</w:t>
      </w:r>
    </w:p>
    <w:p>
      <w:pPr>
        <w:spacing w:after="0" w:line="113" w:lineRule="exact"/>
        <w:rPr>
          <w:sz w:val="20"/>
          <w:szCs w:val="20"/>
          <w:color w:val="auto"/>
        </w:rPr>
      </w:pPr>
    </w:p>
    <w:p>
      <w:pPr>
        <w:ind w:right="60"/>
        <w:spacing w:after="0" w:line="299" w:lineRule="auto"/>
        <w:rPr>
          <w:sz w:val="20"/>
          <w:szCs w:val="20"/>
          <w:color w:val="auto"/>
        </w:rPr>
      </w:pPr>
      <w:r>
        <w:rPr>
          <w:rFonts w:ascii="Times New Roman" w:cs="Times New Roman" w:eastAsia="Times New Roman" w:hAnsi="Times New Roman"/>
          <w:sz w:val="14"/>
          <w:szCs w:val="14"/>
          <w:color w:val="auto"/>
        </w:rPr>
        <w:t>The computation of the effective tax rate and provision at each interim period requires the use of certain estimates and significant judgment including, but not limited to, the expected operating income for the year, projections of the proportion of income that is subject to tax, permanent differences between our GAAP earnings and taxable income, and the likelihood of recovering deferred tax assets existing as of the balance sheet date. The estimates used to compute the provision for income taxes may change throughout the year as new events occur, additional information is obtained or as tax laws and regulations change. Accordingly, the effective tax rate for future interim periods may vary materially.</w:t>
      </w:r>
    </w:p>
    <w:p>
      <w:pPr>
        <w:spacing w:after="0" w:line="86"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6"/>
          <w:szCs w:val="16"/>
          <w:color w:val="auto"/>
        </w:rPr>
        <w:t>We account for income taxes pursuant to the asset and liability method which requires us to recognize current tax liabilities or receivables for the amount of taxes we estimate are payable or refundable for the current year, deferred tax assets and liabilities for the expected future tax consequences attributable to temporary differences between the financial statement carrying amounts and their respective tax bases of assets and liabilities and the expected benefits of net operating loss and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operations in the period enacted. A valuation allowance is provided when it is more likely than not that a portion or all of a deferred tax asset will not be realized. The ultimate realization of deferred tax assets is dependent upon the generation of future taxable income and the reversal of deferred tax liabilities during the period in which related temporary differences become deductible.</w:t>
      </w:r>
    </w:p>
    <w:p>
      <w:pPr>
        <w:spacing w:after="0" w:line="11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6"/>
          <w:szCs w:val="16"/>
          <w:color w:val="auto"/>
        </w:rPr>
        <w:t>The benefit of tax positions taken or expected to be taken in our income tax returns is recognized in the financial statements if such positions are more likely than not of being sustained upon examination by taxing authorities. Differences between tax positions taken or expected to be taken in a tax return and the benefit recognized and measured pursuant to the interpretation are referred to as “unrecognized benefits.” A liability is recognized (or amount of net operating loss carryover or amount of tax refundable is reduced) for an unrecognized tax benefit because it represents a potential future obligation to the taxing authority for a tax position that was not recognized. Interest costs and related penalties related to unrecognized tax benefits are required to be calculated, if applicable and are recognized as general and administrative expenses.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Tax Receivable Agreement Obligation</w:t>
      </w:r>
    </w:p>
    <w:p>
      <w:pPr>
        <w:spacing w:after="0" w:line="14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In connection with the Transactions, concurrently with the Closing, we have entered into a Tax Receivable Agreement (“TRA”) with owners of MarketWise, LLC prior to the Transactions (that is, the MarketWise Members). The TRA generally provides for the payment by us to the MarketWise Members of 85% of the cash tax benefits, if any, that we are deemed to realize as a result of tax basis adjustments as a result of sales and exchanges of LLC Units in connection with, or following the Transactions, and certain distributions with respect to units. These tax basis adjustments generated over time may increase (for tax purposes) the depreciation and amortization deductions available to us and, therefore, may reduce the amount of U.S. federal, state and local tax that we would otherwise be required to pay in the future, although the IRS may challenge all or part of the validity of that tax basis, and a court could sustain such challenge. The tax basis adjustments upon sales or exchanges of units for shares of Class A common stock and certain distributions with respect to LLC Units may also decrease gains (or increase losses) on future dispositions of certain assets to the extent tax basis is allocated to those assets. Actual tax benefits realized by us may differ from tax benefits calculated under the Tax Receivable Agreement as a result of the use of certain assumptions in the TRA, including the use of an assumed weighted average state and local income tax rate to calculate tax benefits. The payments that we may make under the TRA are expected to be substantial.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account for the effects of these increases in tax basis and associated payments under the TRA when exchanges occur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MARKETWISE, INC.</w:t>
      </w:r>
    </w:p>
    <w:p>
      <w:pPr>
        <w:spacing w:after="0" w:line="2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i w:val="1"/>
          <w:iCs w:val="1"/>
          <w:color w:val="auto"/>
        </w:rPr>
        <w:t>(Dollar amounts in thousands, except share, unit, per share, and per unit data)</w:t>
      </w:r>
    </w:p>
    <w:p>
      <w:pPr>
        <w:spacing w:after="0" w:line="200" w:lineRule="exact"/>
        <w:rPr>
          <w:sz w:val="20"/>
          <w:szCs w:val="20"/>
          <w:color w:val="auto"/>
        </w:rPr>
      </w:pPr>
    </w:p>
    <w:p>
      <w:pPr>
        <w:spacing w:after="0" w:line="349" w:lineRule="exact"/>
        <w:rPr>
          <w:sz w:val="20"/>
          <w:szCs w:val="20"/>
          <w:color w:val="auto"/>
        </w:rPr>
      </w:pPr>
    </w:p>
    <w:p>
      <w:pPr>
        <w:ind w:left="566" w:right="140" w:hanging="286"/>
        <w:spacing w:after="0" w:line="268" w:lineRule="auto"/>
        <w:tabs>
          <w:tab w:leader="none" w:pos="557"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recognize a contingent liability for the TRA obligation when it is deemed probable and estimable, with a corresponding adjustment to additional paid-in-capital, based on the estimate of the aggregate amount that MarketWise, Inc. will pay;</w:t>
      </w:r>
    </w:p>
    <w:p>
      <w:pPr>
        <w:spacing w:after="0" w:line="103" w:lineRule="exact"/>
        <w:rPr>
          <w:rFonts w:ascii="Times New Roman" w:cs="Times New Roman" w:eastAsia="Times New Roman" w:hAnsi="Times New Roman"/>
          <w:sz w:val="16"/>
          <w:szCs w:val="16"/>
          <w:color w:val="auto"/>
        </w:rPr>
      </w:pPr>
    </w:p>
    <w:p>
      <w:pPr>
        <w:ind w:left="566" w:right="400" w:hanging="286"/>
        <w:spacing w:after="0" w:line="268" w:lineRule="auto"/>
        <w:tabs>
          <w:tab w:leader="none" w:pos="566"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record an increase in deferred tax assets for the estimated income tax effects of the increases in tax basis based on enacted federal and state tax rates at the date of the exchange;</w:t>
      </w:r>
    </w:p>
    <w:p>
      <w:pPr>
        <w:spacing w:after="0" w:line="103" w:lineRule="exact"/>
        <w:rPr>
          <w:rFonts w:ascii="Times New Roman" w:cs="Times New Roman" w:eastAsia="Times New Roman" w:hAnsi="Times New Roman"/>
          <w:sz w:val="16"/>
          <w:szCs w:val="16"/>
          <w:color w:val="auto"/>
        </w:rPr>
      </w:pPr>
    </w:p>
    <w:p>
      <w:pPr>
        <w:ind w:left="566" w:right="400" w:hanging="286"/>
        <w:spacing w:after="0" w:line="268" w:lineRule="auto"/>
        <w:tabs>
          <w:tab w:leader="none" w:pos="557"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the extent we estimate that we will not realize the full benefit represented by the deferred tax asset, based on an analysis that will consider, among other things, our expectation of future earnings, we reduce the deferred tax asset with a valuation allowance; and,</w:t>
      </w:r>
    </w:p>
    <w:p>
      <w:pPr>
        <w:spacing w:after="0" w:line="103" w:lineRule="exact"/>
        <w:rPr>
          <w:rFonts w:ascii="Times New Roman" w:cs="Times New Roman" w:eastAsia="Times New Roman" w:hAnsi="Times New Roman"/>
          <w:sz w:val="16"/>
          <w:szCs w:val="16"/>
          <w:color w:val="auto"/>
        </w:rPr>
      </w:pPr>
    </w:p>
    <w:p>
      <w:pPr>
        <w:ind w:left="566" w:hanging="286"/>
        <w:spacing w:after="0"/>
        <w:tabs>
          <w:tab w:leader="none" w:pos="566"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effects of changes in any of the estimates and subsequent changes in the enacted tax rates after the initial recognition will be included in our net income.</w:t>
      </w:r>
    </w:p>
    <w:p>
      <w:pPr>
        <w:spacing w:after="0" w:line="14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i w:val="1"/>
          <w:iCs w:val="1"/>
          <w:color w:val="auto"/>
        </w:rPr>
        <w:t>Earnout Shares</w:t>
      </w:r>
    </w:p>
    <w:p>
      <w:pPr>
        <w:spacing w:after="0" w:line="145" w:lineRule="exact"/>
        <w:rPr>
          <w:sz w:val="20"/>
          <w:szCs w:val="20"/>
          <w:color w:val="auto"/>
        </w:rPr>
      </w:pPr>
    </w:p>
    <w:p>
      <w:pPr>
        <w:ind w:left="6" w:right="80"/>
        <w:spacing w:after="0" w:line="299" w:lineRule="auto"/>
        <w:rPr>
          <w:sz w:val="20"/>
          <w:szCs w:val="20"/>
          <w:color w:val="auto"/>
        </w:rPr>
      </w:pPr>
      <w:r>
        <w:rPr>
          <w:rFonts w:ascii="Times New Roman" w:cs="Times New Roman" w:eastAsia="Times New Roman" w:hAnsi="Times New Roman"/>
          <w:sz w:val="14"/>
          <w:szCs w:val="14"/>
          <w:color w:val="auto"/>
        </w:rPr>
        <w:t>Pursuant to the Transaction Agreement, at the closing of the Transactions, we placed 3,051,000 shares of MarketWise, Inc. Class A common stock into escrow to be released to the Sponsor if certain conditions are met (“Sponsor Earnout Shares”). In addition, certain management members of the Company have been allocated 2,000,000 shares of Class A common stock in aggregate, with shares to be placed in escrow, and released at any time during a 4-year period following closing of the Transaction, if certain conditions are met (“Management Member Earnout Shares”). The Sponsor Earnout Shares and Management Member Earnout Shares (together, the “Earnout Shares”) will be released as follows:</w:t>
      </w:r>
    </w:p>
    <w:p>
      <w:pPr>
        <w:spacing w:after="0" w:line="86" w:lineRule="exact"/>
        <w:rPr>
          <w:sz w:val="20"/>
          <w:szCs w:val="20"/>
          <w:color w:val="auto"/>
        </w:rPr>
      </w:pPr>
    </w:p>
    <w:p>
      <w:pPr>
        <w:ind w:left="6" w:right="640" w:hanging="6"/>
        <w:spacing w:after="0" w:line="268" w:lineRule="auto"/>
        <w:tabs>
          <w:tab w:leader="none" w:pos="175"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 when the volume weighted average price (the “VWAP) of Class A common stock is greater than or equal to $12.00 for a period of at least 20 trading days within a consecutive 30-trading-day period, or based on the per share equity value in a transaction in which our stockholders sell their shares; and</w:t>
      </w:r>
    </w:p>
    <w:p>
      <w:pPr>
        <w:spacing w:after="0" w:line="103" w:lineRule="exact"/>
        <w:rPr>
          <w:rFonts w:ascii="Times New Roman" w:cs="Times New Roman" w:eastAsia="Times New Roman" w:hAnsi="Times New Roman"/>
          <w:sz w:val="16"/>
          <w:szCs w:val="16"/>
          <w:color w:val="auto"/>
        </w:rPr>
      </w:pPr>
    </w:p>
    <w:p>
      <w:pPr>
        <w:ind w:left="6" w:right="640" w:hanging="6"/>
        <w:spacing w:after="0" w:line="268" w:lineRule="auto"/>
        <w:tabs>
          <w:tab w:leader="none" w:pos="175"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 when the volume weighted average price (the “VWAP) of Class A common stock is greater than or equal to $14.00 for a period of at least 20 trading days within a consecutive 30-trading-day period, or based on the per share equity value in a transaction in which our stockholders sell their shares.</w:t>
      </w:r>
    </w:p>
    <w:p>
      <w:pPr>
        <w:spacing w:after="0" w:line="104" w:lineRule="exact"/>
        <w:rPr>
          <w:sz w:val="20"/>
          <w:szCs w:val="20"/>
          <w:color w:val="auto"/>
        </w:rPr>
      </w:pPr>
    </w:p>
    <w:p>
      <w:pPr>
        <w:ind w:left="6" w:right="60"/>
        <w:spacing w:after="0" w:line="256" w:lineRule="auto"/>
        <w:rPr>
          <w:sz w:val="20"/>
          <w:szCs w:val="20"/>
          <w:color w:val="auto"/>
        </w:rPr>
      </w:pPr>
      <w:r>
        <w:rPr>
          <w:rFonts w:ascii="Times New Roman" w:cs="Times New Roman" w:eastAsia="Times New Roman" w:hAnsi="Times New Roman"/>
          <w:sz w:val="16"/>
          <w:szCs w:val="16"/>
          <w:color w:val="auto"/>
        </w:rPr>
        <w:t>The Earnout Shares are classified as equity transactions at initial issuance and at settlement when the release conditions are met. Until the shares are issued and released, the Earnout Shares are not included in shares outstanding. The Earnout Shares are not considered stock-based compensation. As of the date of the Transactions, the Earnout Shares had a fair value of $26.0 million for 5,051,000 shares of Class A common stock.</w:t>
      </w:r>
    </w:p>
    <w:p>
      <w:pPr>
        <w:spacing w:after="0" w:line="11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i w:val="1"/>
          <w:iCs w:val="1"/>
          <w:color w:val="auto"/>
        </w:rPr>
        <w:t>Noncontrolling Interest</w:t>
      </w:r>
    </w:p>
    <w:p>
      <w:pPr>
        <w:spacing w:after="0" w:line="145" w:lineRule="exact"/>
        <w:rPr>
          <w:sz w:val="20"/>
          <w:szCs w:val="20"/>
          <w:color w:val="auto"/>
        </w:rPr>
      </w:pPr>
    </w:p>
    <w:p>
      <w:pPr>
        <w:ind w:left="6" w:right="280"/>
        <w:spacing w:after="0" w:line="268" w:lineRule="auto"/>
        <w:rPr>
          <w:sz w:val="20"/>
          <w:szCs w:val="20"/>
          <w:color w:val="auto"/>
        </w:rPr>
      </w:pPr>
      <w:r>
        <w:rPr>
          <w:rFonts w:ascii="Times New Roman" w:cs="Times New Roman" w:eastAsia="Times New Roman" w:hAnsi="Times New Roman"/>
          <w:sz w:val="16"/>
          <w:szCs w:val="16"/>
          <w:color w:val="auto"/>
        </w:rPr>
        <w:t>Noncontrolling interest represents the Company’s noncontrolling interest in consolidated subsidiaries which are not attributable, directly or indirectly, to the controlling Class A common stock ownership of the Company.</w:t>
      </w:r>
    </w:p>
    <w:p>
      <w:pPr>
        <w:spacing w:after="0" w:line="104" w:lineRule="exact"/>
        <w:rPr>
          <w:sz w:val="20"/>
          <w:szCs w:val="20"/>
          <w:color w:val="auto"/>
        </w:rPr>
      </w:pPr>
    </w:p>
    <w:p>
      <w:pPr>
        <w:ind w:left="6"/>
        <w:spacing w:after="0" w:line="252" w:lineRule="auto"/>
        <w:rPr>
          <w:sz w:val="20"/>
          <w:szCs w:val="20"/>
          <w:color w:val="auto"/>
        </w:rPr>
      </w:pPr>
      <w:r>
        <w:rPr>
          <w:rFonts w:ascii="Times New Roman" w:cs="Times New Roman" w:eastAsia="Times New Roman" w:hAnsi="Times New Roman"/>
          <w:sz w:val="16"/>
          <w:szCs w:val="16"/>
          <w:color w:val="auto"/>
        </w:rPr>
        <w:t>The Transactions occurred on July 21, 2021. As a result, net income (loss) for the year ended December 31, 2021 was attributed to the pre-Transactions period from January 1, 2021 through July 21, 2021 and to the post-Transactions period from July 22, 2021 through December 31, 2021. Net income (loss) in the pre-Transactions period was attributable to consolidated MarketWise, LLC and its respective noncontrolling interests and in the post-Transactions period was attributable to consolidated MarketWise, Inc. and its respective noncontrolling interests.</w:t>
      </w:r>
    </w:p>
    <w:p>
      <w:pPr>
        <w:spacing w:after="0" w:line="116" w:lineRule="exact"/>
        <w:rPr>
          <w:sz w:val="20"/>
          <w:szCs w:val="20"/>
          <w:color w:val="auto"/>
        </w:rPr>
      </w:pPr>
    </w:p>
    <w:p>
      <w:pPr>
        <w:ind w:left="6" w:right="320"/>
        <w:spacing w:after="0" w:line="310" w:lineRule="auto"/>
        <w:rPr>
          <w:sz w:val="20"/>
          <w:szCs w:val="20"/>
          <w:color w:val="auto"/>
        </w:rPr>
      </w:pPr>
      <w:r>
        <w:rPr>
          <w:rFonts w:ascii="Times New Roman" w:cs="Times New Roman" w:eastAsia="Times New Roman" w:hAnsi="Times New Roman"/>
          <w:sz w:val="14"/>
          <w:szCs w:val="14"/>
          <w:color w:val="auto"/>
        </w:rPr>
        <w:t>Net income for the years ended December 31, 2023 and 2022 was fully attributable to consolidated MarketWise, Inc. and its respective noncontrolling interests in the post-Transactions period. As of December 31, 2023, MarketWise, Inc.’s controlling interest in MarketWise, LLC was 11.2% and the noncontrolling interest was 88.8%. For the year ended December 31, 2023 net income attributable to controlling interests included a $1,803 tax provision which is 100% attributable to the controlling interest.</w:t>
      </w:r>
    </w:p>
    <w:p>
      <w:pPr>
        <w:spacing w:after="0" w:line="7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i w:val="1"/>
          <w:iCs w:val="1"/>
          <w:color w:val="auto"/>
        </w:rPr>
        <w:t>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176135" cy="400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6"/>
          </w:cols>
          <w:pgMar w:left="314" w:top="121" w:right="319" w:bottom="1440" w:gutter="0" w:footer="0" w:header="0"/>
        </w:sectPr>
      </w:pPr>
    </w:p>
    <w:bookmarkStart w:id="91" w:name="page92"/>
    <w:bookmarkEnd w:id="91"/>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MARKETWISE, INC.</w:t>
      </w:r>
    </w:p>
    <w:p>
      <w:pPr>
        <w:spacing w:after="0" w:line="2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i w:val="1"/>
          <w:iCs w:val="1"/>
          <w:color w:val="auto"/>
        </w:rPr>
        <w:t>(Dollar amounts in thousands, except share, unit, per share, and per unit data)</w:t>
      </w:r>
    </w:p>
    <w:p>
      <w:pPr>
        <w:spacing w:after="0" w:line="200" w:lineRule="exact"/>
        <w:rPr>
          <w:sz w:val="20"/>
          <w:szCs w:val="20"/>
          <w:color w:val="auto"/>
        </w:rPr>
      </w:pPr>
    </w:p>
    <w:p>
      <w:pPr>
        <w:spacing w:after="0" w:line="349" w:lineRule="exact"/>
        <w:rPr>
          <w:sz w:val="20"/>
          <w:szCs w:val="20"/>
          <w:color w:val="auto"/>
        </w:rPr>
      </w:pPr>
    </w:p>
    <w:p>
      <w:pPr>
        <w:ind w:left="6" w:right="160"/>
        <w:spacing w:after="0" w:line="252" w:lineRule="auto"/>
        <w:rPr>
          <w:sz w:val="20"/>
          <w:szCs w:val="20"/>
          <w:color w:val="auto"/>
        </w:rPr>
      </w:pPr>
      <w:r>
        <w:rPr>
          <w:rFonts w:ascii="Times New Roman" w:cs="Times New Roman" w:eastAsia="Times New Roman" w:hAnsi="Times New Roman"/>
          <w:sz w:val="16"/>
          <w:szCs w:val="16"/>
          <w:color w:val="auto"/>
        </w:rPr>
        <w:t>Basic net income per share is based on the weighted average number of shares of Class A common stock issued and outstanding after the closing of the Transactions. Diluted net income per share is based on the weighted average number of shares of Class A common stock issued and outstanding and the effect of all dilutive common stock equivalents and potentially dilutive share based compensation awards outstanding during the period after the closing of the Transactions. Class B common stock is not a participating security, therefore it is not included in the earnings per share calculation.</w:t>
      </w:r>
    </w:p>
    <w:p>
      <w:pPr>
        <w:spacing w:after="0" w:line="11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i w:val="1"/>
          <w:iCs w:val="1"/>
          <w:color w:val="auto"/>
        </w:rPr>
        <w:t>Recently Issued and Adopted Accounting Pronouncements</w:t>
      </w:r>
    </w:p>
    <w:p>
      <w:pPr>
        <w:spacing w:after="0" w:line="143" w:lineRule="exact"/>
        <w:rPr>
          <w:sz w:val="20"/>
          <w:szCs w:val="20"/>
          <w:color w:val="auto"/>
        </w:rPr>
      </w:pPr>
    </w:p>
    <w:p>
      <w:pPr>
        <w:ind w:left="6" w:right="60"/>
        <w:spacing w:after="0" w:line="250" w:lineRule="auto"/>
        <w:rPr>
          <w:sz w:val="20"/>
          <w:szCs w:val="20"/>
          <w:color w:val="auto"/>
        </w:rPr>
      </w:pPr>
      <w:r>
        <w:rPr>
          <w:rFonts w:ascii="Times New Roman" w:cs="Times New Roman" w:eastAsia="Times New Roman" w:hAnsi="Times New Roman"/>
          <w:sz w:val="16"/>
          <w:szCs w:val="16"/>
          <w:color w:val="auto"/>
        </w:rPr>
        <w:t xml:space="preserve">In November 2023, the FASB issued Accounting Standards Update (“ASU”) 2023-07, </w:t>
      </w:r>
      <w:r>
        <w:rPr>
          <w:rFonts w:ascii="Times New Roman" w:cs="Times New Roman" w:eastAsia="Times New Roman" w:hAnsi="Times New Roman"/>
          <w:sz w:val="16"/>
          <w:szCs w:val="16"/>
          <w:i w:val="1"/>
          <w:iCs w:val="1"/>
          <w:color w:val="auto"/>
        </w:rPr>
        <w:t>Improvements to Reportable Segment Disclosures,</w:t>
      </w:r>
      <w:r>
        <w:rPr>
          <w:rFonts w:ascii="Times New Roman" w:cs="Times New Roman" w:eastAsia="Times New Roman" w:hAnsi="Times New Roman"/>
          <w:sz w:val="16"/>
          <w:szCs w:val="16"/>
          <w:color w:val="auto"/>
        </w:rPr>
        <w:t xml:space="preserve"> (“ASU 2023-07”) which is aimed at improving reportable segment disclosure requirements, primarily through enhanced disclosures about significant segment expenses. ASU 2023-07 also requires additional interim disclosures. ASU 2023-07 is effective for the Company for the annual period beginning January 1, 2024, and interim periods beginning on January 1, 2025. Early adoption is permitted. The enhanced segment disclosure requirements apply retrospectively to all prior periods presented in the financial statements, and prior period disclosures shall be based on the significant segment expense categories identified and disclosed in the period of adoption.</w:t>
      </w:r>
    </w:p>
    <w:p>
      <w:pPr>
        <w:spacing w:after="0" w:line="118" w:lineRule="exact"/>
        <w:rPr>
          <w:sz w:val="20"/>
          <w:szCs w:val="20"/>
          <w:color w:val="auto"/>
        </w:rPr>
      </w:pPr>
    </w:p>
    <w:p>
      <w:pPr>
        <w:jc w:val="both"/>
        <w:ind w:left="6" w:right="60"/>
        <w:spacing w:after="0" w:line="257" w:lineRule="auto"/>
        <w:rPr>
          <w:sz w:val="20"/>
          <w:szCs w:val="20"/>
          <w:color w:val="auto"/>
        </w:rPr>
      </w:pPr>
      <w:r>
        <w:rPr>
          <w:rFonts w:ascii="Times New Roman" w:cs="Times New Roman" w:eastAsia="Times New Roman" w:hAnsi="Times New Roman"/>
          <w:sz w:val="16"/>
          <w:szCs w:val="16"/>
          <w:color w:val="auto"/>
        </w:rPr>
        <w:t xml:space="preserve">In December 2023, the FASB issued ASU 2023-09, </w:t>
      </w:r>
      <w:r>
        <w:rPr>
          <w:rFonts w:ascii="Times New Roman" w:cs="Times New Roman" w:eastAsia="Times New Roman" w:hAnsi="Times New Roman"/>
          <w:sz w:val="16"/>
          <w:szCs w:val="16"/>
          <w:i w:val="1"/>
          <w:iCs w:val="1"/>
          <w:color w:val="auto"/>
        </w:rPr>
        <w:t>Improvements to Income Tax Disclosures</w:t>
      </w:r>
      <w:r>
        <w:rPr>
          <w:rFonts w:ascii="Times New Roman" w:cs="Times New Roman" w:eastAsia="Times New Roman" w:hAnsi="Times New Roman"/>
          <w:sz w:val="16"/>
          <w:szCs w:val="16"/>
          <w:color w:val="auto"/>
        </w:rPr>
        <w:t>. Under ASU 2023-09, companies must annually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w:t>
      </w:r>
    </w:p>
    <w:p>
      <w:pPr>
        <w:spacing w:after="0" w:line="113" w:lineRule="exact"/>
        <w:rPr>
          <w:sz w:val="20"/>
          <w:szCs w:val="20"/>
          <w:color w:val="auto"/>
        </w:rPr>
      </w:pPr>
    </w:p>
    <w:p>
      <w:pPr>
        <w:jc w:val="both"/>
        <w:ind w:left="6" w:right="40"/>
        <w:spacing w:after="0" w:line="268" w:lineRule="auto"/>
        <w:rPr>
          <w:sz w:val="20"/>
          <w:szCs w:val="20"/>
          <w:color w:val="auto"/>
        </w:rPr>
      </w:pPr>
      <w:r>
        <w:rPr>
          <w:rFonts w:ascii="Times New Roman" w:cs="Times New Roman" w:eastAsia="Times New Roman" w:hAnsi="Times New Roman"/>
          <w:sz w:val="16"/>
          <w:szCs w:val="16"/>
          <w:color w:val="auto"/>
        </w:rPr>
        <w:t>ASU 2023-09 improves the transparency of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w:t>
      </w:r>
    </w:p>
    <w:p>
      <w:pPr>
        <w:spacing w:after="0" w:line="104" w:lineRule="exact"/>
        <w:rPr>
          <w:sz w:val="20"/>
          <w:szCs w:val="20"/>
          <w:color w:val="auto"/>
        </w:rPr>
      </w:pPr>
    </w:p>
    <w:p>
      <w:pPr>
        <w:ind w:left="6" w:right="260"/>
        <w:spacing w:after="0" w:line="341" w:lineRule="auto"/>
        <w:rPr>
          <w:sz w:val="20"/>
          <w:szCs w:val="20"/>
          <w:color w:val="auto"/>
        </w:rPr>
      </w:pPr>
      <w:r>
        <w:rPr>
          <w:rFonts w:ascii="Times New Roman" w:cs="Times New Roman" w:eastAsia="Times New Roman" w:hAnsi="Times New Roman"/>
          <w:sz w:val="14"/>
          <w:szCs w:val="14"/>
          <w:color w:val="auto"/>
        </w:rPr>
        <w:t>ASU 2023-09 is effective for the Company on January 1, 2025. Early adoption is permitted for annual financial statements that have not yet been issued or made available for issuance. The Company is currently evaluating the guidance and expects it to only impact disclosures, with no impact to results of operations, cash flows, or financial condition.</w:t>
      </w:r>
    </w:p>
    <w:p>
      <w:pPr>
        <w:spacing w:after="0" w:line="200" w:lineRule="exact"/>
        <w:rPr>
          <w:sz w:val="20"/>
          <w:szCs w:val="20"/>
          <w:color w:val="auto"/>
        </w:rPr>
      </w:pPr>
    </w:p>
    <w:p>
      <w:pPr>
        <w:spacing w:after="0" w:line="206" w:lineRule="exact"/>
        <w:rPr>
          <w:sz w:val="20"/>
          <w:szCs w:val="20"/>
          <w:color w:val="auto"/>
        </w:rPr>
      </w:pPr>
    </w:p>
    <w:p>
      <w:pPr>
        <w:ind w:left="566" w:hanging="566"/>
        <w:spacing w:after="0"/>
        <w:tabs>
          <w:tab w:leader="none" w:pos="566" w:val="left"/>
        </w:tabs>
        <w:numPr>
          <w:ilvl w:val="0"/>
          <w:numId w:val="2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Revenue Recognition</w:t>
      </w:r>
    </w:p>
    <w:p>
      <w:pPr>
        <w:spacing w:after="0" w:line="14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i w:val="1"/>
          <w:iCs w:val="1"/>
          <w:color w:val="auto"/>
        </w:rPr>
        <w:t>Disaggregation of revenues</w:t>
      </w:r>
    </w:p>
    <w:p>
      <w:pPr>
        <w:spacing w:after="0" w:line="145" w:lineRule="exact"/>
        <w:rPr>
          <w:sz w:val="20"/>
          <w:szCs w:val="20"/>
          <w:color w:val="auto"/>
        </w:rPr>
      </w:pPr>
    </w:p>
    <w:p>
      <w:pPr>
        <w:ind w:left="6" w:right="300"/>
        <w:spacing w:after="0" w:line="268" w:lineRule="auto"/>
        <w:rPr>
          <w:sz w:val="20"/>
          <w:szCs w:val="20"/>
          <w:color w:val="auto"/>
        </w:rPr>
      </w:pPr>
      <w:r>
        <w:rPr>
          <w:rFonts w:ascii="Times New Roman" w:cs="Times New Roman" w:eastAsia="Times New Roman" w:hAnsi="Times New Roman"/>
          <w:sz w:val="16"/>
          <w:szCs w:val="16"/>
          <w:color w:val="auto"/>
        </w:rPr>
        <w:t>The following table depicts the disaggregation of revenue according to customer type and is consistent with how we evaluate our financial performance. We believe this depicts how the nature, amount, timing and uncertainty of revenue and cash flows are affected by economic factors.</w:t>
      </w:r>
    </w:p>
    <w:p>
      <w:pPr>
        <w:spacing w:after="0" w:line="133" w:lineRule="exact"/>
        <w:rPr>
          <w:sz w:val="20"/>
          <w:szCs w:val="20"/>
          <w:color w:val="auto"/>
        </w:rPr>
      </w:pPr>
    </w:p>
    <w:tbl>
      <w:tblPr>
        <w:tblLayout w:type="fixed"/>
        <w:tblInd w:w="6" w:type="dxa"/>
        <w:tblCellMar>
          <w:top w:w="0" w:type="dxa"/>
          <w:left w:w="0" w:type="dxa"/>
          <w:bottom w:w="0" w:type="dxa"/>
          <w:right w:w="0" w:type="dxa"/>
        </w:tblCellMar>
      </w:tblPr>
      <w:tr>
        <w:trPr>
          <w:trHeight w:val="165"/>
        </w:trPr>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gridSpan w:val="5"/>
          </w:tcPr>
          <w:p>
            <w:pPr>
              <w:jc w:val="center"/>
              <w:spacing w:after="0"/>
              <w:rPr>
                <w:sz w:val="20"/>
                <w:szCs w:val="20"/>
                <w:color w:val="auto"/>
              </w:rPr>
            </w:pPr>
            <w:r>
              <w:rPr>
                <w:rFonts w:ascii="Times New Roman" w:cs="Times New Roman" w:eastAsia="Times New Roman" w:hAnsi="Times New Roman"/>
                <w:sz w:val="12"/>
                <w:szCs w:val="12"/>
                <w:b w:val="1"/>
                <w:bCs w:val="1"/>
                <w:color w:val="auto"/>
              </w:rPr>
              <w:t>Year Ended December 31, 2023</w:t>
            </w: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3"/>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0"/>
        </w:trPr>
        <w:tc>
          <w:tcPr>
            <w:tcW w:w="3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Subscriptions</w:t>
            </w:r>
          </w:p>
        </w:tc>
        <w:tc>
          <w:tcPr>
            <w:tcW w:w="260" w:type="dxa"/>
            <w:vAlign w:val="bottom"/>
          </w:tcPr>
          <w:p>
            <w:pPr>
              <w:spacing w:after="0"/>
              <w:rPr>
                <w:sz w:val="9"/>
                <w:szCs w:val="9"/>
                <w:color w:val="auto"/>
              </w:rPr>
            </w:pPr>
          </w:p>
        </w:tc>
        <w:tc>
          <w:tcPr>
            <w:tcW w:w="1140" w:type="dxa"/>
            <w:vAlign w:val="bottom"/>
            <w:vMerge w:val="restart"/>
          </w:tcPr>
          <w:p>
            <w:pPr>
              <w:jc w:val="right"/>
              <w:ind w:right="286"/>
              <w:spacing w:after="0"/>
              <w:rPr>
                <w:sz w:val="20"/>
                <w:szCs w:val="20"/>
                <w:color w:val="auto"/>
              </w:rPr>
            </w:pPr>
            <w:r>
              <w:rPr>
                <w:rFonts w:ascii="Times New Roman" w:cs="Times New Roman" w:eastAsia="Times New Roman" w:hAnsi="Times New Roman"/>
                <w:sz w:val="12"/>
                <w:szCs w:val="12"/>
                <w:b w:val="1"/>
                <w:bCs w:val="1"/>
                <w:color w:val="auto"/>
              </w:rPr>
              <w:t>Advertising</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60" w:type="dxa"/>
            <w:vAlign w:val="bottom"/>
            <w:gridSpan w:val="3"/>
          </w:tcPr>
          <w:p>
            <w:pPr>
              <w:jc w:val="center"/>
              <w:ind w:right="120"/>
              <w:spacing w:after="0" w:line="110" w:lineRule="exact"/>
              <w:rPr>
                <w:sz w:val="20"/>
                <w:szCs w:val="20"/>
                <w:color w:val="auto"/>
              </w:rPr>
            </w:pPr>
            <w:r>
              <w:rPr>
                <w:rFonts w:ascii="Times New Roman" w:cs="Times New Roman" w:eastAsia="Times New Roman" w:hAnsi="Times New Roman"/>
                <w:sz w:val="12"/>
                <w:szCs w:val="12"/>
                <w:b w:val="1"/>
                <w:bCs w:val="1"/>
                <w:color w:val="auto"/>
              </w:rPr>
              <w:t>Revenue Share (Related</w:t>
            </w:r>
          </w:p>
        </w:tc>
        <w:tc>
          <w:tcPr>
            <w:tcW w:w="100" w:type="dxa"/>
            <w:vAlign w:val="bottom"/>
          </w:tcPr>
          <w:p>
            <w:pPr>
              <w:spacing w:after="0"/>
              <w:rPr>
                <w:sz w:val="9"/>
                <w:szCs w:val="9"/>
                <w:color w:val="auto"/>
              </w:rPr>
            </w:pPr>
          </w:p>
        </w:tc>
        <w:tc>
          <w:tcPr>
            <w:tcW w:w="1440" w:type="dxa"/>
            <w:vAlign w:val="bottom"/>
            <w:gridSpan w:val="2"/>
          </w:tcPr>
          <w:p>
            <w:pPr>
              <w:jc w:val="center"/>
              <w:ind w:right="220"/>
              <w:spacing w:after="0" w:line="110" w:lineRule="exact"/>
              <w:rPr>
                <w:sz w:val="20"/>
                <w:szCs w:val="20"/>
                <w:color w:val="auto"/>
              </w:rPr>
            </w:pPr>
            <w:r>
              <w:rPr>
                <w:rFonts w:ascii="Times New Roman" w:cs="Times New Roman" w:eastAsia="Times New Roman" w:hAnsi="Times New Roman"/>
                <w:sz w:val="12"/>
                <w:szCs w:val="12"/>
                <w:b w:val="1"/>
                <w:bCs w:val="1"/>
                <w:color w:val="auto"/>
              </w:rPr>
              <w:t>Revenue Share (Third-</w:t>
            </w:r>
          </w:p>
        </w:tc>
        <w:tc>
          <w:tcPr>
            <w:tcW w:w="340" w:type="dxa"/>
            <w:vAlign w:val="bottom"/>
          </w:tcPr>
          <w:p>
            <w:pPr>
              <w:spacing w:after="0"/>
              <w:rPr>
                <w:sz w:val="9"/>
                <w:szCs w:val="9"/>
                <w:color w:val="auto"/>
              </w:rPr>
            </w:pPr>
          </w:p>
        </w:tc>
        <w:tc>
          <w:tcPr>
            <w:tcW w:w="1100" w:type="dxa"/>
            <w:vAlign w:val="bottom"/>
            <w:vMerge w:val="restart"/>
          </w:tcPr>
          <w:p>
            <w:pPr>
              <w:jc w:val="right"/>
              <w:ind w:right="506"/>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9"/>
        </w:trPr>
        <w:tc>
          <w:tcPr>
            <w:tcW w:w="36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Party)</w:t>
            </w: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party)</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Timing of transfer:</w:t>
            </w: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Transferred over time</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442,333</w:t>
            </w:r>
          </w:p>
        </w:tc>
        <w:tc>
          <w:tcPr>
            <w:tcW w:w="10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gridSpan w:val="3"/>
          </w:tcPr>
          <w:p>
            <w:pPr>
              <w:jc w:val="right"/>
              <w:ind w:right="17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442,333</w:t>
            </w:r>
          </w:p>
        </w:tc>
        <w:tc>
          <w:tcPr>
            <w:tcW w:w="0" w:type="dxa"/>
            <w:vAlign w:val="bottom"/>
          </w:tcPr>
          <w:p>
            <w:pPr>
              <w:spacing w:after="0"/>
              <w:rPr>
                <w:sz w:val="1"/>
                <w:szCs w:val="1"/>
                <w:color w:val="auto"/>
              </w:rPr>
            </w:pPr>
          </w:p>
        </w:tc>
      </w:tr>
      <w:tr>
        <w:trPr>
          <w:trHeight w:val="199"/>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Transferred at a point in time</w:t>
            </w:r>
          </w:p>
        </w:tc>
        <w:tc>
          <w:tcPr>
            <w:tcW w:w="2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5,849</w:t>
            </w:r>
          </w:p>
        </w:tc>
        <w:tc>
          <w:tcPr>
            <w:tcW w:w="0" w:type="dxa"/>
            <w:vAlign w:val="bottom"/>
          </w:tcPr>
          <w:p>
            <w:pPr>
              <w:spacing w:after="0"/>
              <w:rPr>
                <w:sz w:val="1"/>
                <w:szCs w:val="1"/>
                <w:color w:val="auto"/>
              </w:rPr>
            </w:pPr>
          </w:p>
        </w:tc>
      </w:tr>
      <w:tr>
        <w:trPr>
          <w:trHeight w:val="190"/>
        </w:trPr>
        <w:tc>
          <w:tcPr>
            <w:tcW w:w="36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442,333</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732</w:t>
            </w: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4,937</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448,182</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176135" cy="400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6"/>
          </w:cols>
          <w:pgMar w:left="314" w:top="121" w:right="319" w:bottom="1440" w:gutter="0" w:footer="0" w:header="0"/>
        </w:sectPr>
      </w:pPr>
    </w:p>
    <w:bookmarkStart w:id="92" w:name="page93"/>
    <w:bookmarkEnd w:id="92"/>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MARKETWISE,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i w:val="1"/>
          <w:iCs w:val="1"/>
          <w:color w:val="auto"/>
        </w:rPr>
        <w:t>(Dollar amounts in thousands, except share, unit, per share, and per unit data)</w:t>
      </w:r>
    </w:p>
    <w:p>
      <w:pPr>
        <w:sectPr>
          <w:pgSz w:w="11900" w:h="16838" w:orient="portrait"/>
          <w:cols w:equalWidth="0" w:num="1">
            <w:col w:w="11260"/>
          </w:cols>
          <w:pgMar w:left="320" w:top="12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Timing of transfer:</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Transferred over time</w:t>
      </w:r>
    </w:p>
    <w:p>
      <w:pPr>
        <w:spacing w:after="0" w:line="1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Transferred at a point in time</w:t>
      </w:r>
    </w:p>
    <w:p>
      <w:pPr>
        <w:spacing w:after="0" w:line="6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2"/>
          <w:szCs w:val="12"/>
          <w:b w:val="1"/>
          <w:bCs w:val="1"/>
          <w:color w:val="auto"/>
        </w:rPr>
        <w:t>Year Ended December 31, 2022</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Subscriptions</w:t>
            </w: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Advertising</w:t>
            </w: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gridSpan w:val="3"/>
          </w:tcPr>
          <w:p>
            <w:pPr>
              <w:jc w:val="center"/>
              <w:ind w:right="120"/>
              <w:spacing w:after="0" w:line="130" w:lineRule="exact"/>
              <w:rPr>
                <w:sz w:val="20"/>
                <w:szCs w:val="20"/>
                <w:color w:val="auto"/>
              </w:rPr>
            </w:pPr>
            <w:r>
              <w:rPr>
                <w:rFonts w:ascii="Times New Roman" w:cs="Times New Roman" w:eastAsia="Times New Roman" w:hAnsi="Times New Roman"/>
                <w:sz w:val="12"/>
                <w:szCs w:val="12"/>
                <w:b w:val="1"/>
                <w:bCs w:val="1"/>
                <w:color w:val="auto"/>
              </w:rPr>
              <w:t>Revenue Share (Related</w:t>
            </w:r>
          </w:p>
        </w:tc>
        <w:tc>
          <w:tcPr>
            <w:tcW w:w="10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2"/>
          </w:tcPr>
          <w:p>
            <w:pPr>
              <w:jc w:val="center"/>
              <w:ind w:right="220"/>
              <w:spacing w:after="0" w:line="130" w:lineRule="exact"/>
              <w:rPr>
                <w:sz w:val="20"/>
                <w:szCs w:val="20"/>
                <w:color w:val="auto"/>
              </w:rPr>
            </w:pPr>
            <w:r>
              <w:rPr>
                <w:rFonts w:ascii="Times New Roman" w:cs="Times New Roman" w:eastAsia="Times New Roman" w:hAnsi="Times New Roman"/>
                <w:sz w:val="12"/>
                <w:szCs w:val="12"/>
                <w:b w:val="1"/>
                <w:bCs w:val="1"/>
                <w:color w:val="auto"/>
              </w:rPr>
              <w:t>Revenue Share (Third-</w:t>
            </w:r>
          </w:p>
        </w:tc>
        <w:tc>
          <w:tcPr>
            <w:tcW w:w="3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vMerge w:val="restart"/>
          </w:tcPr>
          <w:p>
            <w:pPr>
              <w:jc w:val="right"/>
              <w:ind w:right="506"/>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9"/>
        </w:trPr>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vMerge w:val="continue"/>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rPr>
              <w:t>Party)</w:t>
            </w: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party)</w:t>
            </w: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7"/>
        </w:trPr>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508,894</w:t>
            </w:r>
          </w:p>
        </w:tc>
        <w:tc>
          <w:tcPr>
            <w:tcW w:w="100" w:type="dxa"/>
            <w:vAlign w:val="bottom"/>
          </w:tcPr>
          <w:p>
            <w:pPr>
              <w:spacing w:after="0"/>
              <w:rPr>
                <w:sz w:val="24"/>
                <w:szCs w:val="24"/>
                <w:color w:val="auto"/>
              </w:rPr>
            </w:pPr>
          </w:p>
        </w:tc>
        <w:tc>
          <w:tcPr>
            <w:tcW w:w="1100" w:type="dxa"/>
            <w:vAlign w:val="bottom"/>
          </w:tcPr>
          <w:p>
            <w:pPr>
              <w:jc w:val="right"/>
              <w:ind w:right="927"/>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67"/>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508,894</w:t>
            </w:r>
          </w:p>
        </w:tc>
        <w:tc>
          <w:tcPr>
            <w:tcW w:w="0" w:type="dxa"/>
            <w:vAlign w:val="bottom"/>
          </w:tcPr>
          <w:p>
            <w:pPr>
              <w:spacing w:after="0"/>
              <w:rPr>
                <w:sz w:val="1"/>
                <w:szCs w:val="1"/>
                <w:color w:val="auto"/>
              </w:rPr>
            </w:pPr>
          </w:p>
        </w:tc>
      </w:tr>
      <w:tr>
        <w:trPr>
          <w:trHeight w:val="203"/>
        </w:trPr>
        <w:tc>
          <w:tcPr>
            <w:tcW w:w="22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ind w:right="8"/>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3,509</w:t>
            </w:r>
          </w:p>
        </w:tc>
        <w:tc>
          <w:tcPr>
            <w:tcW w:w="0" w:type="dxa"/>
            <w:vAlign w:val="bottom"/>
          </w:tcPr>
          <w:p>
            <w:pPr>
              <w:spacing w:after="0"/>
              <w:rPr>
                <w:sz w:val="1"/>
                <w:szCs w:val="1"/>
                <w:color w:val="auto"/>
              </w:rPr>
            </w:pPr>
          </w:p>
        </w:tc>
      </w:tr>
      <w:tr>
        <w:trPr>
          <w:trHeight w:val="191"/>
        </w:trPr>
        <w:tc>
          <w:tcPr>
            <w:tcW w:w="22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508,894</w:t>
            </w:r>
          </w:p>
        </w:tc>
        <w:tc>
          <w:tcPr>
            <w:tcW w:w="100" w:type="dxa"/>
            <w:vAlign w:val="bottom"/>
          </w:tcPr>
          <w:p>
            <w:pPr>
              <w:spacing w:after="0"/>
              <w:rPr>
                <w:sz w:val="16"/>
                <w:szCs w:val="16"/>
                <w:color w:val="auto"/>
              </w:rPr>
            </w:pPr>
          </w:p>
        </w:tc>
        <w:tc>
          <w:tcPr>
            <w:tcW w:w="1100" w:type="dxa"/>
            <w:vAlign w:val="bottom"/>
            <w:tcBorders>
              <w:top w:val="single" w:sz="8" w:color="auto"/>
              <w:bottom w:val="single" w:sz="8" w:color="auto"/>
            </w:tcBorders>
          </w:tcPr>
          <w:p>
            <w:pPr>
              <w:jc w:val="right"/>
              <w:ind w:right="927"/>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67"/>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2,363</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6"/>
                <w:szCs w:val="16"/>
                <w:color w:val="auto"/>
              </w:rPr>
              <w:t>402</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82"/>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512,403</w:t>
            </w: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-2314575</wp:posOffset>
            </wp:positionH>
            <wp:positionV relativeFrom="paragraph">
              <wp:posOffset>-541655</wp:posOffset>
            </wp:positionV>
            <wp:extent cx="7150735" cy="1263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0735" cy="126365"/>
                    </a:xfrm>
                    <a:prstGeom prst="rect">
                      <a:avLst/>
                    </a:prstGeom>
                    <a:noFill/>
                  </pic:spPr>
                </pic:pic>
              </a:graphicData>
            </a:graphic>
          </wp:anchor>
        </w:drawing>
        <w:drawing>
          <wp:anchor simplePos="0" relativeHeight="251657728" behindDoc="1" locked="0" layoutInCell="0" allowOverlap="1">
            <wp:simplePos x="0" y="0"/>
            <wp:positionH relativeFrom="column">
              <wp:posOffset>-2314575</wp:posOffset>
            </wp:positionH>
            <wp:positionV relativeFrom="paragraph">
              <wp:posOffset>-288925</wp:posOffset>
            </wp:positionV>
            <wp:extent cx="7150735" cy="1263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0735" cy="126365"/>
                    </a:xfrm>
                    <a:prstGeom prst="rect">
                      <a:avLst/>
                    </a:prstGeom>
                    <a:noFill/>
                  </pic:spPr>
                </pic:pic>
              </a:graphicData>
            </a:graphic>
          </wp:anchor>
        </w:drawing>
      </w:r>
    </w:p>
    <w:p>
      <w:pPr>
        <w:spacing w:after="0" w:line="21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2"/>
          <w:szCs w:val="12"/>
          <w:b w:val="1"/>
          <w:bCs w:val="1"/>
          <w:color w:val="auto"/>
        </w:rPr>
        <w:t>Year Ended December 31, 2021</w:t>
      </w:r>
    </w:p>
    <w:p>
      <w:pPr>
        <w:spacing w:after="0" w:line="28" w:lineRule="exact"/>
        <w:rPr>
          <w:sz w:val="20"/>
          <w:szCs w:val="20"/>
          <w:color w:val="auto"/>
        </w:rPr>
      </w:pPr>
    </w:p>
    <w:p>
      <w:pPr>
        <w:sectPr>
          <w:pgSz w:w="11900" w:h="16838" w:orient="portrait"/>
          <w:cols w:equalWidth="0" w:num="2">
            <w:col w:w="2920" w:space="720"/>
            <w:col w:w="7620"/>
          </w:cols>
          <w:pgMar w:left="320" w:top="121" w:right="319" w:bottom="1440" w:gutter="0" w:footer="0" w:header="0"/>
          <w:type w:val="continuous"/>
        </w:sectPr>
      </w:pPr>
    </w:p>
    <w:tbl>
      <w:tblPr>
        <w:tblLayout w:type="fixed"/>
        <w:tblInd w:w="0" w:type="dxa"/>
        <w:tblCellMar>
          <w:top w:w="0" w:type="dxa"/>
          <w:left w:w="0" w:type="dxa"/>
          <w:bottom w:w="0" w:type="dxa"/>
          <w:right w:w="0" w:type="dxa"/>
        </w:tblCellMar>
      </w:tblPr>
      <w:tr>
        <w:trPr>
          <w:trHeight w:val="129"/>
        </w:trPr>
        <w:tc>
          <w:tcPr>
            <w:tcW w:w="36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3"/>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Subscriptions</w:t>
            </w:r>
          </w:p>
        </w:tc>
        <w:tc>
          <w:tcPr>
            <w:tcW w:w="38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vMerge w:val="restart"/>
          </w:tcPr>
          <w:p>
            <w:pPr>
              <w:jc w:val="right"/>
              <w:ind w:right="400"/>
              <w:spacing w:after="0"/>
              <w:rPr>
                <w:sz w:val="20"/>
                <w:szCs w:val="20"/>
                <w:color w:val="auto"/>
              </w:rPr>
            </w:pPr>
            <w:r>
              <w:rPr>
                <w:rFonts w:ascii="Times New Roman" w:cs="Times New Roman" w:eastAsia="Times New Roman" w:hAnsi="Times New Roman"/>
                <w:sz w:val="12"/>
                <w:szCs w:val="12"/>
                <w:b w:val="1"/>
                <w:bCs w:val="1"/>
                <w:color w:val="auto"/>
              </w:rPr>
              <w:t>Advertising</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gridSpan w:val="3"/>
          </w:tcPr>
          <w:p>
            <w:pPr>
              <w:jc w:val="center"/>
              <w:ind w:right="120"/>
              <w:spacing w:after="0" w:line="129" w:lineRule="exact"/>
              <w:rPr>
                <w:sz w:val="20"/>
                <w:szCs w:val="20"/>
                <w:color w:val="auto"/>
              </w:rPr>
            </w:pPr>
            <w:r>
              <w:rPr>
                <w:rFonts w:ascii="Times New Roman" w:cs="Times New Roman" w:eastAsia="Times New Roman" w:hAnsi="Times New Roman"/>
                <w:sz w:val="12"/>
                <w:szCs w:val="12"/>
                <w:b w:val="1"/>
                <w:bCs w:val="1"/>
                <w:color w:val="auto"/>
              </w:rPr>
              <w:t>Revenue Share (Related</w:t>
            </w:r>
          </w:p>
        </w:tc>
        <w:tc>
          <w:tcPr>
            <w:tcW w:w="1540" w:type="dxa"/>
            <w:vAlign w:val="bottom"/>
            <w:tcBorders>
              <w:top w:val="single" w:sz="8" w:color="auto"/>
            </w:tcBorders>
            <w:gridSpan w:val="5"/>
          </w:tcPr>
          <w:p>
            <w:pPr>
              <w:jc w:val="center"/>
              <w:ind w:right="120"/>
              <w:spacing w:after="0" w:line="129" w:lineRule="exact"/>
              <w:rPr>
                <w:sz w:val="20"/>
                <w:szCs w:val="20"/>
                <w:color w:val="auto"/>
              </w:rPr>
            </w:pPr>
            <w:r>
              <w:rPr>
                <w:rFonts w:ascii="Times New Roman" w:cs="Times New Roman" w:eastAsia="Times New Roman" w:hAnsi="Times New Roman"/>
                <w:sz w:val="12"/>
                <w:szCs w:val="12"/>
                <w:b w:val="1"/>
                <w:bCs w:val="1"/>
                <w:color w:val="auto"/>
              </w:rPr>
              <w:t>Revenue Share (Third-</w:t>
            </w:r>
          </w:p>
        </w:tc>
        <w:tc>
          <w:tcPr>
            <w:tcW w:w="12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vMerge w:val="restart"/>
          </w:tcPr>
          <w:p>
            <w:pPr>
              <w:ind w:left="46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70"/>
        </w:trPr>
        <w:tc>
          <w:tcPr>
            <w:tcW w:w="36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Party)</w:t>
            </w:r>
          </w:p>
        </w:tc>
        <w:tc>
          <w:tcPr>
            <w:tcW w:w="5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center"/>
              <w:ind w:right="660"/>
              <w:spacing w:after="0"/>
              <w:rPr>
                <w:sz w:val="20"/>
                <w:szCs w:val="20"/>
                <w:color w:val="auto"/>
              </w:rPr>
            </w:pPr>
            <w:r>
              <w:rPr>
                <w:rFonts w:ascii="Times New Roman" w:cs="Times New Roman" w:eastAsia="Times New Roman" w:hAnsi="Times New Roman"/>
                <w:sz w:val="12"/>
                <w:szCs w:val="12"/>
                <w:b w:val="1"/>
                <w:bCs w:val="1"/>
                <w:color w:val="auto"/>
              </w:rPr>
              <w:t>party)</w:t>
            </w: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Timing of transfer:</w:t>
            </w: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Transferred over time</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543,881</w:t>
            </w:r>
          </w:p>
        </w:tc>
        <w:tc>
          <w:tcPr>
            <w:tcW w:w="100" w:type="dxa"/>
            <w:vAlign w:val="bottom"/>
          </w:tcPr>
          <w:p>
            <w:pPr>
              <w:spacing w:after="0"/>
              <w:rPr>
                <w:sz w:val="17"/>
                <w:szCs w:val="17"/>
                <w:color w:val="auto"/>
              </w:rPr>
            </w:pPr>
          </w:p>
        </w:tc>
        <w:tc>
          <w:tcPr>
            <w:tcW w:w="380" w:type="dxa"/>
            <w:vAlign w:val="bottom"/>
          </w:tcPr>
          <w:p>
            <w:pPr>
              <w:jc w:val="right"/>
              <w:ind w:right="207"/>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3"/>
          </w:tcPr>
          <w:p>
            <w:pPr>
              <w:jc w:val="right"/>
              <w:ind w:right="5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ind w:right="384"/>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543,881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Transferred at a point in time</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2,479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1,284</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1,539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6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543,881</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07"/>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2,479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1,284</w:t>
            </w:r>
          </w:p>
        </w:tc>
        <w:tc>
          <w:tcPr>
            <w:tcW w:w="120" w:type="dxa"/>
            <w:vAlign w:val="bottom"/>
          </w:tcPr>
          <w:p>
            <w:pPr>
              <w:spacing w:after="0"/>
              <w:rPr>
                <w:sz w:val="16"/>
                <w:szCs w:val="16"/>
                <w:color w:val="auto"/>
              </w:rPr>
            </w:pPr>
          </w:p>
        </w:tc>
        <w:tc>
          <w:tcPr>
            <w:tcW w:w="540" w:type="dxa"/>
            <w:vAlign w:val="bottom"/>
            <w:tcBorders>
              <w:top w:val="single" w:sz="8" w:color="auto"/>
              <w:bottom w:val="single" w:sz="8" w:color="auto"/>
            </w:tcBorders>
          </w:tcPr>
          <w:p>
            <w:pPr>
              <w:jc w:val="right"/>
              <w:ind w:right="384"/>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gridSpan w:val="3"/>
          </w:tcPr>
          <w:p>
            <w:pPr>
              <w:jc w:val="right"/>
              <w:ind w:right="2"/>
              <w:spacing w:after="0"/>
              <w:rPr>
                <w:sz w:val="20"/>
                <w:szCs w:val="20"/>
                <w:color w:val="auto"/>
              </w:rPr>
            </w:pPr>
            <w:r>
              <w:rPr>
                <w:rFonts w:ascii="Times New Roman" w:cs="Times New Roman" w:eastAsia="Times New Roman" w:hAnsi="Times New Roman"/>
                <w:sz w:val="16"/>
                <w:szCs w:val="16"/>
                <w:color w:val="auto"/>
              </w:rPr>
              <w:t>1,539</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549,183</w:t>
            </w:r>
          </w:p>
        </w:tc>
        <w:tc>
          <w:tcPr>
            <w:tcW w:w="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w w:val="98"/>
              </w:rPr>
              <w:t>Revenue recognition by subscription type was as follows:</w:t>
            </w: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36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3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gridSpan w:val="3"/>
          </w:tcPr>
          <w:p>
            <w:pPr>
              <w:jc w:val="right"/>
              <w:ind w:right="284"/>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36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9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946"/>
              <w:spacing w:after="0"/>
              <w:rPr>
                <w:sz w:val="20"/>
                <w:szCs w:val="20"/>
                <w:color w:val="auto"/>
              </w:rPr>
            </w:pPr>
            <w:r>
              <w:rPr>
                <w:rFonts w:ascii="Times New Roman" w:cs="Times New Roman" w:eastAsia="Times New Roman" w:hAnsi="Times New Roman"/>
                <w:sz w:val="12"/>
                <w:szCs w:val="12"/>
                <w:b w:val="1"/>
                <w:bCs w:val="1"/>
                <w:color w:val="auto"/>
              </w:rPr>
              <w:t>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Membership subscriptions</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602"/>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185,354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195,370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82"/>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192,273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Term subscriptions</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256,979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313,524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351,608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Non-subscription revenue</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5,849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3,509</w:t>
            </w: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5,302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Borders>
              <w:bottom w:val="single" w:sz="8" w:color="auto"/>
            </w:tcBorders>
          </w:tcPr>
          <w:p>
            <w:pPr>
              <w:jc w:val="right"/>
              <w:ind w:right="602"/>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448,182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512,403</w:t>
            </w: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rPr>
              <w:t>549,183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6"/>
          <w:szCs w:val="16"/>
          <w:color w:val="auto"/>
        </w:rPr>
        <w:t>Revenue for the Membership and Term subscription types are determined based on the terms of the subscription agreements. Non-subscription revenue consists of revenue from advertising and other revenue.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revenue by principal geographic areas was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5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0"/>
        </w:trPr>
        <w:tc>
          <w:tcPr>
            <w:tcW w:w="43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62"/>
        </w:trPr>
        <w:tc>
          <w:tcPr>
            <w:tcW w:w="430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2"/>
                <w:szCs w:val="12"/>
                <w:b w:val="1"/>
                <w:bCs w:val="1"/>
                <w:color w:val="auto"/>
              </w:rPr>
              <w:t>2023</w:t>
            </w: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ind w:right="908"/>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906"/>
              <w:spacing w:after="0"/>
              <w:rPr>
                <w:sz w:val="20"/>
                <w:szCs w:val="20"/>
                <w:color w:val="auto"/>
              </w:rPr>
            </w:pPr>
            <w:r>
              <w:rPr>
                <w:rFonts w:ascii="Times New Roman" w:cs="Times New Roman" w:eastAsia="Times New Roman" w:hAnsi="Times New Roman"/>
                <w:sz w:val="12"/>
                <w:szCs w:val="12"/>
                <w:b w:val="1"/>
                <w:bCs w:val="1"/>
                <w:color w:val="auto"/>
              </w:rPr>
              <w:t>2021</w:t>
            </w:r>
          </w:p>
        </w:tc>
      </w:tr>
      <w:tr>
        <w:trPr>
          <w:trHeight w:val="19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1440" w:type="dxa"/>
            <w:vAlign w:val="bottom"/>
            <w:shd w:val="clear" w:color="auto" w:fill="CCEEFF"/>
          </w:tcPr>
          <w:p>
            <w:pPr>
              <w:jc w:val="right"/>
              <w:ind w:right="1267"/>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448,091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512,083</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82"/>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547,026</w:t>
            </w:r>
          </w:p>
        </w:tc>
      </w:tr>
      <w:tr>
        <w:trPr>
          <w:trHeight w:val="199"/>
        </w:trPr>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International</w:t>
            </w:r>
          </w:p>
        </w:tc>
        <w:tc>
          <w:tcPr>
            <w:tcW w:w="1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2,157</w:t>
            </w:r>
          </w:p>
        </w:tc>
      </w:tr>
      <w:tr>
        <w:trPr>
          <w:trHeight w:val="215"/>
        </w:trPr>
        <w:tc>
          <w:tcPr>
            <w:tcW w:w="4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1440" w:type="dxa"/>
            <w:vAlign w:val="bottom"/>
            <w:tcBorders>
              <w:bottom w:val="single" w:sz="8" w:color="auto"/>
            </w:tcBorders>
            <w:shd w:val="clear" w:color="auto" w:fill="CCEEFF"/>
          </w:tcPr>
          <w:p>
            <w:pPr>
              <w:jc w:val="right"/>
              <w:ind w:right="1267"/>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448,182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512,403</w:t>
            </w: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382"/>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549,183</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Revenue by location is determined by the billing entity for the customer.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Contract Balances</w:t>
      </w:r>
    </w:p>
    <w:p>
      <w:pPr>
        <w:spacing w:after="0" w:line="145"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6"/>
          <w:szCs w:val="16"/>
          <w:color w:val="auto"/>
        </w:rPr>
        <w:t>The timing of revenue recognition, Billings, cash collections and refunds affects the recognition of accounts receivable, contract assets and deferred revenue. Our current deferred revenue balance in the consolidated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93" w:name="page94"/>
    <w:bookmarkEnd w:id="93"/>
    <w:p>
      <w:pPr>
        <w:jc w:val="center"/>
        <w:spacing w:after="0"/>
        <w:rPr>
          <w:sz w:val="20"/>
          <w:szCs w:val="20"/>
          <w:color w:val="auto"/>
        </w:rPr>
      </w:pPr>
      <w:r>
        <w:rPr>
          <w:rFonts w:ascii="Times New Roman" w:cs="Times New Roman" w:eastAsia="Times New Roman" w:hAnsi="Times New Roman"/>
          <w:sz w:val="16"/>
          <w:szCs w:val="16"/>
          <w:b w:val="1"/>
          <w:bCs w:val="1"/>
          <w:color w:val="auto"/>
        </w:rPr>
        <w:t>MARKETWISE,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(Dollar amounts in thousands, except share, unit, per share, and per unit data)</w:t>
      </w:r>
    </w:p>
    <w:p>
      <w:pPr>
        <w:spacing w:after="0" w:line="200" w:lineRule="exact"/>
        <w:rPr>
          <w:sz w:val="20"/>
          <w:szCs w:val="20"/>
          <w:color w:val="auto"/>
        </w:rPr>
      </w:pPr>
    </w:p>
    <w:p>
      <w:pPr>
        <w:spacing w:after="0" w:line="349"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6"/>
          <w:szCs w:val="16"/>
          <w:color w:val="auto"/>
        </w:rPr>
        <w:t>sheets includes an obligation for refunds for contracts where the provision for refund has not lapsed. Accounts receivable, deferred revenue and obligation for refunds are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0" w:type="dxa"/>
            <w:vAlign w:val="bottom"/>
            <w:gridSpan w:val="3"/>
          </w:tcPr>
          <w:p>
            <w:pPr>
              <w:jc w:val="right"/>
              <w:ind w:right="182"/>
              <w:spacing w:after="0"/>
              <w:rPr>
                <w:sz w:val="20"/>
                <w:szCs w:val="20"/>
                <w:color w:val="auto"/>
              </w:rPr>
            </w:pPr>
            <w:r>
              <w:rPr>
                <w:rFonts w:ascii="Times New Roman" w:cs="Times New Roman" w:eastAsia="Times New Roman" w:hAnsi="Times New Roman"/>
                <w:sz w:val="12"/>
                <w:szCs w:val="12"/>
                <w:b w:val="1"/>
                <w:bCs w:val="1"/>
                <w:color w:val="auto"/>
              </w:rPr>
              <w:t>As of December 31,</w:t>
            </w:r>
          </w:p>
        </w:tc>
        <w:tc>
          <w:tcPr>
            <w:tcW w:w="1520" w:type="dxa"/>
            <w:vAlign w:val="bottom"/>
          </w:tcPr>
          <w:p>
            <w:pPr>
              <w:spacing w:after="0"/>
              <w:rPr>
                <w:sz w:val="14"/>
                <w:szCs w:val="14"/>
                <w:color w:val="auto"/>
              </w:rPr>
            </w:pPr>
          </w:p>
        </w:tc>
      </w:tr>
      <w:tr>
        <w:trPr>
          <w:trHeight w:val="20"/>
        </w:trPr>
        <w:tc>
          <w:tcPr>
            <w:tcW w:w="66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62"/>
        </w:trPr>
        <w:tc>
          <w:tcPr>
            <w:tcW w:w="662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2"/>
                <w:szCs w:val="12"/>
                <w:b w:val="1"/>
                <w:bCs w:val="1"/>
                <w:color w:val="auto"/>
              </w:rPr>
              <w:t>2023</w:t>
            </w: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925"/>
              <w:spacing w:after="0"/>
              <w:rPr>
                <w:sz w:val="20"/>
                <w:szCs w:val="20"/>
                <w:color w:val="auto"/>
              </w:rPr>
            </w:pPr>
            <w:r>
              <w:rPr>
                <w:rFonts w:ascii="Times New Roman" w:cs="Times New Roman" w:eastAsia="Times New Roman" w:hAnsi="Times New Roman"/>
                <w:sz w:val="12"/>
                <w:szCs w:val="12"/>
                <w:b w:val="1"/>
                <w:bCs w:val="1"/>
                <w:color w:val="auto"/>
              </w:rPr>
              <w:t>2022</w:t>
            </w:r>
          </w:p>
        </w:tc>
      </w:tr>
      <w:tr>
        <w:trPr>
          <w:trHeight w:val="184"/>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Contract balances</w:t>
            </w:r>
          </w:p>
        </w:tc>
        <w:tc>
          <w:tcPr>
            <w:tcW w:w="1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199"/>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w:t>
            </w:r>
          </w:p>
        </w:tc>
        <w:tc>
          <w:tcPr>
            <w:tcW w:w="1440" w:type="dxa"/>
            <w:vAlign w:val="bottom"/>
          </w:tcPr>
          <w:p>
            <w:pPr>
              <w:jc w:val="right"/>
              <w:ind w:right="129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4,528</w:t>
            </w:r>
          </w:p>
        </w:tc>
        <w:tc>
          <w:tcPr>
            <w:tcW w:w="100" w:type="dxa"/>
            <w:vAlign w:val="bottom"/>
          </w:tcPr>
          <w:p>
            <w:pPr>
              <w:spacing w:after="0"/>
              <w:rPr>
                <w:sz w:val="17"/>
                <w:szCs w:val="17"/>
                <w:color w:val="auto"/>
              </w:rPr>
            </w:pPr>
          </w:p>
        </w:tc>
        <w:tc>
          <w:tcPr>
            <w:tcW w:w="720" w:type="dxa"/>
            <w:vAlign w:val="bottom"/>
          </w:tcPr>
          <w:p>
            <w:pPr>
              <w:jc w:val="right"/>
              <w:ind w:right="542"/>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4,040</w:t>
            </w:r>
          </w:p>
        </w:tc>
      </w:tr>
      <w:tr>
        <w:trPr>
          <w:trHeight w:val="19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Obligations for refunds</w:t>
            </w:r>
          </w:p>
        </w:tc>
        <w:tc>
          <w:tcPr>
            <w:tcW w:w="14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3,157</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4,676</w:t>
            </w:r>
          </w:p>
        </w:tc>
      </w:tr>
      <w:tr>
        <w:trPr>
          <w:trHeight w:val="199"/>
        </w:trPr>
        <w:tc>
          <w:tcPr>
            <w:tcW w:w="662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 – current</w:t>
            </w:r>
          </w:p>
        </w:tc>
        <w:tc>
          <w:tcPr>
            <w:tcW w:w="14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284,594</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310,555</w:t>
            </w:r>
          </w:p>
        </w:tc>
      </w:tr>
      <w:tr>
        <w:trPr>
          <w:trHeight w:val="19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 – non-current</w:t>
            </w:r>
          </w:p>
        </w:tc>
        <w:tc>
          <w:tcPr>
            <w:tcW w:w="14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304,342</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348,273</w:t>
            </w:r>
          </w:p>
        </w:tc>
      </w:tr>
    </w:tbl>
    <w:p>
      <w:pPr>
        <w:spacing w:after="0" w:line="20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16"/>
          <w:szCs w:val="16"/>
          <w:color w:val="auto"/>
        </w:rPr>
        <w:t>We recognized $315,066 and $335,608 of revenue during the years ended December 31, 2023 and 2022, respectively, that was included within the beginning contract liability balance of the respective periods. The Company has collected all amounts included in deferred revenue other than $4,528 and $4,040 as of December 31, 2023 and 2022, respectively, related to the timing of cash settlement with credit card processors.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96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Assets Recognized from Costs to Obtain a Contract with a Customer</w:t>
            </w: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27"/>
        </w:trPr>
        <w:tc>
          <w:tcPr>
            <w:tcW w:w="968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presents the opening and closing balances of our capitalized costs associated with contracts with customers:</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4"/>
        </w:trPr>
        <w:tc>
          <w:tcPr>
            <w:tcW w:w="9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34"/>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January 1, 2021</w:t>
            </w:r>
          </w:p>
        </w:tc>
        <w:tc>
          <w:tcPr>
            <w:tcW w:w="52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107,236</w:t>
            </w:r>
          </w:p>
        </w:tc>
      </w:tr>
      <w:tr>
        <w:trPr>
          <w:trHeight w:val="199"/>
        </w:trPr>
        <w:tc>
          <w:tcPr>
            <w:tcW w:w="9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Royalties and sales commissions – additions</w:t>
            </w: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68,938</w:t>
            </w:r>
          </w:p>
        </w:tc>
      </w:tr>
      <w:tr>
        <w:trPr>
          <w:trHeight w:val="199"/>
        </w:trPr>
        <w:tc>
          <w:tcPr>
            <w:tcW w:w="9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Revenue share and cost per acquisition fees – additions</w:t>
            </w: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98,747</w:t>
            </w:r>
          </w:p>
        </w:tc>
      </w:tr>
      <w:tr>
        <w:trPr>
          <w:trHeight w:val="199"/>
        </w:trPr>
        <w:tc>
          <w:tcPr>
            <w:tcW w:w="96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Amortization of capitalized costs</w:t>
            </w: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(71,850)</w:t>
            </w:r>
          </w:p>
        </w:tc>
      </w:tr>
      <w:tr>
        <w:trPr>
          <w:trHeight w:val="214"/>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52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203,071</w:t>
            </w:r>
          </w:p>
        </w:tc>
      </w:tr>
      <w:tr>
        <w:trPr>
          <w:trHeight w:val="199"/>
        </w:trPr>
        <w:tc>
          <w:tcPr>
            <w:tcW w:w="9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Royalties and sales commissions – additions</w:t>
            </w: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35,223</w:t>
            </w:r>
          </w:p>
        </w:tc>
      </w:tr>
      <w:tr>
        <w:trPr>
          <w:trHeight w:val="199"/>
        </w:trPr>
        <w:tc>
          <w:tcPr>
            <w:tcW w:w="9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Revenue share and cost per acquisition fees – additions</w:t>
            </w: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57,173</w:t>
            </w:r>
          </w:p>
        </w:tc>
      </w:tr>
      <w:tr>
        <w:trPr>
          <w:trHeight w:val="199"/>
        </w:trPr>
        <w:tc>
          <w:tcPr>
            <w:tcW w:w="96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Amortization of capitalized costs</w:t>
            </w:r>
          </w:p>
        </w:tc>
        <w:tc>
          <w:tcPr>
            <w:tcW w:w="5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(97,849)</w:t>
            </w:r>
          </w:p>
        </w:tc>
      </w:tr>
      <w:tr>
        <w:trPr>
          <w:trHeight w:val="214"/>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520" w:type="dxa"/>
            <w:vAlign w:val="bottom"/>
            <w:shd w:val="clear" w:color="auto" w:fill="CCEEFF"/>
          </w:tcPr>
          <w:p>
            <w:pPr>
              <w:jc w:val="right"/>
              <w:ind w:right="34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197,618</w:t>
            </w:r>
          </w:p>
        </w:tc>
      </w:tr>
      <w:tr>
        <w:trPr>
          <w:trHeight w:val="199"/>
        </w:trPr>
        <w:tc>
          <w:tcPr>
            <w:tcW w:w="9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Royalties and sales commissions – additions</w:t>
            </w: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28,609</w:t>
            </w:r>
          </w:p>
        </w:tc>
      </w:tr>
      <w:tr>
        <w:trPr>
          <w:trHeight w:val="199"/>
        </w:trPr>
        <w:tc>
          <w:tcPr>
            <w:tcW w:w="9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Revenue share and cost per acquisition fees – additions</w:t>
            </w:r>
          </w:p>
        </w:tc>
        <w:tc>
          <w:tcPr>
            <w:tcW w:w="5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52,131</w:t>
            </w:r>
          </w:p>
        </w:tc>
      </w:tr>
      <w:tr>
        <w:trPr>
          <w:trHeight w:val="199"/>
        </w:trPr>
        <w:tc>
          <w:tcPr>
            <w:tcW w:w="9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capitalized costs</w:t>
            </w: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(112,069)</w:t>
            </w:r>
          </w:p>
        </w:tc>
      </w:tr>
      <w:tr>
        <w:trPr>
          <w:trHeight w:val="199"/>
        </w:trPr>
        <w:tc>
          <w:tcPr>
            <w:tcW w:w="9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Impairment of capitalized costs</w:t>
            </w:r>
          </w:p>
        </w:tc>
        <w:tc>
          <w:tcPr>
            <w:tcW w:w="5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w:t>
            </w:r>
          </w:p>
        </w:tc>
      </w:tr>
      <w:tr>
        <w:trPr>
          <w:trHeight w:val="190"/>
        </w:trPr>
        <w:tc>
          <w:tcPr>
            <w:tcW w:w="968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5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164,900</w:t>
            </w:r>
          </w:p>
        </w:tc>
      </w:tr>
      <w:tr>
        <w:trPr>
          <w:trHeight w:val="20"/>
        </w:trPr>
        <w:tc>
          <w:tcPr>
            <w:tcW w:w="9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6"/>
          <w:szCs w:val="16"/>
          <w:color w:val="auto"/>
        </w:rPr>
        <w:t xml:space="preserve">We recognized an impairment of capitalized costs associated with contracts with customers during the year ended December 31, 2023 which was related to the sale of Buttonwood Publishing. See </w:t>
      </w:r>
      <w:r>
        <w:rPr>
          <w:rFonts w:ascii="Times New Roman" w:cs="Times New Roman" w:eastAsia="Times New Roman" w:hAnsi="Times New Roman"/>
          <w:sz w:val="16"/>
          <w:szCs w:val="16"/>
          <w:i w:val="1"/>
          <w:iCs w:val="1"/>
          <w:color w:val="auto"/>
        </w:rPr>
        <w:t>Note 4 – Acquisitions and Disposals</w:t>
      </w:r>
      <w:r>
        <w:rPr>
          <w:rFonts w:ascii="Times New Roman" w:cs="Times New Roman" w:eastAsia="Times New Roman" w:hAnsi="Times New Roman"/>
          <w:sz w:val="16"/>
          <w:szCs w:val="16"/>
          <w:color w:val="auto"/>
        </w:rPr>
        <w:t>. We did not recognize any impairment on capitalized costs associated with contracts with customers for the years ended December 31, 2022 and 2021.</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Remaining Performance Obligations</w:t>
      </w:r>
    </w:p>
    <w:p>
      <w:pPr>
        <w:spacing w:after="0" w:line="145"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6"/>
          <w:szCs w:val="16"/>
          <w:color w:val="auto"/>
        </w:rPr>
        <w:t>As of December 31, 2023, the Company had $592,093 of remaining performance obligations presented as deferred revenue in the consolidated balance sheets. We expect to recognize approximately 49% of that amount as revenues over the next twelve months, with the remainder recognized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4" w:name="page95"/>
    <w:bookmarkEnd w:id="94"/>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MARKETWISE, INC.</w:t>
      </w:r>
    </w:p>
    <w:p>
      <w:pPr>
        <w:spacing w:after="0" w:line="2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i w:val="1"/>
          <w:iCs w:val="1"/>
          <w:color w:val="auto"/>
        </w:rPr>
        <w:t>(Dollar amounts in thousands, except share, unit, per share, and per unit data)</w:t>
      </w:r>
    </w:p>
    <w:p>
      <w:pPr>
        <w:spacing w:after="0" w:line="200" w:lineRule="exact"/>
        <w:rPr>
          <w:sz w:val="20"/>
          <w:szCs w:val="20"/>
          <w:color w:val="auto"/>
        </w:rPr>
      </w:pPr>
    </w:p>
    <w:p>
      <w:pPr>
        <w:spacing w:after="0" w:line="347" w:lineRule="exact"/>
        <w:rPr>
          <w:sz w:val="20"/>
          <w:szCs w:val="20"/>
          <w:color w:val="auto"/>
        </w:rPr>
      </w:pPr>
    </w:p>
    <w:p>
      <w:pPr>
        <w:ind w:left="306" w:hanging="306"/>
        <w:spacing w:after="0"/>
        <w:tabs>
          <w:tab w:leader="none" w:pos="306" w:val="left"/>
        </w:tabs>
        <w:numPr>
          <w:ilvl w:val="0"/>
          <w:numId w:val="2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Acquisitions and Disposals</w:t>
      </w:r>
    </w:p>
    <w:p>
      <w:pPr>
        <w:spacing w:after="0" w:line="14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i w:val="1"/>
          <w:iCs w:val="1"/>
          <w:color w:val="auto"/>
        </w:rPr>
        <w:t>Buttonwood Publishing Sale</w:t>
      </w:r>
    </w:p>
    <w:p>
      <w:pPr>
        <w:spacing w:after="0" w:line="145" w:lineRule="exact"/>
        <w:rPr>
          <w:sz w:val="20"/>
          <w:szCs w:val="20"/>
          <w:color w:val="auto"/>
        </w:rPr>
      </w:pPr>
    </w:p>
    <w:p>
      <w:pPr>
        <w:ind w:left="6" w:right="100"/>
        <w:spacing w:after="0" w:line="310" w:lineRule="auto"/>
        <w:rPr>
          <w:sz w:val="20"/>
          <w:szCs w:val="20"/>
          <w:color w:val="auto"/>
        </w:rPr>
      </w:pPr>
      <w:r>
        <w:rPr>
          <w:rFonts w:ascii="Times New Roman" w:cs="Times New Roman" w:eastAsia="Times New Roman" w:hAnsi="Times New Roman"/>
          <w:sz w:val="14"/>
          <w:szCs w:val="14"/>
          <w:color w:val="auto"/>
        </w:rPr>
        <w:t>On December 1, 2023, we sold certain assets of Crowdability, Inc. (“Buttonwood Publishing”), a business we acquired in 2022 to a related party. The Company will receive contingent consideration based on the level of subscription sales the buyer achieves from certain customers beginning from the sale date through December 1, 2026, as defined in the sale agreement. The fair value of the contingent consideration was estimated to be $1,253. The contingent consideration will be remeasured at the end of each reporting period.</w:t>
      </w:r>
    </w:p>
    <w:p>
      <w:pPr>
        <w:spacing w:after="0" w:line="78" w:lineRule="exact"/>
        <w:rPr>
          <w:sz w:val="20"/>
          <w:szCs w:val="20"/>
          <w:color w:val="auto"/>
        </w:rPr>
      </w:pPr>
    </w:p>
    <w:p>
      <w:pPr>
        <w:ind w:left="6" w:right="80"/>
        <w:spacing w:after="0" w:line="256" w:lineRule="auto"/>
        <w:rPr>
          <w:sz w:val="20"/>
          <w:szCs w:val="20"/>
          <w:color w:val="auto"/>
        </w:rPr>
      </w:pPr>
      <w:r>
        <w:rPr>
          <w:rFonts w:ascii="Times New Roman" w:cs="Times New Roman" w:eastAsia="Times New Roman" w:hAnsi="Times New Roman"/>
          <w:sz w:val="16"/>
          <w:szCs w:val="16"/>
          <w:color w:val="auto"/>
        </w:rPr>
        <w:t>As a result of continuing losses with respect to the Buttonwood Publishing business and the sale transaction, we recorded impairment charges related to certain capitalized deferred contract acquisition costs, tradenames, customer relationships, and operating lease right of use assets totaling $1,389, $603, $541, and $50, respectively, during the year ended December 31, 2023.</w:t>
      </w:r>
    </w:p>
    <w:p>
      <w:pPr>
        <w:spacing w:after="0" w:line="113" w:lineRule="exact"/>
        <w:rPr>
          <w:sz w:val="20"/>
          <w:szCs w:val="20"/>
          <w:color w:val="auto"/>
        </w:rPr>
      </w:pPr>
    </w:p>
    <w:p>
      <w:pPr>
        <w:ind w:left="6" w:right="540"/>
        <w:spacing w:after="0" w:line="268" w:lineRule="auto"/>
        <w:rPr>
          <w:sz w:val="20"/>
          <w:szCs w:val="20"/>
          <w:color w:val="auto"/>
        </w:rPr>
      </w:pPr>
      <w:r>
        <w:rPr>
          <w:rFonts w:ascii="Times New Roman" w:cs="Times New Roman" w:eastAsia="Times New Roman" w:hAnsi="Times New Roman"/>
          <w:sz w:val="16"/>
          <w:szCs w:val="16"/>
          <w:color w:val="auto"/>
        </w:rPr>
        <w:t>As of the sale date, Buttonwood Publishing was a reporting unit, and its goodwill was included in the loss on disposal, which totaled $1,583. The assets and liabilities of the disposal group as of December 1, 2023 were as follows:</w:t>
      </w:r>
    </w:p>
    <w:p>
      <w:pPr>
        <w:spacing w:after="0" w:line="144" w:lineRule="exact"/>
        <w:rPr>
          <w:sz w:val="20"/>
          <w:szCs w:val="20"/>
          <w:color w:val="auto"/>
        </w:rPr>
      </w:pPr>
    </w:p>
    <w:tbl>
      <w:tblPr>
        <w:tblLayout w:type="fixed"/>
        <w:tblInd w:w="6" w:type="dxa"/>
        <w:tblCellMar>
          <w:top w:w="0" w:type="dxa"/>
          <w:left w:w="0" w:type="dxa"/>
          <w:bottom w:w="0" w:type="dxa"/>
          <w:right w:w="0" w:type="dxa"/>
        </w:tblCellMar>
      </w:tblPr>
      <w:tr>
        <w:trPr>
          <w:trHeight w:val="199"/>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600" w:type="dxa"/>
            <w:vAlign w:val="bottom"/>
            <w:shd w:val="clear" w:color="auto" w:fill="CCEEFF"/>
          </w:tcPr>
          <w:p>
            <w:pPr>
              <w:jc w:val="right"/>
              <w:ind w:right="42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r>
      <w:tr>
        <w:trPr>
          <w:trHeight w:val="199"/>
        </w:trPr>
        <w:tc>
          <w:tcPr>
            <w:tcW w:w="9680" w:type="dxa"/>
            <w:vAlign w:val="bottom"/>
          </w:tcPr>
          <w:p>
            <w:pPr>
              <w:spacing w:after="0"/>
              <w:rPr>
                <w:sz w:val="20"/>
                <w:szCs w:val="20"/>
                <w:color w:val="auto"/>
              </w:rPr>
            </w:pPr>
            <w:r>
              <w:rPr>
                <w:rFonts w:ascii="Times New Roman" w:cs="Times New Roman" w:eastAsia="Times New Roman" w:hAnsi="Times New Roman"/>
                <w:sz w:val="16"/>
                <w:szCs w:val="16"/>
                <w:color w:val="auto"/>
              </w:rPr>
              <w:t>Customer relationships, net</w:t>
            </w: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6,891</w:t>
            </w:r>
          </w:p>
        </w:tc>
      </w:tr>
      <w:tr>
        <w:trPr>
          <w:trHeight w:val="199"/>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current liabilities</w:t>
            </w: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199"/>
        </w:trPr>
        <w:tc>
          <w:tcPr>
            <w:tcW w:w="968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 current</w:t>
            </w: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w:t>
            </w:r>
          </w:p>
        </w:tc>
      </w:tr>
      <w:tr>
        <w:trPr>
          <w:trHeight w:val="199"/>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199"/>
        </w:trPr>
        <w:tc>
          <w:tcPr>
            <w:tcW w:w="9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Deferred revenue, noncurrent</w:t>
            </w: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(2,405)</w:t>
            </w:r>
          </w:p>
        </w:tc>
      </w:tr>
      <w:tr>
        <w:trPr>
          <w:trHeight w:val="215"/>
        </w:trPr>
        <w:tc>
          <w:tcPr>
            <w:tcW w:w="9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assets disposed</w:t>
            </w:r>
          </w:p>
        </w:tc>
        <w:tc>
          <w:tcPr>
            <w:tcW w:w="600" w:type="dxa"/>
            <w:vAlign w:val="bottom"/>
            <w:tcBorders>
              <w:bottom w:val="single" w:sz="8" w:color="auto"/>
            </w:tcBorders>
            <w:shd w:val="clear" w:color="auto" w:fill="CCEEFF"/>
          </w:tcPr>
          <w:p>
            <w:pPr>
              <w:jc w:val="right"/>
              <w:ind w:right="42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2,836</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i w:val="1"/>
          <w:iCs w:val="1"/>
          <w:color w:val="auto"/>
        </w:rPr>
        <w:t>Buttonwood Publishing Acquisition</w:t>
      </w:r>
    </w:p>
    <w:p>
      <w:pPr>
        <w:spacing w:after="0" w:line="145" w:lineRule="exact"/>
        <w:rPr>
          <w:sz w:val="20"/>
          <w:szCs w:val="20"/>
          <w:color w:val="auto"/>
        </w:rPr>
      </w:pPr>
    </w:p>
    <w:p>
      <w:pPr>
        <w:ind w:left="6" w:right="380"/>
        <w:spacing w:after="0" w:line="256" w:lineRule="auto"/>
        <w:rPr>
          <w:sz w:val="20"/>
          <w:szCs w:val="20"/>
          <w:color w:val="auto"/>
        </w:rPr>
      </w:pPr>
      <w:r>
        <w:rPr>
          <w:rFonts w:ascii="Times New Roman" w:cs="Times New Roman" w:eastAsia="Times New Roman" w:hAnsi="Times New Roman"/>
          <w:sz w:val="16"/>
          <w:szCs w:val="16"/>
          <w:color w:val="auto"/>
        </w:rPr>
        <w:t>During third quarter 2022, we acquired 100% ownership of certain assets and liabilities from Crowdability, Inc., a provider of financial newsletters, for cash of $12,770. The Buttonwood Publishing transaction was accounted for using the acquisition method of accounting for business combinations. The following table summarizes the fair value of assets acquired and liabilities assumed as of the acquisition date:</w:t>
      </w:r>
    </w:p>
    <w:p>
      <w:pPr>
        <w:spacing w:after="0" w:line="153" w:lineRule="exact"/>
        <w:rPr>
          <w:sz w:val="20"/>
          <w:szCs w:val="20"/>
          <w:color w:val="auto"/>
        </w:rPr>
      </w:pPr>
    </w:p>
    <w:tbl>
      <w:tblPr>
        <w:tblLayout w:type="fixed"/>
        <w:tblInd w:w="6" w:type="dxa"/>
        <w:tblCellMar>
          <w:top w:w="0" w:type="dxa"/>
          <w:left w:w="0" w:type="dxa"/>
          <w:bottom w:w="0" w:type="dxa"/>
          <w:right w:w="0" w:type="dxa"/>
        </w:tblCellMar>
      </w:tblPr>
      <w:tr>
        <w:trPr>
          <w:trHeight w:val="199"/>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 of use asset</w:t>
            </w:r>
          </w:p>
        </w:tc>
        <w:tc>
          <w:tcPr>
            <w:tcW w:w="600" w:type="dxa"/>
            <w:vAlign w:val="bottom"/>
            <w:shd w:val="clear" w:color="auto" w:fill="CCEEFF"/>
          </w:tcPr>
          <w:p>
            <w:pPr>
              <w:jc w:val="right"/>
              <w:ind w:right="42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199"/>
        </w:trPr>
        <w:tc>
          <w:tcPr>
            <w:tcW w:w="968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8,019</w:t>
            </w:r>
          </w:p>
        </w:tc>
      </w:tr>
      <w:tr>
        <w:trPr>
          <w:trHeight w:val="199"/>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Tradenames</w:t>
            </w: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r>
      <w:tr>
        <w:trPr>
          <w:trHeight w:val="199"/>
        </w:trPr>
        <w:tc>
          <w:tcPr>
            <w:tcW w:w="9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9,350</w:t>
            </w:r>
          </w:p>
        </w:tc>
      </w:tr>
      <w:tr>
        <w:trPr>
          <w:trHeight w:val="190"/>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 acquired</w:t>
            </w:r>
          </w:p>
        </w:tc>
        <w:tc>
          <w:tcPr>
            <w:tcW w:w="6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18,128</w:t>
            </w:r>
          </w:p>
        </w:tc>
      </w:tr>
      <w:tr>
        <w:trPr>
          <w:trHeight w:val="199"/>
        </w:trPr>
        <w:tc>
          <w:tcPr>
            <w:tcW w:w="9680" w:type="dxa"/>
            <w:vAlign w:val="bottom"/>
          </w:tcPr>
          <w:p>
            <w:pPr>
              <w:spacing w:after="0"/>
              <w:rPr>
                <w:sz w:val="20"/>
                <w:szCs w:val="20"/>
                <w:color w:val="auto"/>
              </w:rPr>
            </w:pPr>
            <w:r>
              <w:rPr>
                <w:rFonts w:ascii="Times New Roman" w:cs="Times New Roman" w:eastAsia="Times New Roman" w:hAnsi="Times New Roman"/>
                <w:sz w:val="16"/>
                <w:szCs w:val="16"/>
                <w:color w:val="auto"/>
              </w:rPr>
              <w:t>Deferred revenue, current</w:t>
            </w: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(2,648)</w:t>
            </w:r>
          </w:p>
        </w:tc>
      </w:tr>
      <w:tr>
        <w:trPr>
          <w:trHeight w:val="199"/>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199"/>
        </w:trPr>
        <w:tc>
          <w:tcPr>
            <w:tcW w:w="9680" w:type="dxa"/>
            <w:vAlign w:val="bottom"/>
          </w:tcPr>
          <w:p>
            <w:pPr>
              <w:spacing w:after="0"/>
              <w:rPr>
                <w:sz w:val="20"/>
                <w:szCs w:val="20"/>
                <w:color w:val="auto"/>
              </w:rPr>
            </w:pPr>
            <w:r>
              <w:rPr>
                <w:rFonts w:ascii="Times New Roman" w:cs="Times New Roman" w:eastAsia="Times New Roman" w:hAnsi="Times New Roman"/>
                <w:sz w:val="16"/>
                <w:szCs w:val="16"/>
                <w:color w:val="auto"/>
              </w:rPr>
              <w:t>Operating lease liabilities, noncurrent</w:t>
            </w: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199"/>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revenue, noncurrent</w:t>
            </w:r>
          </w:p>
        </w:tc>
        <w:tc>
          <w:tcPr>
            <w:tcW w:w="6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w:t>
            </w:r>
          </w:p>
        </w:tc>
      </w:tr>
      <w:tr>
        <w:trPr>
          <w:trHeight w:val="190"/>
        </w:trPr>
        <w:tc>
          <w:tcPr>
            <w:tcW w:w="9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Liabilities assumed</w:t>
            </w:r>
          </w:p>
        </w:tc>
        <w:tc>
          <w:tcPr>
            <w:tcW w:w="6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(5,358)</w:t>
            </w:r>
          </w:p>
        </w:tc>
      </w:tr>
      <w:tr>
        <w:trPr>
          <w:trHeight w:val="215"/>
        </w:trPr>
        <w:tc>
          <w:tcPr>
            <w:tcW w:w="9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assets acquired</w:t>
            </w:r>
          </w:p>
        </w:tc>
        <w:tc>
          <w:tcPr>
            <w:tcW w:w="600" w:type="dxa"/>
            <w:vAlign w:val="bottom"/>
            <w:tcBorders>
              <w:bottom w:val="single" w:sz="8" w:color="auto"/>
            </w:tcBorders>
            <w:shd w:val="clear" w:color="auto" w:fill="CCEEFF"/>
          </w:tcPr>
          <w:p>
            <w:pPr>
              <w:jc w:val="right"/>
              <w:ind w:right="42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12,770</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 w:right="40"/>
        <w:spacing w:after="0" w:line="252" w:lineRule="auto"/>
        <w:rPr>
          <w:sz w:val="20"/>
          <w:szCs w:val="20"/>
          <w:color w:val="auto"/>
        </w:rPr>
      </w:pPr>
      <w:r>
        <w:rPr>
          <w:rFonts w:ascii="Times New Roman" w:cs="Times New Roman" w:eastAsia="Times New Roman" w:hAnsi="Times New Roman"/>
          <w:sz w:val="16"/>
          <w:szCs w:val="16"/>
          <w:color w:val="auto"/>
        </w:rPr>
        <w:t>The excess purchase consideration over the fair values of assets acquired and liabilities assumed was recorded as goodwill. The goodwill that arose from the acquisition was largely attributable to expanding our copy and editorial talent base and synergies which we expected to achieve from cross-marketing and providing complementary products to our existing and acquired customers and was fully expected to be deductible for tax purposes. The acquired intangible assets related to the Buttonwood Publishing transaction were amortized over their estimated useful lives. Accordingly, tradenames were amortized over 9.0 years and customer relationships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176135" cy="400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6"/>
          </w:cols>
          <w:pgMar w:left="314" w:top="121" w:right="319" w:bottom="1440" w:gutter="0" w:footer="0" w:header="0"/>
        </w:sectPr>
      </w:pPr>
    </w:p>
    <w:bookmarkStart w:id="95" w:name="page96"/>
    <w:bookmarkEnd w:id="95"/>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MARKETWISE, INC.</w:t>
      </w:r>
    </w:p>
    <w:p>
      <w:pPr>
        <w:spacing w:after="0" w:line="2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i w:val="1"/>
          <w:iCs w:val="1"/>
          <w:color w:val="auto"/>
        </w:rPr>
        <w:t>(Dollar amounts in thousands, except share, unit, per share, and per unit data)</w:t>
      </w:r>
    </w:p>
    <w:p>
      <w:pPr>
        <w:spacing w:after="0" w:line="200" w:lineRule="exact"/>
        <w:rPr>
          <w:sz w:val="20"/>
          <w:szCs w:val="20"/>
          <w:color w:val="auto"/>
        </w:rPr>
      </w:pPr>
    </w:p>
    <w:p>
      <w:pPr>
        <w:spacing w:after="0" w:line="349" w:lineRule="exact"/>
        <w:rPr>
          <w:sz w:val="20"/>
          <w:szCs w:val="20"/>
          <w:color w:val="auto"/>
        </w:rPr>
      </w:pPr>
    </w:p>
    <w:p>
      <w:pPr>
        <w:ind w:left="6" w:right="460"/>
        <w:spacing w:after="0" w:line="268" w:lineRule="auto"/>
        <w:rPr>
          <w:sz w:val="20"/>
          <w:szCs w:val="20"/>
          <w:color w:val="auto"/>
        </w:rPr>
      </w:pPr>
      <w:r>
        <w:rPr>
          <w:rFonts w:ascii="Times New Roman" w:cs="Times New Roman" w:eastAsia="Times New Roman" w:hAnsi="Times New Roman"/>
          <w:sz w:val="16"/>
          <w:szCs w:val="16"/>
          <w:color w:val="auto"/>
        </w:rPr>
        <w:t>amortized over 6.5 years. Amortization for the acquired intangible assets was $1,388 and $632 for the years ended December 31, 2023 and 2022, respectively. Revenue from Buttonwood Publishing was $3,918 and $1,961 for the years ended December 31, 2023 and 2022, respectively.</w:t>
      </w:r>
    </w:p>
    <w:p>
      <w:pPr>
        <w:spacing w:after="0" w:line="10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i w:val="1"/>
          <w:iCs w:val="1"/>
          <w:color w:val="auto"/>
        </w:rPr>
        <w:t>Chaikin Acquisition</w:t>
      </w:r>
    </w:p>
    <w:p>
      <w:pPr>
        <w:spacing w:after="0" w:line="145" w:lineRule="exact"/>
        <w:rPr>
          <w:sz w:val="20"/>
          <w:szCs w:val="20"/>
          <w:color w:val="auto"/>
        </w:rPr>
      </w:pPr>
    </w:p>
    <w:p>
      <w:pPr>
        <w:jc w:val="both"/>
        <w:ind w:left="6" w:right="200"/>
        <w:spacing w:after="0" w:line="256" w:lineRule="auto"/>
        <w:rPr>
          <w:sz w:val="20"/>
          <w:szCs w:val="20"/>
          <w:color w:val="auto"/>
        </w:rPr>
      </w:pPr>
      <w:r>
        <w:rPr>
          <w:rFonts w:ascii="Times New Roman" w:cs="Times New Roman" w:eastAsia="Times New Roman" w:hAnsi="Times New Roman"/>
          <w:sz w:val="16"/>
          <w:szCs w:val="16"/>
          <w:color w:val="auto"/>
        </w:rPr>
        <w:t>On January 21, 2021, we acquired 90% ownership of Chaikin Holdings LLC (“Chaikin”) a provider of analytical tools and software for investors, for cash of $7,139, net of cash acquired. We acquired Chaikin to expand our product offerings and our customer base. The Chaikin acquisition was accounted for using the acquisition method of accounting for business combinations. The following table summarizes the fair value of assets acquired and liabilities assumed as of the acquisition date:</w:t>
      </w:r>
    </w:p>
    <w:p>
      <w:pPr>
        <w:spacing w:after="0" w:line="153" w:lineRule="exact"/>
        <w:rPr>
          <w:sz w:val="20"/>
          <w:szCs w:val="20"/>
          <w:color w:val="auto"/>
        </w:rPr>
      </w:pPr>
    </w:p>
    <w:tbl>
      <w:tblPr>
        <w:tblLayout w:type="fixed"/>
        <w:tblInd w:w="6" w:type="dxa"/>
        <w:tblCellMar>
          <w:top w:w="0" w:type="dxa"/>
          <w:left w:w="0" w:type="dxa"/>
          <w:bottom w:w="0" w:type="dxa"/>
          <w:right w:w="0" w:type="dxa"/>
        </w:tblCellMar>
      </w:tblPr>
      <w:tr>
        <w:trPr>
          <w:trHeight w:val="199"/>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w:t>
            </w:r>
          </w:p>
        </w:tc>
        <w:tc>
          <w:tcPr>
            <w:tcW w:w="600" w:type="dxa"/>
            <w:vAlign w:val="bottom"/>
            <w:shd w:val="clear" w:color="auto" w:fill="CCEEFF"/>
          </w:tcPr>
          <w:p>
            <w:pPr>
              <w:jc w:val="right"/>
              <w:ind w:right="42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199"/>
        </w:trPr>
        <w:tc>
          <w:tcPr>
            <w:tcW w:w="9680" w:type="dxa"/>
            <w:vAlign w:val="bottom"/>
          </w:tcPr>
          <w:p>
            <w:pPr>
              <w:spacing w:after="0"/>
              <w:rPr>
                <w:sz w:val="20"/>
                <w:szCs w:val="20"/>
                <w:color w:val="auto"/>
              </w:rPr>
            </w:pPr>
            <w:r>
              <w:rPr>
                <w:rFonts w:ascii="Times New Roman" w:cs="Times New Roman" w:eastAsia="Times New Roman" w:hAnsi="Times New Roman"/>
                <w:sz w:val="16"/>
                <w:szCs w:val="16"/>
                <w:color w:val="auto"/>
              </w:rPr>
              <w:t>Other current assets</w:t>
            </w: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199"/>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3,664</w:t>
            </w:r>
          </w:p>
        </w:tc>
      </w:tr>
      <w:tr>
        <w:trPr>
          <w:trHeight w:val="199"/>
        </w:trPr>
        <w:tc>
          <w:tcPr>
            <w:tcW w:w="9680" w:type="dxa"/>
            <w:vAlign w:val="bottom"/>
          </w:tcPr>
          <w:p>
            <w:pPr>
              <w:spacing w:after="0"/>
              <w:rPr>
                <w:sz w:val="20"/>
                <w:szCs w:val="20"/>
                <w:color w:val="auto"/>
              </w:rPr>
            </w:pPr>
            <w:r>
              <w:rPr>
                <w:rFonts w:ascii="Times New Roman" w:cs="Times New Roman" w:eastAsia="Times New Roman" w:hAnsi="Times New Roman"/>
                <w:sz w:val="16"/>
                <w:szCs w:val="16"/>
                <w:color w:val="auto"/>
              </w:rPr>
              <w:t>Tradenames</w:t>
            </w: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w:t>
            </w:r>
          </w:p>
        </w:tc>
      </w:tr>
      <w:tr>
        <w:trPr>
          <w:trHeight w:val="199"/>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Software</w:t>
            </w: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r>
      <w:tr>
        <w:trPr>
          <w:trHeight w:val="199"/>
        </w:trPr>
        <w:tc>
          <w:tcPr>
            <w:tcW w:w="968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5,187</w:t>
            </w:r>
          </w:p>
        </w:tc>
      </w:tr>
      <w:tr>
        <w:trPr>
          <w:trHeight w:val="199"/>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6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r>
      <w:tr>
        <w:trPr>
          <w:trHeight w:val="190"/>
        </w:trPr>
        <w:tc>
          <w:tcPr>
            <w:tcW w:w="9680" w:type="dxa"/>
            <w:vAlign w:val="bottom"/>
          </w:tcPr>
          <w:p>
            <w:pPr>
              <w:spacing w:after="0"/>
              <w:rPr>
                <w:sz w:val="20"/>
                <w:szCs w:val="20"/>
                <w:color w:val="auto"/>
              </w:rPr>
            </w:pPr>
            <w:r>
              <w:rPr>
                <w:rFonts w:ascii="Times New Roman" w:cs="Times New Roman" w:eastAsia="Times New Roman" w:hAnsi="Times New Roman"/>
                <w:sz w:val="16"/>
                <w:szCs w:val="16"/>
                <w:color w:val="auto"/>
              </w:rPr>
              <w:t>Total assets acquired</w:t>
            </w:r>
          </w:p>
        </w:tc>
        <w:tc>
          <w:tcPr>
            <w:tcW w:w="6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10,487</w:t>
            </w:r>
          </w:p>
        </w:tc>
      </w:tr>
      <w:tr>
        <w:trPr>
          <w:trHeight w:val="199"/>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Liabilities assumed</w:t>
            </w:r>
          </w:p>
        </w:tc>
        <w:tc>
          <w:tcPr>
            <w:tcW w:w="6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(2,387)</w:t>
            </w:r>
          </w:p>
        </w:tc>
      </w:tr>
      <w:tr>
        <w:trPr>
          <w:trHeight w:val="190"/>
        </w:trPr>
        <w:tc>
          <w:tcPr>
            <w:tcW w:w="9680" w:type="dxa"/>
            <w:vAlign w:val="bottom"/>
          </w:tcPr>
          <w:p>
            <w:pPr>
              <w:spacing w:after="0"/>
              <w:rPr>
                <w:sz w:val="20"/>
                <w:szCs w:val="20"/>
                <w:color w:val="auto"/>
              </w:rPr>
            </w:pPr>
            <w:r>
              <w:rPr>
                <w:rFonts w:ascii="Times New Roman" w:cs="Times New Roman" w:eastAsia="Times New Roman" w:hAnsi="Times New Roman"/>
                <w:sz w:val="16"/>
                <w:szCs w:val="16"/>
                <w:color w:val="auto"/>
              </w:rPr>
              <w:t>Net assets acquired</w:t>
            </w:r>
          </w:p>
        </w:tc>
        <w:tc>
          <w:tcPr>
            <w:tcW w:w="6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8,100</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6"/>
        </w:trPr>
        <w:tc>
          <w:tcPr>
            <w:tcW w:w="96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99"/>
        </w:trPr>
        <w:tc>
          <w:tcPr>
            <w:tcW w:w="9680" w:type="dxa"/>
            <w:vAlign w:val="bottom"/>
          </w:tcPr>
          <w:p>
            <w:pPr>
              <w:spacing w:after="0"/>
              <w:rPr>
                <w:sz w:val="20"/>
                <w:szCs w:val="20"/>
                <w:color w:val="auto"/>
              </w:rPr>
            </w:pPr>
            <w:r>
              <w:rPr>
                <w:rFonts w:ascii="Times New Roman" w:cs="Times New Roman" w:eastAsia="Times New Roman" w:hAnsi="Times New Roman"/>
                <w:sz w:val="16"/>
                <w:szCs w:val="16"/>
                <w:color w:val="auto"/>
              </w:rPr>
              <w:t>Cash consideration</w:t>
            </w:r>
          </w:p>
        </w:tc>
        <w:tc>
          <w:tcPr>
            <w:tcW w:w="600" w:type="dxa"/>
            <w:vAlign w:val="bottom"/>
          </w:tcPr>
          <w:p>
            <w:pPr>
              <w:jc w:val="right"/>
              <w:ind w:right="42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7,290</w:t>
            </w:r>
          </w:p>
        </w:tc>
      </w:tr>
      <w:tr>
        <w:trPr>
          <w:trHeight w:val="199"/>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w:t>
            </w:r>
          </w:p>
        </w:tc>
        <w:tc>
          <w:tcPr>
            <w:tcW w:w="6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w:t>
            </w:r>
          </w:p>
        </w:tc>
      </w:tr>
      <w:tr>
        <w:trPr>
          <w:trHeight w:val="190"/>
        </w:trPr>
        <w:tc>
          <w:tcPr>
            <w:tcW w:w="9680" w:type="dxa"/>
            <w:vAlign w:val="bottom"/>
          </w:tcPr>
          <w:p>
            <w:pPr>
              <w:spacing w:after="0"/>
              <w:rPr>
                <w:sz w:val="20"/>
                <w:szCs w:val="20"/>
                <w:color w:val="auto"/>
              </w:rPr>
            </w:pPr>
            <w:r>
              <w:rPr>
                <w:rFonts w:ascii="Times New Roman" w:cs="Times New Roman" w:eastAsia="Times New Roman" w:hAnsi="Times New Roman"/>
                <w:sz w:val="16"/>
                <w:szCs w:val="16"/>
                <w:color w:val="auto"/>
              </w:rPr>
              <w:t>Total consideration</w:t>
            </w:r>
          </w:p>
        </w:tc>
        <w:tc>
          <w:tcPr>
            <w:tcW w:w="6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8,100</w:t>
            </w:r>
          </w:p>
        </w:tc>
      </w:tr>
      <w:tr>
        <w:trPr>
          <w:trHeight w:val="20"/>
        </w:trPr>
        <w:tc>
          <w:tcPr>
            <w:tcW w:w="9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left="6" w:right="140"/>
        <w:spacing w:after="0" w:line="250" w:lineRule="auto"/>
        <w:rPr>
          <w:sz w:val="20"/>
          <w:szCs w:val="20"/>
          <w:color w:val="auto"/>
        </w:rPr>
      </w:pPr>
      <w:r>
        <w:rPr>
          <w:rFonts w:ascii="Times New Roman" w:cs="Times New Roman" w:eastAsia="Times New Roman" w:hAnsi="Times New Roman"/>
          <w:sz w:val="16"/>
          <w:szCs w:val="16"/>
          <w:color w:val="auto"/>
        </w:rPr>
        <w:t>The excess purchase consideration over the fair values of assets acquired and liabilities assumed was recorded as goodwill. The goodwill arising from the acquisition is largely attributable to synergies which we expect to achieve from cross-marketing and providing complementary products to our existing and acquired customers, and is expected to be fully deductible for tax purposes. The acquired intangible assets of Chaikin are amortized over their estimated useful lives. Accordingly, the trade name will be amortized over 8.5 years and customer relationships will be amortized over 6 years. Amortization for the acquired intangible assets was $688 and $648 for the years ended December 31, 2022 and 2021, respectively. Revenue from Chaikin was $29,438 and $7,514 for the years ended December 31, 2022 and 2021, respectively.</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During third quarter 2022, we acquired additional noncontrolling interests totaling 3.7% in Chaikin, to obtain 93.7% ownership for $297.</w:t>
      </w:r>
    </w:p>
    <w:p>
      <w:pPr>
        <w:spacing w:after="0" w:line="200" w:lineRule="exact"/>
        <w:rPr>
          <w:sz w:val="20"/>
          <w:szCs w:val="20"/>
          <w:color w:val="auto"/>
        </w:rPr>
      </w:pPr>
    </w:p>
    <w:p>
      <w:pPr>
        <w:spacing w:after="0" w:line="292" w:lineRule="exact"/>
        <w:rPr>
          <w:sz w:val="20"/>
          <w:szCs w:val="20"/>
          <w:color w:val="auto"/>
        </w:rPr>
      </w:pPr>
    </w:p>
    <w:p>
      <w:pPr>
        <w:ind w:left="566" w:hanging="566"/>
        <w:spacing w:after="0"/>
        <w:tabs>
          <w:tab w:leader="none" w:pos="566" w:val="left"/>
        </w:tabs>
        <w:numPr>
          <w:ilvl w:val="0"/>
          <w:numId w:val="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Goodwill and Intangible Assets, Net</w:t>
      </w:r>
    </w:p>
    <w:p>
      <w:pPr>
        <w:spacing w:after="0" w:line="14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i w:val="1"/>
          <w:iCs w:val="1"/>
          <w:color w:val="auto"/>
        </w:rPr>
        <w:t>Goodwill</w:t>
      </w:r>
    </w:p>
    <w:p>
      <w:pPr>
        <w:spacing w:after="0" w:line="14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The changes in the carrying amounts of goodwill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176135" cy="400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6"/>
          </w:cols>
          <w:pgMar w:left="314" w:top="121" w:right="31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87"/>
        </w:trPr>
        <w:tc>
          <w:tcPr>
            <w:tcW w:w="9680" w:type="dxa"/>
            <w:vAlign w:val="bottom"/>
          </w:tcPr>
          <w:p>
            <w:pPr>
              <w:jc w:val="center"/>
              <w:ind w:left="1482"/>
              <w:spacing w:after="0"/>
              <w:rPr>
                <w:sz w:val="20"/>
                <w:szCs w:val="20"/>
                <w:color w:val="auto"/>
              </w:rPr>
            </w:pPr>
            <w:r>
              <w:rPr>
                <w:rFonts w:ascii="Times New Roman" w:cs="Times New Roman" w:eastAsia="Times New Roman" w:hAnsi="Times New Roman"/>
                <w:sz w:val="16"/>
                <w:szCs w:val="16"/>
                <w:b w:val="1"/>
                <w:bCs w:val="1"/>
                <w:color w:val="auto"/>
                <w:w w:val="97"/>
              </w:rPr>
              <w:t>MARKETWISE, INC.</w:t>
            </w: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7"/>
        </w:trPr>
        <w:tc>
          <w:tcPr>
            <w:tcW w:w="9680" w:type="dxa"/>
            <w:vAlign w:val="bottom"/>
          </w:tcPr>
          <w:p>
            <w:pPr>
              <w:jc w:val="center"/>
              <w:ind w:left="1502"/>
              <w:spacing w:after="0"/>
              <w:rPr>
                <w:sz w:val="20"/>
                <w:szCs w:val="20"/>
                <w:color w:val="auto"/>
              </w:rPr>
            </w:pPr>
            <w:r>
              <w:rPr>
                <w:rFonts w:ascii="Times New Roman" w:cs="Times New Roman" w:eastAsia="Times New Roman" w:hAnsi="Times New Roman"/>
                <w:sz w:val="16"/>
                <w:szCs w:val="16"/>
                <w:b w:val="1"/>
                <w:bCs w:val="1"/>
                <w:color w:val="auto"/>
                <w:w w:val="97"/>
              </w:rPr>
              <w:t>Notes to the Consolidated Financial Statements</w:t>
            </w:r>
          </w:p>
        </w:tc>
        <w:tc>
          <w:tcPr>
            <w:tcW w:w="6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5"/>
        </w:trPr>
        <w:tc>
          <w:tcPr>
            <w:tcW w:w="9680" w:type="dxa"/>
            <w:vAlign w:val="bottom"/>
          </w:tcPr>
          <w:p>
            <w:pPr>
              <w:jc w:val="center"/>
              <w:ind w:left="1482"/>
              <w:spacing w:after="0"/>
              <w:rPr>
                <w:sz w:val="20"/>
                <w:szCs w:val="20"/>
                <w:color w:val="auto"/>
              </w:rPr>
            </w:pPr>
            <w:r>
              <w:rPr>
                <w:rFonts w:ascii="Times New Roman" w:cs="Times New Roman" w:eastAsia="Times New Roman" w:hAnsi="Times New Roman"/>
                <w:sz w:val="16"/>
                <w:szCs w:val="16"/>
                <w:i w:val="1"/>
                <w:iCs w:val="1"/>
                <w:color w:val="auto"/>
                <w:w w:val="97"/>
              </w:rPr>
              <w:t>(Dollar amounts in thousands, except share, unit, per share, and per unit data)</w:t>
            </w:r>
          </w:p>
        </w:tc>
        <w:tc>
          <w:tcPr>
            <w:tcW w:w="6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585"/>
        </w:trPr>
        <w:tc>
          <w:tcPr>
            <w:tcW w:w="9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4"/>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January 1, 2021</w:t>
            </w:r>
          </w:p>
        </w:tc>
        <w:tc>
          <w:tcPr>
            <w:tcW w:w="600" w:type="dxa"/>
            <w:vAlign w:val="bottom"/>
            <w:shd w:val="clear" w:color="auto" w:fill="CCEEFF"/>
          </w:tcPr>
          <w:p>
            <w:pPr>
              <w:jc w:val="right"/>
              <w:ind w:right="42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18,101</w:t>
            </w:r>
          </w:p>
        </w:tc>
      </w:tr>
      <w:tr>
        <w:trPr>
          <w:trHeight w:val="233"/>
        </w:trPr>
        <w:tc>
          <w:tcPr>
            <w:tcW w:w="96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Acquisition of Chaikin</w:t>
            </w:r>
          </w:p>
        </w:tc>
        <w:tc>
          <w:tcPr>
            <w:tcW w:w="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5,187</w:t>
            </w:r>
          </w:p>
        </w:tc>
      </w:tr>
      <w:tr>
        <w:trPr>
          <w:trHeight w:val="214"/>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23,288</w:t>
            </w:r>
          </w:p>
        </w:tc>
      </w:tr>
      <w:tr>
        <w:trPr>
          <w:trHeight w:val="199"/>
        </w:trPr>
        <w:tc>
          <w:tcPr>
            <w:tcW w:w="9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Acquisition of Buttonwood Publishing</w:t>
            </w:r>
          </w:p>
        </w:tc>
        <w:tc>
          <w:tcPr>
            <w:tcW w:w="6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8,019</w:t>
            </w:r>
          </w:p>
        </w:tc>
      </w:tr>
      <w:tr>
        <w:trPr>
          <w:trHeight w:val="214"/>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6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31,307</w:t>
            </w:r>
          </w:p>
        </w:tc>
      </w:tr>
      <w:tr>
        <w:trPr>
          <w:trHeight w:val="199"/>
        </w:trPr>
        <w:tc>
          <w:tcPr>
            <w:tcW w:w="9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of Investor Channel</w:t>
            </w: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199"/>
        </w:trPr>
        <w:tc>
          <w:tcPr>
            <w:tcW w:w="9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Sale of Buttonwood Publishing (see </w:t>
            </w:r>
            <w:r>
              <w:rPr>
                <w:rFonts w:ascii="Times New Roman" w:cs="Times New Roman" w:eastAsia="Times New Roman" w:hAnsi="Times New Roman"/>
                <w:sz w:val="16"/>
                <w:szCs w:val="16"/>
                <w:i w:val="1"/>
                <w:iCs w:val="1"/>
                <w:color w:val="auto"/>
              </w:rPr>
              <w:t>Note 4 – Acquisitions and Disposals</w:t>
            </w:r>
            <w:r>
              <w:rPr>
                <w:rFonts w:ascii="Times New Roman" w:cs="Times New Roman" w:eastAsia="Times New Roman" w:hAnsi="Times New Roman"/>
                <w:sz w:val="16"/>
                <w:szCs w:val="16"/>
                <w:color w:val="auto"/>
              </w:rPr>
              <w:t>)</w:t>
            </w:r>
          </w:p>
        </w:tc>
        <w:tc>
          <w:tcPr>
            <w:tcW w:w="60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r>
      <w:tr>
        <w:trPr>
          <w:trHeight w:val="190"/>
        </w:trPr>
        <w:tc>
          <w:tcPr>
            <w:tcW w:w="968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6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31,038</w:t>
            </w:r>
          </w:p>
        </w:tc>
      </w:tr>
      <w:tr>
        <w:trPr>
          <w:trHeight w:val="20"/>
        </w:trPr>
        <w:tc>
          <w:tcPr>
            <w:tcW w:w="96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280"/>
        <w:spacing w:after="0" w:line="263" w:lineRule="auto"/>
        <w:rPr>
          <w:sz w:val="20"/>
          <w:szCs w:val="20"/>
          <w:color w:val="auto"/>
        </w:rPr>
      </w:pPr>
      <w:r>
        <w:rPr>
          <w:rFonts w:ascii="Times New Roman" w:cs="Times New Roman" w:eastAsia="Times New Roman" w:hAnsi="Times New Roman"/>
          <w:sz w:val="16"/>
          <w:szCs w:val="16"/>
          <w:color w:val="auto"/>
        </w:rPr>
        <w:t>The Company has three reporting units with goodwill and one reportable segment. The reporting units to which goodwill is allocated that have negative carrying amounts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60" w:type="dxa"/>
            <w:vAlign w:val="bottom"/>
            <w:gridSpan w:val="3"/>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As of December 31,</w:t>
            </w:r>
          </w:p>
        </w:tc>
        <w:tc>
          <w:tcPr>
            <w:tcW w:w="1180" w:type="dxa"/>
            <w:vAlign w:val="bottom"/>
          </w:tcPr>
          <w:p>
            <w:pPr>
              <w:spacing w:after="0"/>
              <w:rPr>
                <w:sz w:val="14"/>
                <w:szCs w:val="14"/>
                <w:color w:val="auto"/>
              </w:rPr>
            </w:pPr>
          </w:p>
        </w:tc>
      </w:tr>
      <w:tr>
        <w:trPr>
          <w:trHeight w:val="20"/>
        </w:trPr>
        <w:tc>
          <w:tcPr>
            <w:tcW w:w="75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62"/>
        </w:trPr>
        <w:tc>
          <w:tcPr>
            <w:tcW w:w="756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2"/>
                <w:szCs w:val="12"/>
                <w:b w:val="1"/>
                <w:bCs w:val="1"/>
                <w:color w:val="auto"/>
              </w:rPr>
              <w:t>2023</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706"/>
              <w:spacing w:after="0"/>
              <w:rPr>
                <w:sz w:val="20"/>
                <w:szCs w:val="20"/>
                <w:color w:val="auto"/>
              </w:rPr>
            </w:pPr>
            <w:r>
              <w:rPr>
                <w:rFonts w:ascii="Times New Roman" w:cs="Times New Roman" w:eastAsia="Times New Roman" w:hAnsi="Times New Roman"/>
                <w:sz w:val="12"/>
                <w:szCs w:val="12"/>
                <w:b w:val="1"/>
                <w:bCs w:val="1"/>
                <w:color w:val="auto"/>
              </w:rPr>
              <w:t>2022</w:t>
            </w:r>
          </w:p>
        </w:tc>
      </w:tr>
      <w:tr>
        <w:trPr>
          <w:trHeight w:val="19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1729 Research</w:t>
            </w:r>
          </w:p>
        </w:tc>
        <w:tc>
          <w:tcPr>
            <w:tcW w:w="116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13,799</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6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6,134</w:t>
            </w:r>
          </w:p>
        </w:tc>
      </w:tr>
      <w:tr>
        <w:trPr>
          <w:trHeight w:val="199"/>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Legacy Research</w:t>
            </w:r>
          </w:p>
        </w:tc>
        <w:tc>
          <w:tcPr>
            <w:tcW w:w="1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6,046</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5,961</w:t>
            </w:r>
          </w:p>
        </w:tc>
      </w:tr>
      <w:tr>
        <w:trPr>
          <w:trHeight w:val="199"/>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Alta</w:t>
            </w:r>
          </w:p>
        </w:tc>
        <w:tc>
          <w:tcPr>
            <w:tcW w:w="1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11,193</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11,193</w:t>
            </w: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Intangible assets, net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Intangible assets, net consisted of the following as of the dates indicated: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gridSpan w:val="4"/>
          </w:tcPr>
          <w:p>
            <w:pPr>
              <w:jc w:val="right"/>
              <w:ind w:right="484"/>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0"/>
        </w:trPr>
        <w:tc>
          <w:tcPr>
            <w:tcW w:w="49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Cost</w:t>
            </w: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tcPr>
          <w:p>
            <w:pPr>
              <w:ind w:left="100"/>
              <w:spacing w:after="0" w:line="110"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80" w:type="dxa"/>
            <w:vAlign w:val="bottom"/>
          </w:tcPr>
          <w:p>
            <w:pPr>
              <w:spacing w:after="0"/>
              <w:rPr>
                <w:sz w:val="9"/>
                <w:szCs w:val="9"/>
                <w:color w:val="auto"/>
              </w:rPr>
            </w:pPr>
          </w:p>
        </w:tc>
        <w:tc>
          <w:tcPr>
            <w:tcW w:w="1140" w:type="dxa"/>
            <w:vAlign w:val="bottom"/>
            <w:vMerge w:val="restart"/>
          </w:tcPr>
          <w:p>
            <w:pPr>
              <w:jc w:val="right"/>
              <w:ind w:right="164"/>
              <w:spacing w:after="0"/>
              <w:rPr>
                <w:sz w:val="20"/>
                <w:szCs w:val="20"/>
                <w:color w:val="auto"/>
              </w:rPr>
            </w:pPr>
            <w:r>
              <w:rPr>
                <w:rFonts w:ascii="Times New Roman" w:cs="Times New Roman" w:eastAsia="Times New Roman" w:hAnsi="Times New Roman"/>
                <w:sz w:val="12"/>
                <w:szCs w:val="12"/>
                <w:b w:val="1"/>
                <w:bCs w:val="1"/>
                <w:color w:val="auto"/>
              </w:rPr>
              <w:t>Net Book Value</w:t>
            </w:r>
          </w:p>
        </w:tc>
        <w:tc>
          <w:tcPr>
            <w:tcW w:w="120" w:type="dxa"/>
            <w:vAlign w:val="bottom"/>
          </w:tcPr>
          <w:p>
            <w:pPr>
              <w:spacing w:after="0"/>
              <w:rPr>
                <w:sz w:val="9"/>
                <w:szCs w:val="9"/>
                <w:color w:val="auto"/>
              </w:rPr>
            </w:pPr>
          </w:p>
        </w:tc>
        <w:tc>
          <w:tcPr>
            <w:tcW w:w="1920" w:type="dxa"/>
            <w:vAlign w:val="bottom"/>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Weighted-Average Remaining</w:t>
            </w:r>
          </w:p>
        </w:tc>
        <w:tc>
          <w:tcPr>
            <w:tcW w:w="0" w:type="dxa"/>
            <w:vAlign w:val="bottom"/>
          </w:tcPr>
          <w:p>
            <w:pPr>
              <w:spacing w:after="0"/>
              <w:rPr>
                <w:sz w:val="1"/>
                <w:szCs w:val="1"/>
                <w:color w:val="auto"/>
              </w:rPr>
            </w:pPr>
          </w:p>
        </w:tc>
      </w:tr>
      <w:tr>
        <w:trPr>
          <w:trHeight w:val="169"/>
        </w:trPr>
        <w:tc>
          <w:tcPr>
            <w:tcW w:w="49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Amortization</w:t>
            </w:r>
          </w:p>
        </w:tc>
        <w:tc>
          <w:tcPr>
            <w:tcW w:w="1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Useful Life (in years)</w:t>
            </w:r>
          </w:p>
        </w:tc>
        <w:tc>
          <w:tcPr>
            <w:tcW w:w="0" w:type="dxa"/>
            <w:vAlign w:val="bottom"/>
          </w:tcPr>
          <w:p>
            <w:pPr>
              <w:spacing w:after="0"/>
              <w:rPr>
                <w:sz w:val="1"/>
                <w:szCs w:val="1"/>
                <w:color w:val="auto"/>
              </w:rPr>
            </w:pPr>
          </w:p>
        </w:tc>
      </w:tr>
      <w:tr>
        <w:trPr>
          <w:trHeight w:val="183"/>
        </w:trPr>
        <w:tc>
          <w:tcPr>
            <w:tcW w:w="4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Finite-lived intangible assets:</w:t>
            </w:r>
          </w:p>
        </w:tc>
        <w:tc>
          <w:tcPr>
            <w:tcW w:w="8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9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relationships</w:t>
            </w:r>
          </w:p>
        </w:tc>
        <w:tc>
          <w:tcPr>
            <w:tcW w:w="800" w:type="dxa"/>
            <w:vAlign w:val="bottom"/>
          </w:tcPr>
          <w:p>
            <w:pPr>
              <w:jc w:val="right"/>
              <w:ind w:right="647"/>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12,443</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(10,371)</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2,072</w:t>
            </w:r>
          </w:p>
        </w:tc>
        <w:tc>
          <w:tcPr>
            <w:tcW w:w="2040" w:type="dxa"/>
            <w:vAlign w:val="bottom"/>
            <w:gridSpan w:val="2"/>
          </w:tcPr>
          <w:p>
            <w:pPr>
              <w:jc w:val="center"/>
              <w:ind w:left="42"/>
              <w:spacing w:after="0"/>
              <w:rPr>
                <w:sz w:val="20"/>
                <w:szCs w:val="20"/>
                <w:color w:val="auto"/>
              </w:rPr>
            </w:pPr>
            <w:r>
              <w:rPr>
                <w:rFonts w:ascii="Times New Roman" w:cs="Times New Roman" w:eastAsia="Times New Roman" w:hAnsi="Times New Roman"/>
                <w:sz w:val="16"/>
                <w:szCs w:val="16"/>
                <w:color w:val="auto"/>
                <w:w w:val="99"/>
              </w:rPr>
              <w:t>3.0</w:t>
            </w:r>
          </w:p>
        </w:tc>
        <w:tc>
          <w:tcPr>
            <w:tcW w:w="0" w:type="dxa"/>
            <w:vAlign w:val="bottom"/>
          </w:tcPr>
          <w:p>
            <w:pPr>
              <w:spacing w:after="0"/>
              <w:rPr>
                <w:sz w:val="1"/>
                <w:szCs w:val="1"/>
                <w:color w:val="auto"/>
              </w:rPr>
            </w:pPr>
          </w:p>
        </w:tc>
      </w:tr>
      <w:tr>
        <w:trPr>
          <w:trHeight w:val="199"/>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Tradenames</w:t>
            </w: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3,588</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w:t>
            </w:r>
          </w:p>
        </w:tc>
        <w:tc>
          <w:tcPr>
            <w:tcW w:w="2040" w:type="dxa"/>
            <w:vAlign w:val="bottom"/>
            <w:gridSpan w:val="2"/>
            <w:shd w:val="clear" w:color="auto" w:fill="CCEEFF"/>
          </w:tcPr>
          <w:p>
            <w:pPr>
              <w:jc w:val="center"/>
              <w:ind w:left="42"/>
              <w:spacing w:after="0"/>
              <w:rPr>
                <w:sz w:val="20"/>
                <w:szCs w:val="20"/>
                <w:color w:val="auto"/>
              </w:rPr>
            </w:pPr>
            <w:r>
              <w:rPr>
                <w:rFonts w:ascii="Times New Roman" w:cs="Times New Roman" w:eastAsia="Times New Roman" w:hAnsi="Times New Roman"/>
                <w:sz w:val="16"/>
                <w:szCs w:val="16"/>
                <w:color w:val="auto"/>
                <w:w w:val="99"/>
              </w:rPr>
              <w:t>3.9</w:t>
            </w:r>
          </w:p>
        </w:tc>
        <w:tc>
          <w:tcPr>
            <w:tcW w:w="0" w:type="dxa"/>
            <w:vAlign w:val="bottom"/>
          </w:tcPr>
          <w:p>
            <w:pPr>
              <w:spacing w:after="0"/>
              <w:rPr>
                <w:sz w:val="1"/>
                <w:szCs w:val="1"/>
                <w:color w:val="auto"/>
              </w:rPr>
            </w:pPr>
          </w:p>
        </w:tc>
      </w:tr>
      <w:tr>
        <w:trPr>
          <w:trHeight w:val="199"/>
        </w:trPr>
        <w:tc>
          <w:tcPr>
            <w:tcW w:w="4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8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4,714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2,119</w:t>
            </w:r>
          </w:p>
        </w:tc>
        <w:tc>
          <w:tcPr>
            <w:tcW w:w="2040" w:type="dxa"/>
            <w:vAlign w:val="bottom"/>
            <w:tcBorders>
              <w:bottom w:val="single" w:sz="8" w:color="CCEEFF"/>
            </w:tcBorders>
            <w:gridSpan w:val="2"/>
          </w:tcPr>
          <w:p>
            <w:pPr>
              <w:jc w:val="center"/>
              <w:ind w:left="42"/>
              <w:spacing w:after="0"/>
              <w:rPr>
                <w:sz w:val="20"/>
                <w:szCs w:val="20"/>
                <w:color w:val="auto"/>
              </w:rPr>
            </w:pPr>
            <w:r>
              <w:rPr>
                <w:rFonts w:ascii="Times New Roman" w:cs="Times New Roman" w:eastAsia="Times New Roman" w:hAnsi="Times New Roman"/>
                <w:sz w:val="16"/>
                <w:szCs w:val="16"/>
                <w:color w:val="auto"/>
                <w:w w:val="99"/>
              </w:rPr>
              <w:t>3.7</w:t>
            </w:r>
          </w:p>
        </w:tc>
        <w:tc>
          <w:tcPr>
            <w:tcW w:w="0" w:type="dxa"/>
            <w:vAlign w:val="bottom"/>
          </w:tcPr>
          <w:p>
            <w:pPr>
              <w:spacing w:after="0"/>
              <w:rPr>
                <w:sz w:val="1"/>
                <w:szCs w:val="1"/>
                <w:color w:val="auto"/>
              </w:rPr>
            </w:pPr>
          </w:p>
        </w:tc>
      </w:tr>
      <w:tr>
        <w:trPr>
          <w:trHeight w:val="19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Finite-lived intangible assets, net</w:t>
            </w:r>
          </w:p>
        </w:tc>
        <w:tc>
          <w:tcPr>
            <w:tcW w:w="8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20,745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5,168</w:t>
            </w:r>
          </w:p>
        </w:tc>
        <w:tc>
          <w:tcPr>
            <w:tcW w:w="12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4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Indefinite-lived intangible assets:</w:t>
            </w: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Internet domain names</w:t>
            </w:r>
          </w:p>
        </w:tc>
        <w:tc>
          <w:tcPr>
            <w:tcW w:w="8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Indefinite-lived intangible assets, net</w:t>
            </w:r>
          </w:p>
        </w:tc>
        <w:tc>
          <w:tcPr>
            <w:tcW w:w="800" w:type="dxa"/>
            <w:vAlign w:val="bottom"/>
            <w:tcBorders>
              <w:top w:val="single" w:sz="8" w:color="auto"/>
              <w:bottom w:val="single" w:sz="8" w:color="auto"/>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12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800" w:type="dxa"/>
            <w:vAlign w:val="bottom"/>
            <w:tcBorders>
              <w:bottom w:val="single" w:sz="8" w:color="auto"/>
            </w:tcBorders>
          </w:tcPr>
          <w:p>
            <w:pPr>
              <w:jc w:val="right"/>
              <w:ind w:right="647"/>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21,832</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(15,577)</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6,255</w:t>
            </w: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7" w:name="page98"/>
    <w:bookmarkEnd w:id="97"/>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MARKETWISE, INC.</w:t>
      </w:r>
    </w:p>
    <w:p>
      <w:pPr>
        <w:spacing w:after="0" w:line="2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i w:val="1"/>
          <w:iCs w:val="1"/>
          <w:color w:val="auto"/>
        </w:rPr>
        <w:t>(Dollar amounts in thousands, except share, unit, per share, and per unit data)</w:t>
      </w:r>
    </w:p>
    <w:p>
      <w:pPr>
        <w:spacing w:after="0" w:line="200" w:lineRule="exact"/>
        <w:rPr>
          <w:sz w:val="20"/>
          <w:szCs w:val="20"/>
          <w:color w:val="auto"/>
        </w:rPr>
      </w:pPr>
    </w:p>
    <w:p>
      <w:pPr>
        <w:spacing w:after="0" w:line="378" w:lineRule="exact"/>
        <w:rPr>
          <w:sz w:val="20"/>
          <w:szCs w:val="20"/>
          <w:color w:val="auto"/>
        </w:rPr>
      </w:pPr>
    </w:p>
    <w:tbl>
      <w:tblPr>
        <w:tblLayout w:type="fixed"/>
        <w:tblInd w:w="6" w:type="dxa"/>
        <w:tblCellMar>
          <w:top w:w="0" w:type="dxa"/>
          <w:left w:w="0" w:type="dxa"/>
          <w:bottom w:w="0" w:type="dxa"/>
          <w:right w:w="0" w:type="dxa"/>
        </w:tblCellMar>
      </w:tblPr>
      <w:tr>
        <w:trPr>
          <w:trHeight w:val="165"/>
        </w:trPr>
        <w:tc>
          <w:tcPr>
            <w:tcW w:w="49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gridSpan w:val="4"/>
          </w:tcPr>
          <w:p>
            <w:pPr>
              <w:jc w:val="right"/>
              <w:ind w:right="484"/>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0"/>
        </w:trPr>
        <w:tc>
          <w:tcPr>
            <w:tcW w:w="4900" w:type="dxa"/>
            <w:vAlign w:val="bottom"/>
          </w:tcPr>
          <w:p>
            <w:pPr>
              <w:spacing w:after="0"/>
              <w:rPr>
                <w:sz w:val="9"/>
                <w:szCs w:val="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Cost</w:t>
            </w: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2"/>
          </w:tcPr>
          <w:p>
            <w:pPr>
              <w:ind w:left="100"/>
              <w:spacing w:after="0" w:line="110"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80" w:type="dxa"/>
            <w:vAlign w:val="bottom"/>
          </w:tcPr>
          <w:p>
            <w:pPr>
              <w:spacing w:after="0"/>
              <w:rPr>
                <w:sz w:val="9"/>
                <w:szCs w:val="9"/>
                <w:color w:val="auto"/>
              </w:rPr>
            </w:pPr>
          </w:p>
        </w:tc>
        <w:tc>
          <w:tcPr>
            <w:tcW w:w="1140" w:type="dxa"/>
            <w:vAlign w:val="bottom"/>
            <w:vMerge w:val="restart"/>
          </w:tcPr>
          <w:p>
            <w:pPr>
              <w:jc w:val="right"/>
              <w:ind w:right="164"/>
              <w:spacing w:after="0"/>
              <w:rPr>
                <w:sz w:val="20"/>
                <w:szCs w:val="20"/>
                <w:color w:val="auto"/>
              </w:rPr>
            </w:pPr>
            <w:r>
              <w:rPr>
                <w:rFonts w:ascii="Times New Roman" w:cs="Times New Roman" w:eastAsia="Times New Roman" w:hAnsi="Times New Roman"/>
                <w:sz w:val="12"/>
                <w:szCs w:val="12"/>
                <w:b w:val="1"/>
                <w:bCs w:val="1"/>
                <w:color w:val="auto"/>
              </w:rPr>
              <w:t>Net Book Value</w:t>
            </w:r>
          </w:p>
        </w:tc>
        <w:tc>
          <w:tcPr>
            <w:tcW w:w="120" w:type="dxa"/>
            <w:vAlign w:val="bottom"/>
          </w:tcPr>
          <w:p>
            <w:pPr>
              <w:spacing w:after="0"/>
              <w:rPr>
                <w:sz w:val="9"/>
                <w:szCs w:val="9"/>
                <w:color w:val="auto"/>
              </w:rPr>
            </w:pPr>
          </w:p>
        </w:tc>
        <w:tc>
          <w:tcPr>
            <w:tcW w:w="1920" w:type="dxa"/>
            <w:vAlign w:val="bottom"/>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Weighted-Average Remaining</w:t>
            </w:r>
          </w:p>
        </w:tc>
        <w:tc>
          <w:tcPr>
            <w:tcW w:w="0" w:type="dxa"/>
            <w:vAlign w:val="bottom"/>
          </w:tcPr>
          <w:p>
            <w:pPr>
              <w:spacing w:after="0"/>
              <w:rPr>
                <w:sz w:val="1"/>
                <w:szCs w:val="1"/>
                <w:color w:val="auto"/>
              </w:rPr>
            </w:pPr>
          </w:p>
        </w:tc>
      </w:tr>
      <w:tr>
        <w:trPr>
          <w:trHeight w:val="169"/>
        </w:trPr>
        <w:tc>
          <w:tcPr>
            <w:tcW w:w="49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Amortization</w:t>
            </w:r>
          </w:p>
        </w:tc>
        <w:tc>
          <w:tcPr>
            <w:tcW w:w="18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Useful Life (in years)</w:t>
            </w:r>
          </w:p>
        </w:tc>
        <w:tc>
          <w:tcPr>
            <w:tcW w:w="0" w:type="dxa"/>
            <w:vAlign w:val="bottom"/>
          </w:tcPr>
          <w:p>
            <w:pPr>
              <w:spacing w:after="0"/>
              <w:rPr>
                <w:sz w:val="1"/>
                <w:szCs w:val="1"/>
                <w:color w:val="auto"/>
              </w:rPr>
            </w:pPr>
          </w:p>
        </w:tc>
      </w:tr>
      <w:tr>
        <w:trPr>
          <w:trHeight w:val="183"/>
        </w:trPr>
        <w:tc>
          <w:tcPr>
            <w:tcW w:w="4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Finite-lived intangible assets:</w:t>
            </w:r>
          </w:p>
        </w:tc>
        <w:tc>
          <w:tcPr>
            <w:tcW w:w="8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9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Customer relationships</w:t>
            </w:r>
          </w:p>
        </w:tc>
        <w:tc>
          <w:tcPr>
            <w:tcW w:w="800" w:type="dxa"/>
            <w:vAlign w:val="bottom"/>
          </w:tcPr>
          <w:p>
            <w:pPr>
              <w:jc w:val="right"/>
              <w:ind w:right="647"/>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21,718</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(9,924)</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11,794</w:t>
            </w:r>
          </w:p>
        </w:tc>
        <w:tc>
          <w:tcPr>
            <w:tcW w:w="2040" w:type="dxa"/>
            <w:vAlign w:val="bottom"/>
            <w:gridSpan w:val="2"/>
          </w:tcPr>
          <w:p>
            <w:pPr>
              <w:jc w:val="center"/>
              <w:ind w:left="42"/>
              <w:spacing w:after="0"/>
              <w:rPr>
                <w:sz w:val="20"/>
                <w:szCs w:val="20"/>
                <w:color w:val="auto"/>
              </w:rPr>
            </w:pPr>
            <w:r>
              <w:rPr>
                <w:rFonts w:ascii="Times New Roman" w:cs="Times New Roman" w:eastAsia="Times New Roman" w:hAnsi="Times New Roman"/>
                <w:sz w:val="16"/>
                <w:szCs w:val="16"/>
                <w:color w:val="auto"/>
                <w:w w:val="99"/>
              </w:rPr>
              <w:t>5.4</w:t>
            </w:r>
          </w:p>
        </w:tc>
        <w:tc>
          <w:tcPr>
            <w:tcW w:w="0" w:type="dxa"/>
            <w:vAlign w:val="bottom"/>
          </w:tcPr>
          <w:p>
            <w:pPr>
              <w:spacing w:after="0"/>
              <w:rPr>
                <w:sz w:val="1"/>
                <w:szCs w:val="1"/>
                <w:color w:val="auto"/>
              </w:rPr>
            </w:pPr>
          </w:p>
        </w:tc>
      </w:tr>
      <w:tr>
        <w:trPr>
          <w:trHeight w:val="199"/>
        </w:trPr>
        <w:tc>
          <w:tcPr>
            <w:tcW w:w="4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Tradenames</w:t>
            </w: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2040" w:type="dxa"/>
            <w:vAlign w:val="bottom"/>
            <w:gridSpan w:val="2"/>
            <w:shd w:val="clear" w:color="auto" w:fill="CCEEFF"/>
          </w:tcPr>
          <w:p>
            <w:pPr>
              <w:jc w:val="center"/>
              <w:ind w:left="42"/>
              <w:spacing w:after="0"/>
              <w:rPr>
                <w:sz w:val="20"/>
                <w:szCs w:val="20"/>
                <w:color w:val="auto"/>
              </w:rPr>
            </w:pPr>
            <w:r>
              <w:rPr>
                <w:rFonts w:ascii="Times New Roman" w:cs="Times New Roman" w:eastAsia="Times New Roman" w:hAnsi="Times New Roman"/>
                <w:sz w:val="16"/>
                <w:szCs w:val="16"/>
                <w:color w:val="auto"/>
                <w:w w:val="99"/>
              </w:rPr>
              <w:t>5.8</w:t>
            </w:r>
          </w:p>
        </w:tc>
        <w:tc>
          <w:tcPr>
            <w:tcW w:w="0" w:type="dxa"/>
            <w:vAlign w:val="bottom"/>
          </w:tcPr>
          <w:p>
            <w:pPr>
              <w:spacing w:after="0"/>
              <w:rPr>
                <w:sz w:val="1"/>
                <w:szCs w:val="1"/>
                <w:color w:val="auto"/>
              </w:rPr>
            </w:pPr>
          </w:p>
        </w:tc>
      </w:tr>
      <w:tr>
        <w:trPr>
          <w:trHeight w:val="199"/>
        </w:trPr>
        <w:tc>
          <w:tcPr>
            <w:tcW w:w="490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8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2040" w:type="dxa"/>
            <w:vAlign w:val="bottom"/>
            <w:tcBorders>
              <w:bottom w:val="single" w:sz="8" w:color="CCEEFF"/>
            </w:tcBorders>
            <w:gridSpan w:val="2"/>
          </w:tcPr>
          <w:p>
            <w:pPr>
              <w:jc w:val="center"/>
              <w:ind w:left="42"/>
              <w:spacing w:after="0"/>
              <w:rPr>
                <w:sz w:val="20"/>
                <w:szCs w:val="20"/>
                <w:color w:val="auto"/>
              </w:rPr>
            </w:pPr>
            <w:r>
              <w:rPr>
                <w:rFonts w:ascii="Times New Roman" w:cs="Times New Roman" w:eastAsia="Times New Roman" w:hAnsi="Times New Roman"/>
                <w:sz w:val="16"/>
                <w:szCs w:val="16"/>
                <w:color w:val="auto"/>
                <w:w w:val="99"/>
              </w:rPr>
              <w:t>2.0</w:t>
            </w:r>
          </w:p>
        </w:tc>
        <w:tc>
          <w:tcPr>
            <w:tcW w:w="0" w:type="dxa"/>
            <w:vAlign w:val="bottom"/>
          </w:tcPr>
          <w:p>
            <w:pPr>
              <w:spacing w:after="0"/>
              <w:rPr>
                <w:sz w:val="1"/>
                <w:szCs w:val="1"/>
                <w:color w:val="auto"/>
              </w:rPr>
            </w:pPr>
          </w:p>
        </w:tc>
      </w:tr>
      <w:tr>
        <w:trPr>
          <w:trHeight w:val="190"/>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Finite-lived intangible assets, net</w:t>
            </w:r>
          </w:p>
        </w:tc>
        <w:tc>
          <w:tcPr>
            <w:tcW w:w="8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29,007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14,960</w:t>
            </w:r>
          </w:p>
        </w:tc>
        <w:tc>
          <w:tcPr>
            <w:tcW w:w="12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4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Indefinite-lived intangible assets:</w:t>
            </w:r>
          </w:p>
        </w:tc>
        <w:tc>
          <w:tcPr>
            <w:tcW w:w="8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Internet domain names</w:t>
            </w:r>
          </w:p>
        </w:tc>
        <w:tc>
          <w:tcPr>
            <w:tcW w:w="8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Indefinite-lived intangible assets, net</w:t>
            </w:r>
          </w:p>
        </w:tc>
        <w:tc>
          <w:tcPr>
            <w:tcW w:w="800" w:type="dxa"/>
            <w:vAlign w:val="bottom"/>
            <w:tcBorders>
              <w:top w:val="single" w:sz="8" w:color="auto"/>
              <w:bottom w:val="single" w:sz="8" w:color="auto"/>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12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Intangible assets, net</w:t>
            </w:r>
          </w:p>
        </w:tc>
        <w:tc>
          <w:tcPr>
            <w:tcW w:w="800" w:type="dxa"/>
            <w:vAlign w:val="bottom"/>
            <w:tcBorders>
              <w:bottom w:val="single" w:sz="8" w:color="auto"/>
            </w:tcBorders>
          </w:tcPr>
          <w:p>
            <w:pPr>
              <w:jc w:val="right"/>
              <w:ind w:right="647"/>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30,094</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(14,047)</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16,047</w:t>
            </w: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6" w:right="20"/>
        <w:spacing w:after="0" w:line="256" w:lineRule="auto"/>
        <w:rPr>
          <w:sz w:val="20"/>
          <w:szCs w:val="20"/>
          <w:color w:val="auto"/>
        </w:rPr>
      </w:pPr>
      <w:r>
        <w:rPr>
          <w:rFonts w:ascii="Times New Roman" w:cs="Times New Roman" w:eastAsia="Times New Roman" w:hAnsi="Times New Roman"/>
          <w:sz w:val="16"/>
          <w:szCs w:val="16"/>
          <w:color w:val="auto"/>
        </w:rPr>
        <w:t>We recorded amortization expense related to finite-lived intangible assets of $3,554, $2,760 and $2,245 for the years ended December 31, 2023, 2022 and 2021, respectively, within depreciation and amortization in the accompanying consolidated statement of operations. These amounts include amortization of capitalized software development costs of $737, $514 and $410 for the years ended December 31, 2023, 2022 and 2021, respectively.</w:t>
      </w:r>
    </w:p>
    <w:p>
      <w:pPr>
        <w:spacing w:after="0" w:line="113" w:lineRule="exact"/>
        <w:rPr>
          <w:sz w:val="20"/>
          <w:szCs w:val="20"/>
          <w:color w:val="auto"/>
        </w:rPr>
      </w:pPr>
    </w:p>
    <w:p>
      <w:pPr>
        <w:ind w:left="6" w:right="400"/>
        <w:spacing w:after="0" w:line="268" w:lineRule="auto"/>
        <w:rPr>
          <w:sz w:val="20"/>
          <w:szCs w:val="20"/>
          <w:color w:val="auto"/>
        </w:rPr>
      </w:pPr>
      <w:r>
        <w:rPr>
          <w:rFonts w:ascii="Times New Roman" w:cs="Times New Roman" w:eastAsia="Times New Roman" w:hAnsi="Times New Roman"/>
          <w:sz w:val="16"/>
          <w:szCs w:val="16"/>
          <w:color w:val="auto"/>
        </w:rPr>
        <w:t>We recorded additions to capitalized software development costs of $1,712, $135 and $370 for the years ended December 31, 2023, 2022 and 2021, respectively. This amount includes acquired software of $0, $0 and $247 for the years ended December 31, 2023, 2022 and 2021, respectively.</w:t>
      </w:r>
    </w:p>
    <w:p>
      <w:pPr>
        <w:spacing w:after="0" w:line="104" w:lineRule="exact"/>
        <w:rPr>
          <w:sz w:val="20"/>
          <w:szCs w:val="20"/>
          <w:color w:val="auto"/>
        </w:rPr>
      </w:pPr>
    </w:p>
    <w:tbl>
      <w:tblPr>
        <w:tblLayout w:type="fixed"/>
        <w:tblInd w:w="6" w:type="dxa"/>
        <w:tblCellMar>
          <w:top w:w="0" w:type="dxa"/>
          <w:left w:w="0" w:type="dxa"/>
          <w:bottom w:w="0" w:type="dxa"/>
          <w:right w:w="0" w:type="dxa"/>
        </w:tblCellMar>
      </w:tblPr>
      <w:tr>
        <w:trPr>
          <w:trHeight w:val="203"/>
        </w:trPr>
        <w:tc>
          <w:tcPr>
            <w:tcW w:w="9680" w:type="dxa"/>
            <w:vAlign w:val="bottom"/>
          </w:tcPr>
          <w:p>
            <w:pPr>
              <w:spacing w:after="0"/>
              <w:rPr>
                <w:sz w:val="20"/>
                <w:szCs w:val="20"/>
                <w:color w:val="auto"/>
              </w:rPr>
            </w:pPr>
            <w:r>
              <w:rPr>
                <w:rFonts w:ascii="Times New Roman" w:cs="Times New Roman" w:eastAsia="Times New Roman" w:hAnsi="Times New Roman"/>
                <w:sz w:val="16"/>
                <w:szCs w:val="16"/>
                <w:color w:val="auto"/>
              </w:rPr>
              <w:t>As of December 31, 2023, the total expected future amortization expense for finite-lived intangible assets is as follows:</w:t>
            </w: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64"/>
        </w:trPr>
        <w:tc>
          <w:tcPr>
            <w:tcW w:w="9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99"/>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640" w:type="dxa"/>
            <w:vAlign w:val="bottom"/>
            <w:shd w:val="clear" w:color="auto" w:fill="CCEEFF"/>
          </w:tcPr>
          <w:p>
            <w:pPr>
              <w:jc w:val="right"/>
              <w:ind w:right="46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2,330</w:t>
            </w:r>
          </w:p>
        </w:tc>
      </w:tr>
      <w:tr>
        <w:trPr>
          <w:trHeight w:val="199"/>
        </w:trPr>
        <w:tc>
          <w:tcPr>
            <w:tcW w:w="968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6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1,484</w:t>
            </w:r>
          </w:p>
        </w:tc>
      </w:tr>
      <w:tr>
        <w:trPr>
          <w:trHeight w:val="199"/>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6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w:t>
            </w:r>
          </w:p>
        </w:tc>
      </w:tr>
      <w:tr>
        <w:trPr>
          <w:trHeight w:val="199"/>
        </w:trPr>
        <w:tc>
          <w:tcPr>
            <w:tcW w:w="968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6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199"/>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6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199"/>
        </w:trPr>
        <w:tc>
          <w:tcPr>
            <w:tcW w:w="9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Thereafter</w:t>
            </w:r>
          </w:p>
        </w:tc>
        <w:tc>
          <w:tcPr>
            <w:tcW w:w="6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15"/>
        </w:trPr>
        <w:tc>
          <w:tcPr>
            <w:tcW w:w="9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Finite-lived intangible assets, net</w:t>
            </w:r>
          </w:p>
        </w:tc>
        <w:tc>
          <w:tcPr>
            <w:tcW w:w="640" w:type="dxa"/>
            <w:vAlign w:val="bottom"/>
            <w:tcBorders>
              <w:bottom w:val="single" w:sz="8" w:color="auto"/>
            </w:tcBorders>
            <w:shd w:val="clear" w:color="auto" w:fill="CCEEFF"/>
          </w:tcPr>
          <w:p>
            <w:pPr>
              <w:jc w:val="right"/>
              <w:ind w:right="46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5,168</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3" w:lineRule="exact"/>
        <w:rPr>
          <w:sz w:val="20"/>
          <w:szCs w:val="20"/>
          <w:color w:val="auto"/>
        </w:rPr>
      </w:pPr>
    </w:p>
    <w:p>
      <w:pPr>
        <w:ind w:left="566" w:hanging="566"/>
        <w:spacing w:after="0"/>
        <w:tabs>
          <w:tab w:leader="none" w:pos="566" w:val="left"/>
        </w:tabs>
        <w:numPr>
          <w:ilvl w:val="0"/>
          <w:numId w:val="3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Fair Value Measurements</w:t>
      </w:r>
    </w:p>
    <w:p>
      <w:pPr>
        <w:spacing w:after="0" w:line="14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The following tables summarize our financial assets and liabilities measured at fair value on a recurring basis by level within the fair value hierarchy as of the dates indicated:</w:t>
      </w:r>
    </w:p>
    <w:p>
      <w:pPr>
        <w:spacing w:after="0" w:line="173" w:lineRule="exact"/>
        <w:rPr>
          <w:sz w:val="20"/>
          <w:szCs w:val="20"/>
          <w:color w:val="auto"/>
        </w:rPr>
      </w:pPr>
    </w:p>
    <w:tbl>
      <w:tblPr>
        <w:tblLayout w:type="fixed"/>
        <w:tblInd w:w="6" w:type="dxa"/>
        <w:tblCellMar>
          <w:top w:w="0" w:type="dxa"/>
          <w:left w:w="0" w:type="dxa"/>
          <w:bottom w:w="0" w:type="dxa"/>
          <w:right w:w="0" w:type="dxa"/>
        </w:tblCellMar>
      </w:tblPr>
      <w:tr>
        <w:trPr>
          <w:trHeight w:val="165"/>
        </w:trPr>
        <w:tc>
          <w:tcPr>
            <w:tcW w:w="5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gridSpan w:val="3"/>
          </w:tcPr>
          <w:p>
            <w:pPr>
              <w:ind w:left="68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0"/>
        </w:trPr>
        <w:tc>
          <w:tcPr>
            <w:tcW w:w="5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62"/>
        </w:trPr>
        <w:tc>
          <w:tcPr>
            <w:tcW w:w="5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320" w:type="dxa"/>
            <w:vAlign w:val="bottom"/>
          </w:tcPr>
          <w:p>
            <w:pPr>
              <w:spacing w:after="0"/>
              <w:rPr>
                <w:sz w:val="14"/>
                <w:szCs w:val="14"/>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48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120" w:type="dxa"/>
            <w:vAlign w:val="bottom"/>
          </w:tcPr>
          <w:p>
            <w:pPr>
              <w:spacing w:after="0"/>
              <w:rPr>
                <w:sz w:val="14"/>
                <w:szCs w:val="14"/>
                <w:color w:val="auto"/>
              </w:rPr>
            </w:pPr>
          </w:p>
        </w:tc>
        <w:tc>
          <w:tcPr>
            <w:tcW w:w="1320" w:type="dxa"/>
            <w:vAlign w:val="bottom"/>
          </w:tcPr>
          <w:p>
            <w:pPr>
              <w:jc w:val="right"/>
              <w:ind w:right="85"/>
              <w:spacing w:after="0"/>
              <w:rPr>
                <w:sz w:val="20"/>
                <w:szCs w:val="20"/>
                <w:color w:val="auto"/>
              </w:rPr>
            </w:pPr>
            <w:r>
              <w:rPr>
                <w:rFonts w:ascii="Times New Roman" w:cs="Times New Roman" w:eastAsia="Times New Roman" w:hAnsi="Times New Roman"/>
                <w:sz w:val="12"/>
                <w:szCs w:val="12"/>
                <w:b w:val="1"/>
                <w:bCs w:val="1"/>
                <w:color w:val="auto"/>
              </w:rPr>
              <w:t>Aggregate Fair Value</w:t>
            </w:r>
          </w:p>
        </w:tc>
      </w:tr>
      <w:tr>
        <w:trPr>
          <w:trHeight w:val="184"/>
        </w:trPr>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r>
      <w:tr>
        <w:trPr>
          <w:trHeight w:val="199"/>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Money market funds</w:t>
            </w: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121,345</w:t>
            </w:r>
          </w:p>
        </w:tc>
        <w:tc>
          <w:tcPr>
            <w:tcW w:w="100" w:type="dxa"/>
            <w:vAlign w:val="bottom"/>
          </w:tcPr>
          <w:p>
            <w:pPr>
              <w:spacing w:after="0"/>
              <w:rPr>
                <w:sz w:val="17"/>
                <w:szCs w:val="17"/>
                <w:color w:val="auto"/>
              </w:rPr>
            </w:pPr>
          </w:p>
        </w:tc>
        <w:tc>
          <w:tcPr>
            <w:tcW w:w="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121,345</w:t>
            </w:r>
          </w:p>
        </w:tc>
      </w:tr>
      <w:tr>
        <w:trPr>
          <w:trHeight w:val="19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Contingent consideration receivable</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1,253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w:t>
            </w:r>
          </w:p>
        </w:tc>
      </w:tr>
      <w:tr>
        <w:trPr>
          <w:trHeight w:val="190"/>
        </w:trPr>
        <w:tc>
          <w:tcPr>
            <w:tcW w:w="51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assets</w:t>
            </w:r>
          </w:p>
        </w:tc>
        <w:tc>
          <w:tcPr>
            <w:tcW w:w="3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121,345</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1,253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122,598</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62"/>
        </w:trPr>
        <w:tc>
          <w:tcPr>
            <w:tcW w:w="518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r>
      <w:tr>
        <w:trPr>
          <w:trHeight w:val="199"/>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Profits interests, noncurrent</w:t>
            </w:r>
          </w:p>
        </w:tc>
        <w:tc>
          <w:tcPr>
            <w:tcW w:w="3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746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w:t>
            </w:r>
          </w:p>
        </w:tc>
      </w:tr>
      <w:tr>
        <w:trPr>
          <w:trHeight w:val="215"/>
        </w:trPr>
        <w:tc>
          <w:tcPr>
            <w:tcW w:w="51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liabilities</w:t>
            </w:r>
          </w:p>
        </w:tc>
        <w:tc>
          <w:tcPr>
            <w:tcW w:w="32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746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176135" cy="400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6"/>
          </w:cols>
          <w:pgMar w:left="314" w:top="121" w:right="31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6"/>
          <w:szCs w:val="16"/>
          <w:b w:val="1"/>
          <w:bCs w:val="1"/>
          <w:color w:val="auto"/>
        </w:rPr>
        <w:t>MARKETWISE,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(Dollar amounts in thousands, except share, unit, per share, and per unit data)</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518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Level 1</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Level 2</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Level 3</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2"/>
                <w:szCs w:val="12"/>
                <w:b w:val="1"/>
                <w:bCs w:val="1"/>
                <w:color w:val="auto"/>
              </w:rPr>
              <w:t>Aggregate Fair Value</w:t>
            </w:r>
          </w:p>
        </w:tc>
        <w:tc>
          <w:tcPr>
            <w:tcW w:w="0" w:type="dxa"/>
            <w:vAlign w:val="bottom"/>
          </w:tcPr>
          <w:p>
            <w:pPr>
              <w:spacing w:after="0"/>
              <w:rPr>
                <w:sz w:val="1"/>
                <w:szCs w:val="1"/>
                <w:color w:val="auto"/>
              </w:rPr>
            </w:pPr>
          </w:p>
        </w:tc>
      </w:tr>
      <w:tr>
        <w:trPr>
          <w:trHeight w:val="184"/>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1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Money market funds</w:t>
            </w:r>
          </w:p>
        </w:tc>
        <w:tc>
          <w:tcPr>
            <w:tcW w:w="940" w:type="dxa"/>
            <w:vAlign w:val="bottom"/>
          </w:tcPr>
          <w:p>
            <w:pPr>
              <w:jc w:val="right"/>
              <w:ind w:right="767"/>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80,327</w:t>
            </w:r>
          </w:p>
        </w:tc>
        <w:tc>
          <w:tcPr>
            <w:tcW w:w="100" w:type="dxa"/>
            <w:vAlign w:val="bottom"/>
          </w:tcPr>
          <w:p>
            <w:pPr>
              <w:spacing w:after="0"/>
              <w:rPr>
                <w:sz w:val="17"/>
                <w:szCs w:val="17"/>
                <w:color w:val="auto"/>
              </w:rPr>
            </w:pPr>
          </w:p>
        </w:tc>
        <w:tc>
          <w:tcPr>
            <w:tcW w:w="960" w:type="dxa"/>
            <w:vAlign w:val="bottom"/>
          </w:tcPr>
          <w:p>
            <w:pPr>
              <w:jc w:val="right"/>
              <w:ind w:right="787"/>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807"/>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80,327</w:t>
            </w:r>
          </w:p>
        </w:tc>
        <w:tc>
          <w:tcPr>
            <w:tcW w:w="0" w:type="dxa"/>
            <w:vAlign w:val="bottom"/>
          </w:tcPr>
          <w:p>
            <w:pPr>
              <w:spacing w:after="0"/>
              <w:rPr>
                <w:sz w:val="1"/>
                <w:szCs w:val="1"/>
                <w:color w:val="auto"/>
              </w:rPr>
            </w:pPr>
          </w:p>
        </w:tc>
      </w:tr>
      <w:tr>
        <w:trPr>
          <w:trHeight w:val="215"/>
        </w:trPr>
        <w:tc>
          <w:tcPr>
            <w:tcW w:w="518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assets</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80,327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80,327</w:t>
            </w: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spacing w:after="0" w:line="182"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18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5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Derivative liabilities, noncurrent</w:t>
            </w:r>
          </w:p>
        </w:tc>
        <w:tc>
          <w:tcPr>
            <w:tcW w:w="9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1,281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0" w:type="dxa"/>
            <w:vAlign w:val="bottom"/>
          </w:tcPr>
          <w:p>
            <w:pPr>
              <w:spacing w:after="0"/>
              <w:rPr>
                <w:sz w:val="1"/>
                <w:szCs w:val="1"/>
                <w:color w:val="auto"/>
              </w:rPr>
            </w:pPr>
          </w:p>
        </w:tc>
      </w:tr>
      <w:tr>
        <w:trPr>
          <w:trHeight w:val="190"/>
        </w:trPr>
        <w:tc>
          <w:tcPr>
            <w:tcW w:w="51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liabilities</w:t>
            </w:r>
          </w:p>
        </w:tc>
        <w:tc>
          <w:tcPr>
            <w:tcW w:w="940" w:type="dxa"/>
            <w:vAlign w:val="bottom"/>
            <w:tcBorders>
              <w:top w:val="single" w:sz="8" w:color="auto"/>
              <w:bottom w:val="single" w:sz="8" w:color="auto"/>
            </w:tcBorders>
          </w:tcPr>
          <w:p>
            <w:pPr>
              <w:jc w:val="right"/>
              <w:ind w:right="767"/>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ind w:right="787"/>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ind w:right="807"/>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1,281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right="160"/>
        <w:spacing w:after="0" w:line="341" w:lineRule="auto"/>
        <w:rPr>
          <w:sz w:val="20"/>
          <w:szCs w:val="20"/>
          <w:color w:val="auto"/>
        </w:rPr>
      </w:pPr>
      <w:r>
        <w:rPr>
          <w:rFonts w:ascii="Times New Roman" w:cs="Times New Roman" w:eastAsia="Times New Roman" w:hAnsi="Times New Roman"/>
          <w:sz w:val="14"/>
          <w:szCs w:val="14"/>
          <w:color w:val="auto"/>
        </w:rPr>
        <w:t xml:space="preserve">The level 3 assets relate to contingent consideration receivable associated with the Buttonwood Publishing sale, and the level 3 liabilities relate to certain employee contracts with embedded derivatives, and profits interests. See </w:t>
      </w:r>
      <w:r>
        <w:rPr>
          <w:rFonts w:ascii="Times New Roman" w:cs="Times New Roman" w:eastAsia="Times New Roman" w:hAnsi="Times New Roman"/>
          <w:sz w:val="14"/>
          <w:szCs w:val="14"/>
          <w:i w:val="1"/>
          <w:iCs w:val="1"/>
          <w:color w:val="auto"/>
        </w:rPr>
        <w:t>Note 4 – Acquisitions and Disposals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Note 8 – Derivative Financial Instruments</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i w:val="1"/>
          <w:iCs w:val="1"/>
          <w:color w:val="auto"/>
        </w:rPr>
        <w:t>Note 11 – Stock-Based Compensation</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6"/>
          <w:szCs w:val="16"/>
          <w:b w:val="1"/>
          <w:bCs w:val="1"/>
          <w:color w:val="auto"/>
        </w:rPr>
        <w:t>MARKETWISE,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(Dollar amounts in thousands, except share, unit, per share, and per unit data)</w:t>
      </w:r>
    </w:p>
    <w:p>
      <w:pPr>
        <w:spacing w:after="0" w:line="200" w:lineRule="exact"/>
        <w:rPr>
          <w:sz w:val="20"/>
          <w:szCs w:val="20"/>
          <w:color w:val="auto"/>
        </w:rPr>
      </w:pPr>
    </w:p>
    <w:p>
      <w:pPr>
        <w:spacing w:after="0" w:line="349" w:lineRule="exact"/>
        <w:rPr>
          <w:sz w:val="20"/>
          <w:szCs w:val="20"/>
          <w:color w:val="auto"/>
        </w:rPr>
      </w:pPr>
    </w:p>
    <w:p>
      <w:pPr>
        <w:ind w:right="160"/>
        <w:spacing w:after="0" w:line="263" w:lineRule="auto"/>
        <w:rPr>
          <w:sz w:val="20"/>
          <w:szCs w:val="20"/>
          <w:color w:val="auto"/>
        </w:rPr>
      </w:pPr>
      <w:r>
        <w:rPr>
          <w:rFonts w:ascii="Times New Roman" w:cs="Times New Roman" w:eastAsia="Times New Roman" w:hAnsi="Times New Roman"/>
          <w:sz w:val="16"/>
          <w:szCs w:val="16"/>
          <w:color w:val="auto"/>
        </w:rPr>
        <w:t>The following table provides quantitative information regarding the recurring Level 3 fair value measurements inputs for the contingent consideration receivable, profits interests, and derivative liabilities at their measurement dates: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340" w:type="dxa"/>
            <w:vAlign w:val="bottom"/>
          </w:tcPr>
          <w:p>
            <w:pPr>
              <w:spacing w:after="0"/>
              <w:rPr>
                <w:sz w:val="14"/>
                <w:szCs w:val="14"/>
                <w:color w:val="auto"/>
              </w:rPr>
            </w:pPr>
          </w:p>
        </w:tc>
        <w:tc>
          <w:tcPr>
            <w:tcW w:w="1920" w:type="dxa"/>
            <w:vAlign w:val="bottom"/>
          </w:tcPr>
          <w:p>
            <w:pPr>
              <w:jc w:val="right"/>
              <w:ind w:right="745"/>
              <w:spacing w:after="0"/>
              <w:rPr>
                <w:sz w:val="20"/>
                <w:szCs w:val="20"/>
                <w:color w:val="auto"/>
              </w:rPr>
            </w:pPr>
            <w:r>
              <w:rPr>
                <w:rFonts w:ascii="Times New Roman" w:cs="Times New Roman" w:eastAsia="Times New Roman" w:hAnsi="Times New Roman"/>
                <w:sz w:val="12"/>
                <w:szCs w:val="12"/>
                <w:b w:val="1"/>
                <w:bCs w:val="1"/>
                <w:color w:val="auto"/>
              </w:rPr>
              <w:t>As of</w:t>
            </w:r>
          </w:p>
        </w:tc>
      </w:tr>
      <w:tr>
        <w:trPr>
          <w:trHeight w:val="175"/>
        </w:trPr>
        <w:tc>
          <w:tcPr>
            <w:tcW w:w="9340" w:type="dxa"/>
            <w:vAlign w:val="bottom"/>
          </w:tcPr>
          <w:p>
            <w:pPr>
              <w:spacing w:after="0"/>
              <w:rPr>
                <w:sz w:val="15"/>
                <w:szCs w:val="15"/>
                <w:color w:val="auto"/>
              </w:rPr>
            </w:pPr>
          </w:p>
        </w:tc>
        <w:tc>
          <w:tcPr>
            <w:tcW w:w="1920" w:type="dxa"/>
            <w:vAlign w:val="bottom"/>
          </w:tcPr>
          <w:p>
            <w:pPr>
              <w:jc w:val="right"/>
              <w:ind w:right="385"/>
              <w:spacing w:after="0"/>
              <w:rPr>
                <w:sz w:val="20"/>
                <w:szCs w:val="20"/>
                <w:color w:val="auto"/>
              </w:rPr>
            </w:pPr>
            <w:r>
              <w:rPr>
                <w:rFonts w:ascii="Times New Roman" w:cs="Times New Roman" w:eastAsia="Times New Roman" w:hAnsi="Times New Roman"/>
                <w:sz w:val="12"/>
                <w:szCs w:val="12"/>
                <w:b w:val="1"/>
                <w:bCs w:val="1"/>
                <w:color w:val="auto"/>
              </w:rPr>
              <w:t>December 31, 2023</w:t>
            </w:r>
          </w:p>
        </w:tc>
      </w:tr>
      <w:tr>
        <w:trPr>
          <w:trHeight w:val="20"/>
        </w:trPr>
        <w:tc>
          <w:tcPr>
            <w:tcW w:w="934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r>
        <w:trPr>
          <w:trHeight w:val="179"/>
        </w:trPr>
        <w:tc>
          <w:tcPr>
            <w:tcW w:w="934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6"/>
                <w:szCs w:val="16"/>
                <w:b w:val="1"/>
                <w:bCs w:val="1"/>
                <w:color w:val="auto"/>
              </w:rPr>
              <w:t>Contingent consideration receivable</w:t>
            </w:r>
          </w:p>
        </w:tc>
        <w:tc>
          <w:tcPr>
            <w:tcW w:w="1920" w:type="dxa"/>
            <w:vAlign w:val="bottom"/>
            <w:shd w:val="clear" w:color="auto" w:fill="CCEEFF"/>
          </w:tcPr>
          <w:p>
            <w:pPr>
              <w:spacing w:after="0"/>
              <w:rPr>
                <w:sz w:val="15"/>
                <w:szCs w:val="15"/>
                <w:color w:val="auto"/>
              </w:rPr>
            </w:pPr>
          </w:p>
        </w:tc>
      </w:tr>
      <w:tr>
        <w:trPr>
          <w:trHeight w:val="199"/>
        </w:trPr>
        <w:tc>
          <w:tcPr>
            <w:tcW w:w="9340" w:type="dxa"/>
            <w:vAlign w:val="bottom"/>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27.40 %</w:t>
            </w:r>
          </w:p>
        </w:tc>
      </w:tr>
      <w:tr>
        <w:trPr>
          <w:trHeight w:val="199"/>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 discount rate</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5.80 %</w:t>
            </w:r>
          </w:p>
        </w:tc>
      </w:tr>
      <w:tr>
        <w:trPr>
          <w:trHeight w:val="222"/>
        </w:trPr>
        <w:tc>
          <w:tcPr>
            <w:tcW w:w="93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199"/>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Profits interests</w:t>
            </w:r>
          </w:p>
        </w:tc>
        <w:tc>
          <w:tcPr>
            <w:tcW w:w="1920" w:type="dxa"/>
            <w:vAlign w:val="bottom"/>
            <w:shd w:val="clear" w:color="auto" w:fill="CCEEFF"/>
          </w:tcPr>
          <w:p>
            <w:pPr>
              <w:spacing w:after="0"/>
              <w:rPr>
                <w:sz w:val="17"/>
                <w:szCs w:val="17"/>
                <w:color w:val="auto"/>
              </w:rPr>
            </w:pPr>
          </w:p>
        </w:tc>
      </w:tr>
      <w:tr>
        <w:trPr>
          <w:trHeight w:val="199"/>
        </w:trPr>
        <w:tc>
          <w:tcPr>
            <w:tcW w:w="9340" w:type="dxa"/>
            <w:vAlign w:val="bottom"/>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25.00 %</w:t>
            </w:r>
          </w:p>
        </w:tc>
      </w:tr>
      <w:tr>
        <w:trPr>
          <w:trHeight w:val="199"/>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Discount for lack of marketability</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30.50 %</w:t>
            </w:r>
          </w:p>
        </w:tc>
      </w:tr>
      <w:tr>
        <w:trPr>
          <w:trHeight w:val="222"/>
        </w:trPr>
        <w:tc>
          <w:tcPr>
            <w:tcW w:w="93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199"/>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Derivative liabilities</w:t>
            </w:r>
          </w:p>
        </w:tc>
        <w:tc>
          <w:tcPr>
            <w:tcW w:w="1920" w:type="dxa"/>
            <w:vAlign w:val="bottom"/>
            <w:shd w:val="clear" w:color="auto" w:fill="CCEEFF"/>
          </w:tcPr>
          <w:p>
            <w:pPr>
              <w:spacing w:after="0"/>
              <w:rPr>
                <w:sz w:val="17"/>
                <w:szCs w:val="17"/>
                <w:color w:val="auto"/>
              </w:rPr>
            </w:pPr>
          </w:p>
        </w:tc>
      </w:tr>
      <w:tr>
        <w:trPr>
          <w:trHeight w:val="199"/>
        </w:trPr>
        <w:tc>
          <w:tcPr>
            <w:tcW w:w="9340" w:type="dxa"/>
            <w:vAlign w:val="bottom"/>
          </w:tcPr>
          <w:p>
            <w:pPr>
              <w:spacing w:after="0"/>
              <w:rPr>
                <w:sz w:val="20"/>
                <w:szCs w:val="20"/>
                <w:color w:val="auto"/>
              </w:rPr>
            </w:pPr>
            <w:r>
              <w:rPr>
                <w:rFonts w:ascii="Times New Roman" w:cs="Times New Roman" w:eastAsia="Times New Roman" w:hAnsi="Times New Roman"/>
                <w:sz w:val="16"/>
                <w:szCs w:val="16"/>
                <w:color w:val="auto"/>
              </w:rPr>
              <w:t>Volatility</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39.40 %</w:t>
            </w:r>
          </w:p>
        </w:tc>
      </w:tr>
      <w:tr>
        <w:trPr>
          <w:trHeight w:val="199"/>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Discount Rate</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23.00 %</w:t>
            </w:r>
          </w:p>
        </w:tc>
      </w:tr>
      <w:tr>
        <w:trPr>
          <w:trHeight w:val="199"/>
        </w:trPr>
        <w:tc>
          <w:tcPr>
            <w:tcW w:w="9340" w:type="dxa"/>
            <w:vAlign w:val="bottom"/>
          </w:tcPr>
          <w:p>
            <w:pPr>
              <w:spacing w:after="0"/>
              <w:rPr>
                <w:sz w:val="20"/>
                <w:szCs w:val="20"/>
                <w:color w:val="auto"/>
              </w:rPr>
            </w:pPr>
            <w:r>
              <w:rPr>
                <w:rFonts w:ascii="Times New Roman" w:cs="Times New Roman" w:eastAsia="Times New Roman" w:hAnsi="Times New Roman"/>
                <w:sz w:val="16"/>
                <w:szCs w:val="16"/>
                <w:color w:val="auto"/>
              </w:rPr>
              <w:t>Credit spread</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1.50 %</w:t>
            </w:r>
          </w:p>
        </w:tc>
      </w:tr>
      <w:tr>
        <w:trPr>
          <w:trHeight w:val="199"/>
        </w:trPr>
        <w:tc>
          <w:tcPr>
            <w:tcW w:w="9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Risk-free rate</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4.20 %</w:t>
            </w:r>
          </w:p>
        </w:tc>
      </w:tr>
    </w:tbl>
    <w:p>
      <w:pPr>
        <w:spacing w:after="0" w:line="206"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6"/>
          <w:szCs w:val="16"/>
          <w:color w:val="auto"/>
        </w:rPr>
        <w:t xml:space="preserve">During the three months ended September 30, 2023, the Company determined that impairment indicators were present due to continuing losses with respect to its Buttonwood Publishing business which it had acquired during 2022. As a result, the Company recorded an impairment loss on Buttonwood Publishing’s intangible assets totaling $584. The Company used a with and without method to determine the fair value of the customer relationships and a relief from royalty method to determine the fair value of the tradenames. The key input for these nonrecurring Level 3 fair value measurements was the 22.8% discount rate. Additional impairments were recorded in December 2023, as further described in </w:t>
      </w:r>
      <w:r>
        <w:rPr>
          <w:rFonts w:ascii="Times New Roman" w:cs="Times New Roman" w:eastAsia="Times New Roman" w:hAnsi="Times New Roman"/>
          <w:sz w:val="16"/>
          <w:szCs w:val="16"/>
          <w:i w:val="1"/>
          <w:iCs w:val="1"/>
          <w:color w:val="auto"/>
        </w:rPr>
        <w:t>Note 4 – Acquisitions and Disposals.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680" w:type="dxa"/>
            <w:vAlign w:val="bottom"/>
          </w:tcPr>
          <w:p>
            <w:pPr>
              <w:spacing w:after="0"/>
              <w:rPr>
                <w:sz w:val="20"/>
                <w:szCs w:val="20"/>
                <w:color w:val="auto"/>
              </w:rPr>
            </w:pPr>
            <w:r>
              <w:rPr>
                <w:rFonts w:ascii="Times New Roman" w:cs="Times New Roman" w:eastAsia="Times New Roman" w:hAnsi="Times New Roman"/>
                <w:sz w:val="16"/>
                <w:szCs w:val="16"/>
                <w:color w:val="auto"/>
              </w:rPr>
              <w:t>The following table summarizes the change in fair value of the derivative liabilities during the years ended December 31, 2021, 2022, and 2023:</w:t>
            </w: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64"/>
        </w:trPr>
        <w:tc>
          <w:tcPr>
            <w:tcW w:w="9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4"/>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 January 1, 2021</w:t>
            </w:r>
          </w:p>
        </w:tc>
        <w:tc>
          <w:tcPr>
            <w:tcW w:w="460" w:type="dxa"/>
            <w:vAlign w:val="bottom"/>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597,578</w:t>
            </w:r>
          </w:p>
        </w:tc>
      </w:tr>
      <w:tr>
        <w:trPr>
          <w:trHeight w:val="199"/>
        </w:trPr>
        <w:tc>
          <w:tcPr>
            <w:tcW w:w="9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Incremental Class B Units</w:t>
            </w:r>
          </w:p>
        </w:tc>
        <w:tc>
          <w:tcPr>
            <w:tcW w:w="4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206,914</w:t>
            </w:r>
          </w:p>
        </w:tc>
      </w:tr>
      <w:tr>
        <w:trPr>
          <w:trHeight w:val="199"/>
        </w:trPr>
        <w:tc>
          <w:tcPr>
            <w:tcW w:w="9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Establishment of warrant liabilities on July 21, 2021 (date of the Transactions)</w:t>
            </w: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45,021</w:t>
            </w:r>
          </w:p>
        </w:tc>
      </w:tr>
      <w:tr>
        <w:trPr>
          <w:trHeight w:val="199"/>
        </w:trPr>
        <w:tc>
          <w:tcPr>
            <w:tcW w:w="9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derivative instruments</w:t>
            </w:r>
          </w:p>
        </w:tc>
        <w:tc>
          <w:tcPr>
            <w:tcW w:w="4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(18,017)</w:t>
            </w:r>
          </w:p>
        </w:tc>
      </w:tr>
      <w:tr>
        <w:trPr>
          <w:trHeight w:val="199"/>
        </w:trPr>
        <w:tc>
          <w:tcPr>
            <w:tcW w:w="9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Class B Units</w:t>
            </w: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728,079</w:t>
            </w:r>
          </w:p>
        </w:tc>
      </w:tr>
      <w:tr>
        <w:trPr>
          <w:trHeight w:val="199"/>
        </w:trPr>
        <w:tc>
          <w:tcPr>
            <w:tcW w:w="9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Reclassification of Class B Units from liability to equity on July 21, 2021 (date of the Transactions)</w:t>
            </w: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(1,528,228)</w:t>
            </w:r>
          </w:p>
        </w:tc>
      </w:tr>
      <w:tr>
        <w:trPr>
          <w:trHeight w:val="214"/>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 December 31, 2021</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31,347</w:t>
            </w:r>
          </w:p>
        </w:tc>
      </w:tr>
      <w:tr>
        <w:trPr>
          <w:trHeight w:val="199"/>
        </w:trPr>
        <w:tc>
          <w:tcPr>
            <w:tcW w:w="9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derivative instruments</w:t>
            </w:r>
          </w:p>
        </w:tc>
        <w:tc>
          <w:tcPr>
            <w:tcW w:w="4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(15,665)</w:t>
            </w:r>
          </w:p>
        </w:tc>
      </w:tr>
      <w:tr>
        <w:trPr>
          <w:trHeight w:val="199"/>
        </w:trPr>
        <w:tc>
          <w:tcPr>
            <w:tcW w:w="9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Warrants exchanged for Class A common stock (see </w:t>
            </w:r>
            <w:r>
              <w:rPr>
                <w:rFonts w:ascii="Times New Roman" w:cs="Times New Roman" w:eastAsia="Times New Roman" w:hAnsi="Times New Roman"/>
                <w:sz w:val="16"/>
                <w:szCs w:val="16"/>
                <w:i w:val="1"/>
                <w:iCs w:val="1"/>
                <w:color w:val="auto"/>
              </w:rPr>
              <w:t>Note 17 – Warrant Exchange</w:t>
            </w:r>
            <w:r>
              <w:rPr>
                <w:rFonts w:ascii="Times New Roman" w:cs="Times New Roman" w:eastAsia="Times New Roman" w:hAnsi="Times New Roman"/>
                <w:sz w:val="16"/>
                <w:szCs w:val="16"/>
                <w:color w:val="auto"/>
              </w:rPr>
              <w:t>)</w:t>
            </w:r>
          </w:p>
        </w:tc>
        <w:tc>
          <w:tcPr>
            <w:tcW w:w="4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(14,401)</w:t>
            </w:r>
          </w:p>
        </w:tc>
      </w:tr>
      <w:tr>
        <w:trPr>
          <w:trHeight w:val="213"/>
        </w:trPr>
        <w:tc>
          <w:tcPr>
            <w:tcW w:w="9680" w:type="dxa"/>
            <w:vAlign w:val="bottom"/>
          </w:tcPr>
          <w:p>
            <w:pPr>
              <w:spacing w:after="0"/>
              <w:rPr>
                <w:sz w:val="20"/>
                <w:szCs w:val="20"/>
                <w:color w:val="auto"/>
              </w:rPr>
            </w:pPr>
            <w:r>
              <w:rPr>
                <w:rFonts w:ascii="Times New Roman" w:cs="Times New Roman" w:eastAsia="Times New Roman" w:hAnsi="Times New Roman"/>
                <w:sz w:val="16"/>
                <w:szCs w:val="16"/>
                <w:color w:val="auto"/>
              </w:rPr>
              <w:t>Balance – December 31, 2022</w:t>
            </w:r>
          </w:p>
        </w:tc>
        <w:tc>
          <w:tcPr>
            <w:tcW w:w="4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w:t>
            </w:r>
          </w:p>
        </w:tc>
      </w:tr>
      <w:tr>
        <w:trPr>
          <w:trHeight w:val="199"/>
        </w:trPr>
        <w:tc>
          <w:tcPr>
            <w:tcW w:w="9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fair value of derivative instruments</w:t>
            </w: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w:t>
            </w:r>
          </w:p>
        </w:tc>
      </w:tr>
      <w:tr>
        <w:trPr>
          <w:trHeight w:val="199"/>
        </w:trPr>
        <w:tc>
          <w:tcPr>
            <w:tcW w:w="9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Settlement of derivative instruments</w:t>
            </w:r>
          </w:p>
        </w:tc>
        <w:tc>
          <w:tcPr>
            <w:tcW w:w="4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(3,060)</w:t>
            </w:r>
          </w:p>
        </w:tc>
      </w:tr>
      <w:tr>
        <w:trPr>
          <w:trHeight w:val="215"/>
        </w:trPr>
        <w:tc>
          <w:tcPr>
            <w:tcW w:w="9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 December 31, 2023</w:t>
            </w:r>
          </w:p>
        </w:tc>
        <w:tc>
          <w:tcPr>
            <w:tcW w:w="460" w:type="dxa"/>
            <w:vAlign w:val="bottom"/>
            <w:tcBorders>
              <w:bottom w:val="single" w:sz="8" w:color="auto"/>
            </w:tcBorders>
            <w:shd w:val="clear" w:color="auto" w:fill="CCEEFF"/>
          </w:tcPr>
          <w:p>
            <w:pPr>
              <w:jc w:val="right"/>
              <w:ind w:right="282"/>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0" w:name="page101"/>
    <w:bookmarkEnd w:id="100"/>
    <w:p>
      <w:pPr>
        <w:jc w:val="center"/>
        <w:ind w:right="-45"/>
        <w:spacing w:after="0"/>
        <w:rPr>
          <w:sz w:val="20"/>
          <w:szCs w:val="20"/>
          <w:color w:val="auto"/>
        </w:rPr>
      </w:pPr>
      <w:r>
        <w:rPr>
          <w:rFonts w:ascii="Times New Roman" w:cs="Times New Roman" w:eastAsia="Times New Roman" w:hAnsi="Times New Roman"/>
          <w:sz w:val="16"/>
          <w:szCs w:val="16"/>
          <w:b w:val="1"/>
          <w:bCs w:val="1"/>
          <w:color w:val="auto"/>
        </w:rPr>
        <w:t>MARKETWISE, INC.</w:t>
      </w:r>
    </w:p>
    <w:p>
      <w:pPr>
        <w:spacing w:after="0" w:line="21"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3"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6"/>
          <w:szCs w:val="16"/>
          <w:i w:val="1"/>
          <w:iCs w:val="1"/>
          <w:color w:val="auto"/>
        </w:rPr>
        <w:t>(Dollar amounts in thousands, except share, unit, per share, and per unit data)</w:t>
      </w:r>
    </w:p>
    <w:p>
      <w:pPr>
        <w:spacing w:after="0" w:line="200" w:lineRule="exact"/>
        <w:rPr>
          <w:sz w:val="20"/>
          <w:szCs w:val="20"/>
          <w:color w:val="auto"/>
        </w:rPr>
      </w:pPr>
    </w:p>
    <w:p>
      <w:pPr>
        <w:spacing w:after="0" w:line="34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The following table summarizes the change in fair value of the Class B Units by income statement line item during the years ended December 31, 2023, 2022 and 2021:</w:t>
      </w:r>
    </w:p>
    <w:p>
      <w:pPr>
        <w:spacing w:after="0" w:line="173" w:lineRule="exact"/>
        <w:rPr>
          <w:sz w:val="20"/>
          <w:szCs w:val="20"/>
          <w:color w:val="auto"/>
        </w:rPr>
      </w:pPr>
    </w:p>
    <w:tbl>
      <w:tblPr>
        <w:tblLayout w:type="fixed"/>
        <w:tblInd w:w="6" w:type="dxa"/>
        <w:tblCellMar>
          <w:top w:w="0" w:type="dxa"/>
          <w:left w:w="0" w:type="dxa"/>
          <w:bottom w:w="0" w:type="dxa"/>
          <w:right w:w="0" w:type="dxa"/>
        </w:tblCellMar>
      </w:tblPr>
      <w:tr>
        <w:trPr>
          <w:trHeight w:val="165"/>
        </w:trPr>
        <w:tc>
          <w:tcPr>
            <w:tcW w:w="43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jc w:val="right"/>
              <w:ind w:right="3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0"/>
        </w:trPr>
        <w:tc>
          <w:tcPr>
            <w:tcW w:w="43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62"/>
        </w:trPr>
        <w:tc>
          <w:tcPr>
            <w:tcW w:w="4300" w:type="dxa"/>
            <w:vAlign w:val="bottom"/>
            <w:tcBorders>
              <w:bottom w:val="single" w:sz="8" w:color="CCEEFF"/>
            </w:tcBorders>
          </w:tcPr>
          <w:p>
            <w:pPr>
              <w:spacing w:after="0"/>
              <w:rPr>
                <w:sz w:val="14"/>
                <w:szCs w:val="14"/>
                <w:color w:val="auto"/>
              </w:rPr>
            </w:pPr>
          </w:p>
        </w:tc>
        <w:tc>
          <w:tcPr>
            <w:tcW w:w="162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2"/>
                <w:szCs w:val="12"/>
                <w:b w:val="1"/>
                <w:bCs w:val="1"/>
                <w:color w:val="auto"/>
              </w:rPr>
              <w:t>2023</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9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2"/>
                <w:szCs w:val="12"/>
                <w:b w:val="1"/>
                <w:bCs w:val="1"/>
                <w:color w:val="auto"/>
              </w:rPr>
              <w:t>2022</w:t>
            </w:r>
          </w:p>
        </w:tc>
        <w:tc>
          <w:tcPr>
            <w:tcW w:w="3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right"/>
              <w:ind w:right="905"/>
              <w:spacing w:after="0"/>
              <w:rPr>
                <w:sz w:val="20"/>
                <w:szCs w:val="20"/>
                <w:color w:val="auto"/>
              </w:rPr>
            </w:pPr>
            <w:r>
              <w:rPr>
                <w:rFonts w:ascii="Times New Roman" w:cs="Times New Roman" w:eastAsia="Times New Roman" w:hAnsi="Times New Roman"/>
                <w:sz w:val="12"/>
                <w:szCs w:val="12"/>
                <w:b w:val="1"/>
                <w:bCs w:val="1"/>
                <w:color w:val="auto"/>
              </w:rPr>
              <w:t>2021</w:t>
            </w:r>
          </w:p>
        </w:tc>
      </w:tr>
      <w:tr>
        <w:trPr>
          <w:trHeight w:val="19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1620" w:type="dxa"/>
            <w:vAlign w:val="bottom"/>
            <w:shd w:val="clear" w:color="auto" w:fill="CCEEFF"/>
          </w:tcPr>
          <w:p>
            <w:pPr>
              <w:jc w:val="right"/>
              <w:ind w:right="1447"/>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900" w:type="dxa"/>
            <w:vAlign w:val="bottom"/>
            <w:shd w:val="clear" w:color="auto" w:fill="CCEEFF"/>
          </w:tcPr>
          <w:p>
            <w:pPr>
              <w:jc w:val="right"/>
              <w:ind w:right="1750"/>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82"/>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136,417</w:t>
            </w:r>
          </w:p>
        </w:tc>
      </w:tr>
      <w:tr>
        <w:trPr>
          <w:trHeight w:val="199"/>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1620" w:type="dxa"/>
            <w:vAlign w:val="bottom"/>
          </w:tcPr>
          <w:p>
            <w:pPr>
              <w:spacing w:after="0"/>
              <w:rPr>
                <w:sz w:val="17"/>
                <w:szCs w:val="17"/>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Pr>
          <w:p>
            <w:pPr>
              <w:spacing w:after="0"/>
              <w:rPr>
                <w:sz w:val="17"/>
                <w:szCs w:val="17"/>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10,870</w:t>
            </w:r>
          </w:p>
        </w:tc>
      </w:tr>
      <w:tr>
        <w:trPr>
          <w:trHeight w:val="199"/>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580,792</w:t>
            </w:r>
          </w:p>
        </w:tc>
      </w:tr>
      <w:tr>
        <w:trPr>
          <w:trHeight w:val="190"/>
        </w:trPr>
        <w:tc>
          <w:tcPr>
            <w:tcW w:w="43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Total change in fair value of Class B Units</w:t>
            </w:r>
          </w:p>
        </w:tc>
        <w:tc>
          <w:tcPr>
            <w:tcW w:w="1620" w:type="dxa"/>
            <w:vAlign w:val="bottom"/>
            <w:tcBorders>
              <w:top w:val="single" w:sz="8" w:color="auto"/>
              <w:bottom w:val="single" w:sz="8" w:color="auto"/>
            </w:tcBorders>
          </w:tcPr>
          <w:p>
            <w:pPr>
              <w:jc w:val="right"/>
              <w:ind w:right="1447"/>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900" w:type="dxa"/>
            <w:vAlign w:val="bottom"/>
            <w:tcBorders>
              <w:top w:val="single" w:sz="8" w:color="auto"/>
              <w:bottom w:val="single" w:sz="8" w:color="auto"/>
            </w:tcBorders>
          </w:tcPr>
          <w:p>
            <w:pPr>
              <w:jc w:val="right"/>
              <w:ind w:right="1750"/>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540" w:type="dxa"/>
            <w:vAlign w:val="bottom"/>
            <w:tcBorders>
              <w:top w:val="single" w:sz="8" w:color="auto"/>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728,079</w:t>
            </w:r>
          </w:p>
        </w:tc>
      </w:tr>
      <w:tr>
        <w:trPr>
          <w:trHeight w:val="20"/>
        </w:trPr>
        <w:tc>
          <w:tcPr>
            <w:tcW w:w="43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both"/>
        <w:ind w:left="6" w:right="60"/>
        <w:spacing w:after="0" w:line="268" w:lineRule="auto"/>
        <w:rPr>
          <w:sz w:val="20"/>
          <w:szCs w:val="20"/>
          <w:color w:val="auto"/>
        </w:rPr>
      </w:pPr>
      <w:r>
        <w:rPr>
          <w:rFonts w:ascii="Times New Roman" w:cs="Times New Roman" w:eastAsia="Times New Roman" w:hAnsi="Times New Roman"/>
          <w:sz w:val="16"/>
          <w:szCs w:val="16"/>
          <w:color w:val="auto"/>
        </w:rPr>
        <w:t xml:space="preserve">To derive the fair value of the Class B Units, we estimated the fair value of Class B Units using a valuation technique. For more information regarding the valuation of the Class B Units, see </w:t>
      </w:r>
      <w:r>
        <w:rPr>
          <w:rFonts w:ascii="Times New Roman" w:cs="Times New Roman" w:eastAsia="Times New Roman" w:hAnsi="Times New Roman"/>
          <w:sz w:val="16"/>
          <w:szCs w:val="16"/>
          <w:i w:val="1"/>
          <w:iCs w:val="1"/>
          <w:color w:val="auto"/>
        </w:rPr>
        <w:t>Note 11 – Stock-Based Compensation.</w:t>
      </w:r>
    </w:p>
    <w:p>
      <w:pPr>
        <w:spacing w:after="0" w:line="104" w:lineRule="exact"/>
        <w:rPr>
          <w:sz w:val="20"/>
          <w:szCs w:val="20"/>
          <w:color w:val="auto"/>
        </w:rPr>
      </w:pPr>
    </w:p>
    <w:p>
      <w:pPr>
        <w:ind w:left="6" w:right="60"/>
        <w:spacing w:after="0" w:line="252" w:lineRule="auto"/>
        <w:rPr>
          <w:sz w:val="20"/>
          <w:szCs w:val="20"/>
          <w:color w:val="auto"/>
        </w:rPr>
      </w:pPr>
      <w:r>
        <w:rPr>
          <w:rFonts w:ascii="Times New Roman" w:cs="Times New Roman" w:eastAsia="Times New Roman" w:hAnsi="Times New Roman"/>
          <w:sz w:val="16"/>
          <w:szCs w:val="16"/>
          <w:color w:val="auto"/>
        </w:rPr>
        <w:t>As more fully described in Note 1, we completed our Transactions in July 2021, and all Class B Units fully vested as of the transaction date, and the original operating agreement was terminated and replaced by a new operating agreement consistent with the Company’s Up-C structure. This new operating agreement does not contain the put and call options that existed under the previous operating agreement, and the LLC Units under the new operating agreement are treated as common equity and do not generate stock-based compensation expense. The Class B Units liability was reclassified to equity as of the transaction date.</w:t>
      </w:r>
    </w:p>
    <w:p>
      <w:pPr>
        <w:spacing w:after="0" w:line="200" w:lineRule="exact"/>
        <w:rPr>
          <w:sz w:val="20"/>
          <w:szCs w:val="20"/>
          <w:color w:val="auto"/>
        </w:rPr>
      </w:pPr>
    </w:p>
    <w:p>
      <w:pPr>
        <w:spacing w:after="0" w:line="265" w:lineRule="exact"/>
        <w:rPr>
          <w:sz w:val="20"/>
          <w:szCs w:val="20"/>
          <w:color w:val="auto"/>
        </w:rPr>
      </w:pPr>
    </w:p>
    <w:p>
      <w:pPr>
        <w:ind w:left="566" w:hanging="566"/>
        <w:spacing w:after="0"/>
        <w:tabs>
          <w:tab w:leader="none" w:pos="566" w:val="left"/>
        </w:tabs>
        <w:numPr>
          <w:ilvl w:val="0"/>
          <w:numId w:val="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Balance Sheet Components</w:t>
      </w:r>
    </w:p>
    <w:p>
      <w:pPr>
        <w:spacing w:after="0" w:line="14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i w:val="1"/>
          <w:iCs w:val="1"/>
          <w:color w:val="auto"/>
        </w:rPr>
        <w:t>Capitalized Implementation Costs</w:t>
      </w:r>
    </w:p>
    <w:p>
      <w:pPr>
        <w:spacing w:after="0" w:line="145" w:lineRule="exact"/>
        <w:rPr>
          <w:sz w:val="20"/>
          <w:szCs w:val="20"/>
          <w:color w:val="auto"/>
        </w:rPr>
      </w:pPr>
    </w:p>
    <w:p>
      <w:pPr>
        <w:jc w:val="both"/>
        <w:ind w:left="6" w:right="80"/>
        <w:spacing w:after="0" w:line="252" w:lineRule="auto"/>
        <w:rPr>
          <w:sz w:val="20"/>
          <w:szCs w:val="20"/>
          <w:color w:val="auto"/>
        </w:rPr>
      </w:pPr>
      <w:r>
        <w:rPr>
          <w:rFonts w:ascii="Times New Roman" w:cs="Times New Roman" w:eastAsia="Times New Roman" w:hAnsi="Times New Roman"/>
          <w:sz w:val="16"/>
          <w:szCs w:val="16"/>
          <w:color w:val="auto"/>
        </w:rPr>
        <w:t>We capitalized cloud computing implementation costs for customer-relationship management, revenue management, and enterprise resource planning systems of $71, $1,493 and $287 for the years ended December 31, 2023, 2022 and 2021, respectively. The capitalized implementation costs are capitalized within other current assets and other assets on the consolidated balance sheets. Amortization expense related to capitalized cloud computing implementation costs was $939, $372 and $210 for the years ended December 31, 2023, 2022 and 2021, respectively.</w:t>
      </w:r>
    </w:p>
    <w:p>
      <w:pPr>
        <w:spacing w:after="0" w:line="11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i w:val="1"/>
          <w:iCs w:val="1"/>
          <w:color w:val="auto"/>
        </w:rPr>
        <w:t>Property and Equipment, Net</w:t>
      </w:r>
    </w:p>
    <w:p>
      <w:pPr>
        <w:spacing w:after="0" w:line="14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Property and equipment, net consists of the following:</w:t>
      </w:r>
    </w:p>
    <w:p>
      <w:pPr>
        <w:spacing w:after="0" w:line="173" w:lineRule="exact"/>
        <w:rPr>
          <w:sz w:val="20"/>
          <w:szCs w:val="20"/>
          <w:color w:val="auto"/>
        </w:rPr>
      </w:pPr>
    </w:p>
    <w:tbl>
      <w:tblPr>
        <w:tblLayout w:type="fixed"/>
        <w:tblInd w:w="6" w:type="dxa"/>
        <w:tblCellMar>
          <w:top w:w="0" w:type="dxa"/>
          <w:left w:w="0" w:type="dxa"/>
          <w:bottom w:w="0" w:type="dxa"/>
          <w:right w:w="0" w:type="dxa"/>
        </w:tblCellMar>
      </w:tblPr>
      <w:tr>
        <w:trPr>
          <w:trHeight w:val="165"/>
        </w:trPr>
        <w:tc>
          <w:tcPr>
            <w:tcW w:w="44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80" w:type="dxa"/>
            <w:vAlign w:val="bottom"/>
            <w:gridSpan w:val="3"/>
          </w:tcPr>
          <w:p>
            <w:pPr>
              <w:jc w:val="right"/>
              <w:ind w:right="62"/>
              <w:spacing w:after="0"/>
              <w:rPr>
                <w:sz w:val="20"/>
                <w:szCs w:val="20"/>
                <w:color w:val="auto"/>
              </w:rPr>
            </w:pPr>
            <w:r>
              <w:rPr>
                <w:rFonts w:ascii="Times New Roman" w:cs="Times New Roman" w:eastAsia="Times New Roman" w:hAnsi="Times New Roman"/>
                <w:sz w:val="12"/>
                <w:szCs w:val="12"/>
                <w:b w:val="1"/>
                <w:bCs w:val="1"/>
                <w:color w:val="auto"/>
              </w:rPr>
              <w:t>As of December 31,</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Estimated Useful Lives</w:t>
            </w: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4420" w:type="dxa"/>
            <w:vAlign w:val="bottom"/>
          </w:tcPr>
          <w:p>
            <w:pPr>
              <w:spacing w:after="0"/>
              <w:rPr>
                <w:sz w:val="14"/>
                <w:szCs w:val="14"/>
                <w:color w:val="auto"/>
              </w:rPr>
            </w:pPr>
          </w:p>
        </w:tc>
        <w:tc>
          <w:tcPr>
            <w:tcW w:w="29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jc w:val="right"/>
              <w:ind w:right="686"/>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jc w:val="right"/>
              <w:ind w:right="704"/>
              <w:spacing w:after="0"/>
              <w:rPr>
                <w:sz w:val="20"/>
                <w:szCs w:val="20"/>
                <w:color w:val="auto"/>
              </w:rPr>
            </w:pPr>
            <w:r>
              <w:rPr>
                <w:rFonts w:ascii="Times New Roman" w:cs="Times New Roman" w:eastAsia="Times New Roman" w:hAnsi="Times New Roman"/>
                <w:sz w:val="12"/>
                <w:szCs w:val="12"/>
                <w:b w:val="1"/>
                <w:bCs w:val="1"/>
                <w:color w:val="auto"/>
              </w:rPr>
              <w:t>2022</w:t>
            </w:r>
          </w:p>
        </w:tc>
        <w:tc>
          <w:tcPr>
            <w:tcW w:w="0" w:type="dxa"/>
            <w:vAlign w:val="bottom"/>
          </w:tcPr>
          <w:p>
            <w:pPr>
              <w:spacing w:after="0"/>
              <w:rPr>
                <w:sz w:val="1"/>
                <w:szCs w:val="1"/>
                <w:color w:val="auto"/>
              </w:rPr>
            </w:pPr>
          </w:p>
        </w:tc>
      </w:tr>
      <w:tr>
        <w:trPr>
          <w:trHeight w:val="196"/>
        </w:trPr>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Furniture and fixtures</w:t>
            </w:r>
          </w:p>
        </w:tc>
        <w:tc>
          <w:tcPr>
            <w:tcW w:w="2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5 years</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44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0" w:type="dxa"/>
            <w:vAlign w:val="bottom"/>
          </w:tcPr>
          <w:p>
            <w:pPr>
              <w:spacing w:after="0"/>
              <w:rPr>
                <w:sz w:val="1"/>
                <w:szCs w:val="1"/>
                <w:color w:val="auto"/>
              </w:rPr>
            </w:pPr>
          </w:p>
        </w:tc>
      </w:tr>
      <w:tr>
        <w:trPr>
          <w:trHeight w:val="199"/>
        </w:trPr>
        <w:tc>
          <w:tcPr>
            <w:tcW w:w="4420" w:type="dxa"/>
            <w:vAlign w:val="bottom"/>
          </w:tcPr>
          <w:p>
            <w:pPr>
              <w:spacing w:after="0"/>
              <w:rPr>
                <w:sz w:val="20"/>
                <w:szCs w:val="20"/>
                <w:color w:val="auto"/>
              </w:rPr>
            </w:pPr>
            <w:r>
              <w:rPr>
                <w:rFonts w:ascii="Times New Roman" w:cs="Times New Roman" w:eastAsia="Times New Roman" w:hAnsi="Times New Roman"/>
                <w:sz w:val="16"/>
                <w:szCs w:val="16"/>
                <w:color w:val="auto"/>
              </w:rPr>
              <w:t>Computers, software and equipment</w:t>
            </w:r>
          </w:p>
        </w:tc>
        <w:tc>
          <w:tcPr>
            <w:tcW w:w="2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6"/>
              </w:rPr>
              <w:t>3 years</w:t>
            </w:r>
          </w:p>
        </w:tc>
        <w:tc>
          <w:tcPr>
            <w:tcW w:w="4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1,458</w:t>
            </w:r>
          </w:p>
        </w:tc>
        <w:tc>
          <w:tcPr>
            <w:tcW w:w="0" w:type="dxa"/>
            <w:vAlign w:val="bottom"/>
          </w:tcPr>
          <w:p>
            <w:pPr>
              <w:spacing w:after="0"/>
              <w:rPr>
                <w:sz w:val="1"/>
                <w:szCs w:val="1"/>
                <w:color w:val="auto"/>
              </w:rPr>
            </w:pPr>
          </w:p>
        </w:tc>
      </w:tr>
      <w:tr>
        <w:trPr>
          <w:trHeight w:val="152"/>
        </w:trPr>
        <w:tc>
          <w:tcPr>
            <w:tcW w:w="4420" w:type="dxa"/>
            <w:vAlign w:val="bottom"/>
            <w:shd w:val="clear" w:color="auto" w:fill="CCEEFF"/>
          </w:tcPr>
          <w:p>
            <w:pPr>
              <w:spacing w:after="0"/>
              <w:rPr>
                <w:sz w:val="13"/>
                <w:szCs w:val="13"/>
                <w:color w:val="auto"/>
              </w:rPr>
            </w:pPr>
          </w:p>
        </w:tc>
        <w:tc>
          <w:tcPr>
            <w:tcW w:w="2980" w:type="dxa"/>
            <w:vAlign w:val="bottom"/>
            <w:gridSpan w:val="2"/>
            <w:shd w:val="clear" w:color="auto" w:fill="CCEEFF"/>
          </w:tcPr>
          <w:p>
            <w:pPr>
              <w:jc w:val="center"/>
              <w:ind w:right="100"/>
              <w:spacing w:after="0" w:line="152" w:lineRule="exact"/>
              <w:rPr>
                <w:sz w:val="20"/>
                <w:szCs w:val="20"/>
                <w:color w:val="auto"/>
              </w:rPr>
            </w:pPr>
            <w:r>
              <w:rPr>
                <w:rFonts w:ascii="Times New Roman" w:cs="Times New Roman" w:eastAsia="Times New Roman" w:hAnsi="Times New Roman"/>
                <w:sz w:val="16"/>
                <w:szCs w:val="16"/>
                <w:color w:val="auto"/>
                <w:w w:val="97"/>
              </w:rPr>
              <w:t>Shorter of estimated useful life or remaining</w:t>
            </w:r>
          </w:p>
        </w:tc>
        <w:tc>
          <w:tcPr>
            <w:tcW w:w="4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2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6"/>
              </w:rPr>
              <w:t>term of lease</w:t>
            </w:r>
          </w:p>
        </w:tc>
        <w:tc>
          <w:tcPr>
            <w:tcW w:w="4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0" w:type="dxa"/>
            <w:vAlign w:val="bottom"/>
          </w:tcPr>
          <w:p>
            <w:pPr>
              <w:spacing w:after="0"/>
              <w:rPr>
                <w:sz w:val="1"/>
                <w:szCs w:val="1"/>
                <w:color w:val="auto"/>
              </w:rPr>
            </w:pPr>
          </w:p>
        </w:tc>
      </w:tr>
      <w:tr>
        <w:trPr>
          <w:trHeight w:val="191"/>
        </w:trPr>
        <w:tc>
          <w:tcPr>
            <w:tcW w:w="44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3,751</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3,696</w:t>
            </w:r>
          </w:p>
        </w:tc>
        <w:tc>
          <w:tcPr>
            <w:tcW w:w="0" w:type="dxa"/>
            <w:vAlign w:val="bottom"/>
          </w:tcPr>
          <w:p>
            <w:pPr>
              <w:spacing w:after="0"/>
              <w:rPr>
                <w:sz w:val="1"/>
                <w:szCs w:val="1"/>
                <w:color w:val="auto"/>
              </w:rPr>
            </w:pPr>
          </w:p>
        </w:tc>
      </w:tr>
      <w:tr>
        <w:trPr>
          <w:trHeight w:val="199"/>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(3,061)</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(2,804)</w:t>
            </w:r>
          </w:p>
        </w:tc>
        <w:tc>
          <w:tcPr>
            <w:tcW w:w="0" w:type="dxa"/>
            <w:vAlign w:val="bottom"/>
          </w:tcPr>
          <w:p>
            <w:pPr>
              <w:spacing w:after="0"/>
              <w:rPr>
                <w:sz w:val="1"/>
                <w:szCs w:val="1"/>
                <w:color w:val="auto"/>
              </w:rPr>
            </w:pPr>
          </w:p>
        </w:tc>
      </w:tr>
      <w:tr>
        <w:trPr>
          <w:trHeight w:val="190"/>
        </w:trPr>
        <w:tc>
          <w:tcPr>
            <w:tcW w:w="44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property and equipment, net</w:t>
            </w: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00" w:type="dxa"/>
            <w:vAlign w:val="bottom"/>
          </w:tcPr>
          <w:p>
            <w:pPr>
              <w:spacing w:after="0"/>
              <w:rPr>
                <w:sz w:val="16"/>
                <w:szCs w:val="16"/>
                <w:color w:val="auto"/>
              </w:rPr>
            </w:pPr>
          </w:p>
        </w:tc>
        <w:tc>
          <w:tcPr>
            <w:tcW w:w="6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 w:right="1020"/>
        <w:spacing w:after="0" w:line="451" w:lineRule="auto"/>
        <w:rPr>
          <w:sz w:val="20"/>
          <w:szCs w:val="20"/>
          <w:color w:val="auto"/>
        </w:rPr>
      </w:pPr>
      <w:r>
        <w:rPr>
          <w:rFonts w:ascii="Times New Roman" w:cs="Times New Roman" w:eastAsia="Times New Roman" w:hAnsi="Times New Roman"/>
          <w:sz w:val="16"/>
          <w:szCs w:val="16"/>
          <w:color w:val="auto"/>
        </w:rPr>
        <w:t xml:space="preserve">Depreciation and amortization expense for property and equipment was $267, $331 and $431 for the years ended December 31, 2023, 2022 and 2021, respectively. </w:t>
      </w:r>
      <w:r>
        <w:rPr>
          <w:rFonts w:ascii="Times New Roman" w:cs="Times New Roman" w:eastAsia="Times New Roman" w:hAnsi="Times New Roman"/>
          <w:sz w:val="16"/>
          <w:szCs w:val="16"/>
          <w:b w:val="1"/>
          <w:bCs w:val="1"/>
          <w:i w:val="1"/>
          <w:iCs w:val="1"/>
          <w:color w:val="auto"/>
        </w:rPr>
        <w:t>Accrued Expenses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176135" cy="400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06"/>
          </w:cols>
          <w:pgMar w:left="314" w:top="121" w:right="37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6"/>
          <w:szCs w:val="16"/>
          <w:b w:val="1"/>
          <w:bCs w:val="1"/>
          <w:color w:val="auto"/>
        </w:rPr>
        <w:t>MARKETWISE,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(Dollar amounts in thousands, except share, unit, per share, and per unit data)</w:t>
      </w:r>
    </w:p>
    <w:p>
      <w:pPr>
        <w:spacing w:after="0" w:line="200" w:lineRule="exact"/>
        <w:rPr>
          <w:sz w:val="20"/>
          <w:szCs w:val="20"/>
          <w:color w:val="auto"/>
        </w:rPr>
      </w:pP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Accrued expenses consist of the following:</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165"/>
        </w:trPr>
        <w:tc>
          <w:tcPr>
            <w:tcW w:w="7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60" w:type="dxa"/>
            <w:vAlign w:val="bottom"/>
            <w:gridSpan w:val="3"/>
          </w:tcPr>
          <w:p>
            <w:pPr>
              <w:jc w:val="right"/>
              <w:ind w:right="82"/>
              <w:spacing w:after="0"/>
              <w:rPr>
                <w:sz w:val="20"/>
                <w:szCs w:val="20"/>
                <w:color w:val="auto"/>
              </w:rPr>
            </w:pPr>
            <w:r>
              <w:rPr>
                <w:rFonts w:ascii="Times New Roman" w:cs="Times New Roman" w:eastAsia="Times New Roman" w:hAnsi="Times New Roman"/>
                <w:sz w:val="12"/>
                <w:szCs w:val="12"/>
                <w:b w:val="1"/>
                <w:bCs w:val="1"/>
                <w:color w:val="auto"/>
              </w:rPr>
              <w:t>As of December 31,</w:t>
            </w:r>
          </w:p>
        </w:tc>
        <w:tc>
          <w:tcPr>
            <w:tcW w:w="1180" w:type="dxa"/>
            <w:vAlign w:val="bottom"/>
          </w:tcPr>
          <w:p>
            <w:pPr>
              <w:spacing w:after="0"/>
              <w:rPr>
                <w:sz w:val="14"/>
                <w:szCs w:val="14"/>
                <w:color w:val="auto"/>
              </w:rPr>
            </w:pPr>
          </w:p>
        </w:tc>
      </w:tr>
      <w:tr>
        <w:trPr>
          <w:trHeight w:val="20"/>
        </w:trPr>
        <w:tc>
          <w:tcPr>
            <w:tcW w:w="75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62"/>
        </w:trPr>
        <w:tc>
          <w:tcPr>
            <w:tcW w:w="756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67"/>
              <w:spacing w:after="0"/>
              <w:rPr>
                <w:sz w:val="20"/>
                <w:szCs w:val="20"/>
                <w:color w:val="auto"/>
              </w:rPr>
            </w:pPr>
            <w:r>
              <w:rPr>
                <w:rFonts w:ascii="Times New Roman" w:cs="Times New Roman" w:eastAsia="Times New Roman" w:hAnsi="Times New Roman"/>
                <w:sz w:val="12"/>
                <w:szCs w:val="12"/>
                <w:b w:val="1"/>
                <w:bCs w:val="1"/>
                <w:color w:val="auto"/>
              </w:rPr>
              <w:t>2023</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705"/>
              <w:spacing w:after="0"/>
              <w:rPr>
                <w:sz w:val="20"/>
                <w:szCs w:val="20"/>
                <w:color w:val="auto"/>
              </w:rPr>
            </w:pPr>
            <w:r>
              <w:rPr>
                <w:rFonts w:ascii="Times New Roman" w:cs="Times New Roman" w:eastAsia="Times New Roman" w:hAnsi="Times New Roman"/>
                <w:sz w:val="12"/>
                <w:szCs w:val="12"/>
                <w:b w:val="1"/>
                <w:bCs w:val="1"/>
                <w:color w:val="auto"/>
              </w:rPr>
              <w:t>2022</w:t>
            </w:r>
          </w:p>
        </w:tc>
      </w:tr>
      <w:tr>
        <w:trPr>
          <w:trHeight w:val="19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Commission and variable compensation</w:t>
            </w:r>
          </w:p>
        </w:tc>
        <w:tc>
          <w:tcPr>
            <w:tcW w:w="1160" w:type="dxa"/>
            <w:vAlign w:val="bottom"/>
            <w:shd w:val="clear" w:color="auto" w:fill="CCEEFF"/>
          </w:tcPr>
          <w:p>
            <w:pPr>
              <w:jc w:val="right"/>
              <w:ind w:right="987"/>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29,817</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6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24,207</w:t>
            </w:r>
          </w:p>
        </w:tc>
      </w:tr>
      <w:tr>
        <w:trPr>
          <w:trHeight w:val="199"/>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Payroll and benefits</w:t>
            </w:r>
          </w:p>
        </w:tc>
        <w:tc>
          <w:tcPr>
            <w:tcW w:w="1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10,941</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5,258</w:t>
            </w:r>
          </w:p>
        </w:tc>
      </w:tr>
      <w:tr>
        <w:trPr>
          <w:trHeight w:val="199"/>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accrued expenses</w:t>
            </w:r>
          </w:p>
        </w:tc>
        <w:tc>
          <w:tcPr>
            <w:tcW w:w="1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14,283</w:t>
            </w:r>
          </w:p>
        </w:tc>
        <w:tc>
          <w:tcPr>
            <w:tcW w:w="10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16,511</w:t>
            </w:r>
          </w:p>
        </w:tc>
      </w:tr>
      <w:tr>
        <w:trPr>
          <w:trHeight w:val="190"/>
        </w:trPr>
        <w:tc>
          <w:tcPr>
            <w:tcW w:w="75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accrued expenses</w:t>
            </w:r>
          </w:p>
        </w:tc>
        <w:tc>
          <w:tcPr>
            <w:tcW w:w="1160" w:type="dxa"/>
            <w:vAlign w:val="bottom"/>
            <w:tcBorders>
              <w:bottom w:val="single" w:sz="8" w:color="auto"/>
            </w:tcBorders>
          </w:tcPr>
          <w:p>
            <w:pPr>
              <w:jc w:val="right"/>
              <w:ind w:right="987"/>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55,041</w:t>
            </w:r>
          </w:p>
        </w:tc>
        <w:tc>
          <w:tcPr>
            <w:tcW w:w="100" w:type="dxa"/>
            <w:vAlign w:val="bottom"/>
          </w:tcPr>
          <w:p>
            <w:pPr>
              <w:spacing w:after="0"/>
              <w:rPr>
                <w:sz w:val="16"/>
                <w:szCs w:val="16"/>
                <w:color w:val="auto"/>
              </w:rPr>
            </w:pPr>
          </w:p>
        </w:tc>
        <w:tc>
          <w:tcPr>
            <w:tcW w:w="62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45,976</w:t>
            </w:r>
          </w:p>
        </w:tc>
      </w:tr>
      <w:tr>
        <w:trPr>
          <w:trHeight w:val="20"/>
        </w:trPr>
        <w:tc>
          <w:tcPr>
            <w:tcW w:w="75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4" w:lineRule="exact"/>
        <w:rPr>
          <w:sz w:val="20"/>
          <w:szCs w:val="20"/>
          <w:color w:val="auto"/>
        </w:rPr>
      </w:pPr>
    </w:p>
    <w:p>
      <w:pPr>
        <w:ind w:left="580" w:hanging="566"/>
        <w:spacing w:after="0"/>
        <w:tabs>
          <w:tab w:leader="none" w:pos="580" w:val="left"/>
        </w:tabs>
        <w:numPr>
          <w:ilvl w:val="0"/>
          <w:numId w:val="3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Derivative Financial Instruments</w:t>
      </w:r>
    </w:p>
    <w:p>
      <w:pPr>
        <w:spacing w:after="0" w:line="145" w:lineRule="exact"/>
        <w:rPr>
          <w:sz w:val="20"/>
          <w:szCs w:val="20"/>
          <w:color w:val="auto"/>
        </w:rPr>
      </w:pPr>
    </w:p>
    <w:p>
      <w:pPr>
        <w:ind w:left="20" w:right="120"/>
        <w:spacing w:after="0" w:line="250" w:lineRule="auto"/>
        <w:rPr>
          <w:sz w:val="20"/>
          <w:szCs w:val="20"/>
          <w:color w:val="auto"/>
        </w:rPr>
      </w:pPr>
      <w:r>
        <w:rPr>
          <w:rFonts w:ascii="Times New Roman" w:cs="Times New Roman" w:eastAsia="Times New Roman" w:hAnsi="Times New Roman"/>
          <w:sz w:val="16"/>
          <w:szCs w:val="16"/>
          <w:color w:val="auto"/>
        </w:rPr>
        <w:t>Prior to the closing of the Transactions, as part of our compensation and employee retention strategy, we entered into contracts with key employees and independent contractors which contain embedded derivatives. These contracts were intended to compensate the employees or independent contractors for services provided and retain their future services. These embedded derivative instruments were issued in the form of phantom interests in Net Income, as defined by our Board of Directors, that grant the holder value equal to a percentage of Net Income multiplied by a price multiple, or contained an option that granted appreciation rights upon exercise, and which became exercisable upon occurrence of an initial public offering. All derivative instruments are recorded at fair value as derivative liabilities on our consolidated balance sheets.</w:t>
      </w:r>
    </w:p>
    <w:p>
      <w:pPr>
        <w:spacing w:after="0" w:line="118" w:lineRule="exact"/>
        <w:rPr>
          <w:sz w:val="20"/>
          <w:szCs w:val="20"/>
          <w:color w:val="auto"/>
        </w:rPr>
      </w:pPr>
    </w:p>
    <w:p>
      <w:pPr>
        <w:ind w:left="20" w:right="80"/>
        <w:spacing w:after="0" w:line="268" w:lineRule="auto"/>
        <w:rPr>
          <w:sz w:val="20"/>
          <w:szCs w:val="20"/>
          <w:color w:val="auto"/>
        </w:rPr>
      </w:pPr>
      <w:r>
        <w:rPr>
          <w:rFonts w:ascii="Times New Roman" w:cs="Times New Roman" w:eastAsia="Times New Roman" w:hAnsi="Times New Roman"/>
          <w:sz w:val="16"/>
          <w:szCs w:val="16"/>
          <w:color w:val="auto"/>
        </w:rPr>
        <w:t>During the year ended December 31, 2023, the embedded derivative instruments were settled at fair value. The following table presents information on the location and amounts of derivative instruments gains and losses: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3"/>
          </w:tcPr>
          <w:p>
            <w:pPr>
              <w:ind w:left="10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Derivatives Not Designated as</w:t>
            </w:r>
          </w:p>
        </w:tc>
        <w:tc>
          <w:tcPr>
            <w:tcW w:w="3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840" w:type="dxa"/>
            <w:vAlign w:val="bottom"/>
            <w:gridSpan w:val="2"/>
            <w:vMerge w:val="continue"/>
          </w:tcPr>
          <w:p>
            <w:pPr>
              <w:spacing w:after="0"/>
              <w:rPr>
                <w:sz w:val="8"/>
                <w:szCs w:val="8"/>
                <w:color w:val="auto"/>
              </w:rPr>
            </w:pPr>
          </w:p>
        </w:tc>
        <w:tc>
          <w:tcPr>
            <w:tcW w:w="34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Location of Gain (Loss) Recognized in Income Statement</w:t>
            </w:r>
          </w:p>
        </w:tc>
        <w:tc>
          <w:tcPr>
            <w:tcW w:w="380" w:type="dxa"/>
            <w:vAlign w:val="bottom"/>
          </w:tcPr>
          <w:p>
            <w:pPr>
              <w:spacing w:after="0"/>
              <w:rPr>
                <w:sz w:val="8"/>
                <w:szCs w:val="8"/>
                <w:color w:val="auto"/>
              </w:rPr>
            </w:pPr>
          </w:p>
        </w:tc>
        <w:tc>
          <w:tcPr>
            <w:tcW w:w="1200" w:type="dxa"/>
            <w:vAlign w:val="bottom"/>
            <w:vMerge w:val="restart"/>
          </w:tcPr>
          <w:p>
            <w:pPr>
              <w:jc w:val="right"/>
              <w:ind w:right="585"/>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vMerge w:val="restart"/>
          </w:tcPr>
          <w:p>
            <w:pPr>
              <w:jc w:val="right"/>
              <w:ind w:right="585"/>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180" w:type="dxa"/>
            <w:vAlign w:val="bottom"/>
            <w:vMerge w:val="restart"/>
          </w:tcPr>
          <w:p>
            <w:pPr>
              <w:jc w:val="right"/>
              <w:ind w:right="585"/>
              <w:spacing w:after="0"/>
              <w:rPr>
                <w:sz w:val="20"/>
                <w:szCs w:val="20"/>
                <w:color w:val="auto"/>
              </w:rPr>
            </w:pPr>
            <w:r>
              <w:rPr>
                <w:rFonts w:ascii="Times New Roman" w:cs="Times New Roman" w:eastAsia="Times New Roman" w:hAnsi="Times New Roman"/>
                <w:sz w:val="12"/>
                <w:szCs w:val="12"/>
                <w:b w:val="1"/>
                <w:bCs w:val="1"/>
                <w:color w:val="auto"/>
              </w:rPr>
              <w:t>2021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Hedging Instruments</w:t>
            </w:r>
          </w:p>
        </w:tc>
        <w:tc>
          <w:tcPr>
            <w:tcW w:w="34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Warrants</w:t>
            </w:r>
          </w:p>
        </w:tc>
        <w:tc>
          <w:tcPr>
            <w:tcW w:w="80" w:type="dxa"/>
            <w:vAlign w:val="bottom"/>
            <w:tcBorders>
              <w:top w:val="single" w:sz="8" w:color="CCEEFF"/>
            </w:tcBorders>
            <w:shd w:val="clear" w:color="auto" w:fill="CCEEFF"/>
          </w:tcPr>
          <w:p>
            <w:pPr>
              <w:spacing w:after="0"/>
              <w:rPr>
                <w:sz w:val="17"/>
                <w:szCs w:val="17"/>
                <w:color w:val="auto"/>
              </w:rPr>
            </w:pPr>
          </w:p>
        </w:tc>
        <w:tc>
          <w:tcPr>
            <w:tcW w:w="3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14,931</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15,689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8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Phantom Interests in Net Income</w:t>
            </w:r>
          </w:p>
        </w:tc>
        <w:tc>
          <w:tcPr>
            <w:tcW w:w="3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Option</w:t>
            </w:r>
          </w:p>
        </w:tc>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0" w:type="dxa"/>
            <w:vAlign w:val="bottom"/>
          </w:tcPr>
          <w:p>
            <w:pPr>
              <w:spacing w:after="0"/>
              <w:rPr>
                <w:sz w:val="1"/>
                <w:szCs w:val="1"/>
                <w:color w:val="auto"/>
              </w:rPr>
            </w:pPr>
          </w:p>
        </w:tc>
      </w:tr>
      <w:tr>
        <w:trPr>
          <w:trHeight w:val="190"/>
        </w:trPr>
        <w:tc>
          <w:tcPr>
            <w:tcW w:w="28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Total</w:t>
            </w:r>
          </w:p>
        </w:tc>
        <w:tc>
          <w:tcPr>
            <w:tcW w:w="3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07"/>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15,665</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 xml:space="preserve">See </w:t>
      </w:r>
      <w:r>
        <w:rPr>
          <w:rFonts w:ascii="Times New Roman" w:cs="Times New Roman" w:eastAsia="Times New Roman" w:hAnsi="Times New Roman"/>
          <w:sz w:val="16"/>
          <w:szCs w:val="16"/>
          <w:i w:val="1"/>
          <w:iCs w:val="1"/>
          <w:color w:val="auto"/>
        </w:rPr>
        <w:t>Note 6 – Fair Value Measurements</w:t>
      </w:r>
      <w:r>
        <w:rPr>
          <w:rFonts w:ascii="Times New Roman" w:cs="Times New Roman" w:eastAsia="Times New Roman" w:hAnsi="Times New Roman"/>
          <w:sz w:val="16"/>
          <w:szCs w:val="16"/>
          <w:color w:val="auto"/>
        </w:rPr>
        <w:t xml:space="preserve"> for more information regarding the valuation of our derivative instruments.</w:t>
      </w:r>
    </w:p>
    <w:p>
      <w:pPr>
        <w:spacing w:after="0" w:line="200" w:lineRule="exact"/>
        <w:rPr>
          <w:sz w:val="20"/>
          <w:szCs w:val="20"/>
          <w:color w:val="auto"/>
        </w:rPr>
      </w:pPr>
    </w:p>
    <w:p>
      <w:pPr>
        <w:spacing w:after="0" w:line="294" w:lineRule="exact"/>
        <w:rPr>
          <w:sz w:val="20"/>
          <w:szCs w:val="20"/>
          <w:color w:val="auto"/>
        </w:rPr>
      </w:pPr>
    </w:p>
    <w:p>
      <w:pPr>
        <w:ind w:left="580" w:hanging="566"/>
        <w:spacing w:after="0"/>
        <w:tabs>
          <w:tab w:leader="none" w:pos="580" w:val="left"/>
        </w:tabs>
        <w:numPr>
          <w:ilvl w:val="0"/>
          <w:numId w:val="3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Debt</w:t>
      </w:r>
    </w:p>
    <w:p>
      <w:pPr>
        <w:spacing w:after="0" w:line="145" w:lineRule="exact"/>
        <w:rPr>
          <w:sz w:val="20"/>
          <w:szCs w:val="20"/>
          <w:color w:val="auto"/>
        </w:rPr>
      </w:pPr>
    </w:p>
    <w:p>
      <w:pPr>
        <w:ind w:left="20" w:right="260"/>
        <w:spacing w:after="0" w:line="252" w:lineRule="auto"/>
        <w:rPr>
          <w:sz w:val="20"/>
          <w:szCs w:val="20"/>
          <w:color w:val="auto"/>
        </w:rPr>
      </w:pPr>
      <w:r>
        <w:rPr>
          <w:rFonts w:ascii="Times New Roman" w:cs="Times New Roman" w:eastAsia="Times New Roman" w:hAnsi="Times New Roman"/>
          <w:sz w:val="16"/>
          <w:szCs w:val="16"/>
          <w:color w:val="auto"/>
        </w:rPr>
        <w:t>On October 29, 2021, MarketWise, LLC, entered into a loan and security agreement (as amended, the “Loan and Security Agreement”) providing for up to $150 million of commitments under a revolving credit facility (the “Credit Facility”), including a $5 million letter of credit sublimit, and allows for revolving commitments under the Credit Facility to be increased or new term commitments to be established by up to $65 million. The existing lenders under the Credit Facility are entitled, but not obligated, to provide such incremental commitments. The Credit Facility has a term of three years, maturing on October 29, 2024.</w:t>
      </w:r>
    </w:p>
    <w:p>
      <w:pPr>
        <w:spacing w:after="0" w:line="116" w:lineRule="exact"/>
        <w:rPr>
          <w:sz w:val="20"/>
          <w:szCs w:val="20"/>
          <w:color w:val="auto"/>
        </w:rPr>
      </w:pPr>
    </w:p>
    <w:p>
      <w:pPr>
        <w:ind w:left="20" w:right="180"/>
        <w:spacing w:after="0" w:line="256" w:lineRule="auto"/>
        <w:rPr>
          <w:sz w:val="20"/>
          <w:szCs w:val="20"/>
          <w:color w:val="auto"/>
        </w:rPr>
      </w:pPr>
      <w:r>
        <w:rPr>
          <w:rFonts w:ascii="Times New Roman" w:cs="Times New Roman" w:eastAsia="Times New Roman" w:hAnsi="Times New Roman"/>
          <w:sz w:val="16"/>
          <w:szCs w:val="16"/>
          <w:color w:val="auto"/>
        </w:rPr>
        <w:t>The Credit Facility is guaranteed by MarketWise, LLC’s direct and indirect material U.S. subsidiaries, subject to customary exceptions (the “Guarantors”), pursuant to a guaranty by the Guarantors in favor of HSBC Bank USA, National Association, as agent (the “Guaranty”). Borrowings under the Credit Facility are secured by a first-priority lien on substantially all of the assets of MarketWise, LLC and the Guarantors, subject to customary exceptions.</w:t>
      </w:r>
    </w:p>
    <w:p>
      <w:pPr>
        <w:spacing w:after="0" w:line="113" w:lineRule="exact"/>
        <w:rPr>
          <w:sz w:val="20"/>
          <w:szCs w:val="20"/>
          <w:color w:val="auto"/>
        </w:rPr>
      </w:pPr>
    </w:p>
    <w:p>
      <w:pPr>
        <w:ind w:left="20" w:right="140"/>
        <w:spacing w:after="0" w:line="268" w:lineRule="auto"/>
        <w:rPr>
          <w:sz w:val="20"/>
          <w:szCs w:val="20"/>
          <w:color w:val="auto"/>
        </w:rPr>
      </w:pPr>
      <w:r>
        <w:rPr>
          <w:rFonts w:ascii="Times New Roman" w:cs="Times New Roman" w:eastAsia="Times New Roman" w:hAnsi="Times New Roman"/>
          <w:sz w:val="16"/>
          <w:szCs w:val="16"/>
          <w:color w:val="auto"/>
        </w:rPr>
        <w:t>Borrowings will bear interest at a floating rate depending on MarketWise, LLC’s Net Leverage Ratio (as defined in the Loan and Security Agreement). The Company may use the proceeds of borrowings under the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148590</wp:posOffset>
            </wp:positionV>
            <wp:extent cx="7176135" cy="400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102" w:name="page103"/>
    <w:bookmarkEnd w:id="102"/>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MARKETWISE, INC.</w:t>
      </w:r>
    </w:p>
    <w:p>
      <w:pPr>
        <w:spacing w:after="0" w:line="2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i w:val="1"/>
          <w:iCs w:val="1"/>
          <w:color w:val="auto"/>
        </w:rPr>
        <w:t>(Dollar amounts in thousands, except share, unit, per share, and per unit data)</w:t>
      </w:r>
    </w:p>
    <w:p>
      <w:pPr>
        <w:spacing w:after="0" w:line="200" w:lineRule="exact"/>
        <w:rPr>
          <w:sz w:val="20"/>
          <w:szCs w:val="20"/>
          <w:color w:val="auto"/>
        </w:rPr>
      </w:pPr>
    </w:p>
    <w:p>
      <w:pPr>
        <w:spacing w:after="0" w:line="349" w:lineRule="exact"/>
        <w:rPr>
          <w:sz w:val="20"/>
          <w:szCs w:val="20"/>
          <w:color w:val="auto"/>
        </w:rPr>
      </w:pPr>
    </w:p>
    <w:p>
      <w:pPr>
        <w:ind w:left="6" w:right="260"/>
        <w:spacing w:after="0" w:line="268" w:lineRule="auto"/>
        <w:rPr>
          <w:sz w:val="20"/>
          <w:szCs w:val="20"/>
          <w:color w:val="auto"/>
        </w:rPr>
      </w:pPr>
      <w:r>
        <w:rPr>
          <w:rFonts w:ascii="Times New Roman" w:cs="Times New Roman" w:eastAsia="Times New Roman" w:hAnsi="Times New Roman"/>
          <w:sz w:val="16"/>
          <w:szCs w:val="16"/>
          <w:color w:val="auto"/>
        </w:rPr>
        <w:t>Facility to finance permitted acquisitions and for working capital and other general corporate purposes. As of December 31, 2023, there were no outstanding advances under the Credit Facility.</w:t>
      </w:r>
    </w:p>
    <w:p>
      <w:pPr>
        <w:spacing w:after="0" w:line="104" w:lineRule="exact"/>
        <w:rPr>
          <w:sz w:val="20"/>
          <w:szCs w:val="20"/>
          <w:color w:val="auto"/>
        </w:rPr>
      </w:pPr>
    </w:p>
    <w:p>
      <w:pPr>
        <w:jc w:val="both"/>
        <w:ind w:left="6" w:right="180"/>
        <w:spacing w:after="0" w:line="252" w:lineRule="auto"/>
        <w:rPr>
          <w:sz w:val="20"/>
          <w:szCs w:val="20"/>
          <w:color w:val="auto"/>
        </w:rPr>
      </w:pPr>
      <w:r>
        <w:rPr>
          <w:rFonts w:ascii="Times New Roman" w:cs="Times New Roman" w:eastAsia="Times New Roman" w:hAnsi="Times New Roman"/>
          <w:sz w:val="16"/>
          <w:szCs w:val="16"/>
          <w:color w:val="auto"/>
        </w:rPr>
        <w:t>The Loan and Security Agreement contains customary affirmative and negative covenants for transactions of this type, and contains financial maintenance covenants that require MarketWise, LLC to maintain an Interest Coverage Ratio and Net Leverage Ratio (both as defined in the Loan and Security Agreement), and provides for a number of customary events of default, which could result in the acceleration of obligations and the termination of lending commitments under the Loan and Security Agreement. As of December 31, 2023, we were in compliance with these covenants.</w:t>
      </w:r>
    </w:p>
    <w:p>
      <w:pPr>
        <w:spacing w:after="0" w:line="200" w:lineRule="exact"/>
        <w:rPr>
          <w:sz w:val="20"/>
          <w:szCs w:val="20"/>
          <w:color w:val="auto"/>
        </w:rPr>
      </w:pPr>
    </w:p>
    <w:p>
      <w:pPr>
        <w:spacing w:after="0" w:line="265" w:lineRule="exact"/>
        <w:rPr>
          <w:sz w:val="20"/>
          <w:szCs w:val="20"/>
          <w:color w:val="auto"/>
        </w:rPr>
      </w:pPr>
    </w:p>
    <w:p>
      <w:pPr>
        <w:ind w:left="566" w:hanging="566"/>
        <w:spacing w:after="0"/>
        <w:tabs>
          <w:tab w:leader="none" w:pos="566" w:val="left"/>
        </w:tabs>
        <w:numPr>
          <w:ilvl w:val="0"/>
          <w:numId w:val="3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Commitments and Contingencies</w:t>
      </w:r>
    </w:p>
    <w:p>
      <w:pPr>
        <w:spacing w:after="0" w:line="14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i w:val="1"/>
          <w:iCs w:val="1"/>
          <w:color w:val="auto"/>
        </w:rPr>
        <w:t>Leases</w:t>
      </w:r>
    </w:p>
    <w:p>
      <w:pPr>
        <w:spacing w:after="0" w:line="145" w:lineRule="exact"/>
        <w:rPr>
          <w:sz w:val="20"/>
          <w:szCs w:val="20"/>
          <w:color w:val="auto"/>
        </w:rPr>
      </w:pPr>
    </w:p>
    <w:p>
      <w:pPr>
        <w:ind w:left="6"/>
        <w:spacing w:after="0" w:line="299" w:lineRule="auto"/>
        <w:rPr>
          <w:sz w:val="20"/>
          <w:szCs w:val="20"/>
          <w:color w:val="auto"/>
        </w:rPr>
      </w:pPr>
      <w:r>
        <w:rPr>
          <w:rFonts w:ascii="Times New Roman" w:cs="Times New Roman" w:eastAsia="Times New Roman" w:hAnsi="Times New Roman"/>
          <w:sz w:val="14"/>
          <w:szCs w:val="14"/>
          <w:color w:val="auto"/>
        </w:rPr>
        <w:t>We lease office facilities under operating lease agreements in the United States which have an initial term of twelve months or longer as of December 31, 2023. As of December 31, 2023, remaining lease terms vary from 5 months to 5 years. For two leases we have the option to extend the lease terms for a period of 5 years, for one lease we have the option to extend the lease term for a period of 3 years, for one lease we have the option to extend the lease term for a period of 1 year, and for one lease we have the option to extend the lease term month to month. The renewal options are not considered in the remaining lease term as we are not reasonably certain that we will exercise such option.</w:t>
      </w:r>
    </w:p>
    <w:p>
      <w:pPr>
        <w:spacing w:after="0" w:line="8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The components of lease expense were as follows:</w:t>
      </w:r>
    </w:p>
    <w:p>
      <w:pPr>
        <w:spacing w:after="0" w:line="173" w:lineRule="exact"/>
        <w:rPr>
          <w:sz w:val="20"/>
          <w:szCs w:val="20"/>
          <w:color w:val="auto"/>
        </w:rPr>
      </w:pPr>
    </w:p>
    <w:tbl>
      <w:tblPr>
        <w:tblLayout w:type="fixed"/>
        <w:tblInd w:w="6" w:type="dxa"/>
        <w:tblCellMar>
          <w:top w:w="0" w:type="dxa"/>
          <w:left w:w="0" w:type="dxa"/>
          <w:bottom w:w="0" w:type="dxa"/>
          <w:right w:w="0" w:type="dxa"/>
        </w:tblCellMar>
      </w:tblPr>
      <w:tr>
        <w:trPr>
          <w:trHeight w:val="165"/>
        </w:trPr>
        <w:tc>
          <w:tcPr>
            <w:tcW w:w="6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5"/>
          </w:tcPr>
          <w:p>
            <w:pPr>
              <w:ind w:left="8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61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87"/>
              <w:spacing w:after="0"/>
              <w:rPr>
                <w:sz w:val="20"/>
                <w:szCs w:val="20"/>
                <w:color w:val="auto"/>
              </w:rPr>
            </w:pPr>
            <w:r>
              <w:rPr>
                <w:rFonts w:ascii="Times New Roman" w:cs="Times New Roman" w:eastAsia="Times New Roman" w:hAnsi="Times New Roman"/>
                <w:sz w:val="12"/>
                <w:szCs w:val="12"/>
                <w:b w:val="1"/>
                <w:bCs w:val="1"/>
                <w:color w:val="auto"/>
              </w:rPr>
              <w:t>2021</w:t>
            </w:r>
          </w:p>
        </w:tc>
        <w:tc>
          <w:tcPr>
            <w:tcW w:w="0" w:type="dxa"/>
            <w:vAlign w:val="bottom"/>
          </w:tcPr>
          <w:p>
            <w:pPr>
              <w:spacing w:after="0"/>
              <w:rPr>
                <w:sz w:val="1"/>
                <w:szCs w:val="1"/>
                <w:color w:val="auto"/>
              </w:rPr>
            </w:pPr>
          </w:p>
        </w:tc>
      </w:tr>
      <w:tr>
        <w:trPr>
          <w:trHeight w:val="219"/>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96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2,639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2,435</w:t>
            </w:r>
          </w:p>
        </w:tc>
        <w:tc>
          <w:tcPr>
            <w:tcW w:w="0" w:type="dxa"/>
            <w:vAlign w:val="bottom"/>
          </w:tcPr>
          <w:p>
            <w:pPr>
              <w:spacing w:after="0"/>
              <w:rPr>
                <w:sz w:val="1"/>
                <w:szCs w:val="1"/>
                <w:color w:val="auto"/>
              </w:rPr>
            </w:pPr>
          </w:p>
        </w:tc>
      </w:tr>
      <w:tr>
        <w:trPr>
          <w:trHeight w:val="222"/>
        </w:trPr>
        <w:tc>
          <w:tcPr>
            <w:tcW w:w="63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Variable lease costs</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39"/>
        </w:trPr>
        <w:tc>
          <w:tcPr>
            <w:tcW w:w="6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lease costs</w:t>
            </w:r>
          </w:p>
        </w:tc>
        <w:tc>
          <w:tcPr>
            <w:tcW w:w="96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2,739</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2,676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2,532</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6"/>
                <w:szCs w:val="16"/>
                <w:color w:val="auto"/>
              </w:rPr>
              <w:t>Other information related to leases was as follows: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634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6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As of December 31,</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6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2"/>
                <w:szCs w:val="12"/>
                <w:b w:val="1"/>
                <w:bCs w:val="1"/>
                <w:color w:val="auto"/>
              </w:rPr>
              <w:t>2023</w:t>
            </w: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27"/>
              <w:spacing w:after="0"/>
              <w:rPr>
                <w:sz w:val="20"/>
                <w:szCs w:val="20"/>
                <w:color w:val="auto"/>
              </w:rPr>
            </w:pPr>
            <w:r>
              <w:rPr>
                <w:rFonts w:ascii="Times New Roman" w:cs="Times New Roman" w:eastAsia="Times New Roman" w:hAnsi="Times New Roman"/>
                <w:sz w:val="12"/>
                <w:szCs w:val="12"/>
                <w:b w:val="1"/>
                <w:bCs w:val="1"/>
                <w:color w:val="auto"/>
              </w:rPr>
              <w:t>2021</w:t>
            </w:r>
          </w:p>
        </w:tc>
        <w:tc>
          <w:tcPr>
            <w:tcW w:w="0" w:type="dxa"/>
            <w:vAlign w:val="bottom"/>
          </w:tcPr>
          <w:p>
            <w:pPr>
              <w:spacing w:after="0"/>
              <w:rPr>
                <w:sz w:val="1"/>
                <w:szCs w:val="1"/>
                <w:color w:val="auto"/>
              </w:rPr>
            </w:pPr>
          </w:p>
        </w:tc>
      </w:tr>
      <w:tr>
        <w:trPr>
          <w:trHeight w:val="184"/>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Lease Term and Discount Rate</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63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 average remaining lease term (in years)</w:t>
            </w: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23"/>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discount rate</w:t>
            </w: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 w:right="20"/>
        <w:spacing w:after="0" w:line="252" w:lineRule="auto"/>
        <w:rPr>
          <w:sz w:val="20"/>
          <w:szCs w:val="20"/>
          <w:color w:val="auto"/>
        </w:rPr>
      </w:pPr>
      <w:r>
        <w:rPr>
          <w:rFonts w:ascii="Times New Roman" w:cs="Times New Roman" w:eastAsia="Times New Roman" w:hAnsi="Times New Roman"/>
          <w:sz w:val="16"/>
          <w:szCs w:val="16"/>
          <w:color w:val="auto"/>
        </w:rPr>
        <w:t>When recording the present value of lease liabilities, a discount rate is required. We have concluded that the rates implicit in the various operating lease agreements are not readily determinable. As a result, we instead used our incremental borrowing rate, which is calculated based on hypothetical borrowings to fund each respective lease over the lease term, as of the lease commencement date, assuming that borrowings are secured by the various leased properties. The incremental borrowing rates are determined based on an assessment of our implied credit rating, using ratings scales from reputable rating agencies that consider a number of qualitative and quantitative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176135" cy="400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6"/>
          </w:cols>
          <w:pgMar w:left="314" w:top="121" w:right="31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87"/>
        </w:trPr>
        <w:tc>
          <w:tcPr>
            <w:tcW w:w="9680" w:type="dxa"/>
            <w:vAlign w:val="bottom"/>
          </w:tcPr>
          <w:p>
            <w:pPr>
              <w:jc w:val="center"/>
              <w:ind w:left="1483"/>
              <w:spacing w:after="0"/>
              <w:rPr>
                <w:sz w:val="20"/>
                <w:szCs w:val="20"/>
                <w:color w:val="auto"/>
              </w:rPr>
            </w:pPr>
            <w:r>
              <w:rPr>
                <w:rFonts w:ascii="Times New Roman" w:cs="Times New Roman" w:eastAsia="Times New Roman" w:hAnsi="Times New Roman"/>
                <w:sz w:val="16"/>
                <w:szCs w:val="16"/>
                <w:b w:val="1"/>
                <w:bCs w:val="1"/>
                <w:color w:val="auto"/>
                <w:w w:val="97"/>
              </w:rPr>
              <w:t>MARKETWISE, INC.</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87"/>
        </w:trPr>
        <w:tc>
          <w:tcPr>
            <w:tcW w:w="9680" w:type="dxa"/>
            <w:vAlign w:val="bottom"/>
          </w:tcPr>
          <w:p>
            <w:pPr>
              <w:jc w:val="center"/>
              <w:ind w:left="1503"/>
              <w:spacing w:after="0"/>
              <w:rPr>
                <w:sz w:val="20"/>
                <w:szCs w:val="20"/>
                <w:color w:val="auto"/>
              </w:rPr>
            </w:pPr>
            <w:r>
              <w:rPr>
                <w:rFonts w:ascii="Times New Roman" w:cs="Times New Roman" w:eastAsia="Times New Roman" w:hAnsi="Times New Roman"/>
                <w:sz w:val="16"/>
                <w:szCs w:val="16"/>
                <w:b w:val="1"/>
                <w:bCs w:val="1"/>
                <w:color w:val="auto"/>
                <w:w w:val="97"/>
              </w:rPr>
              <w:t>Notes to the Consolidated Financial Statements</w:t>
            </w: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5"/>
        </w:trPr>
        <w:tc>
          <w:tcPr>
            <w:tcW w:w="9680" w:type="dxa"/>
            <w:vAlign w:val="bottom"/>
          </w:tcPr>
          <w:p>
            <w:pPr>
              <w:jc w:val="center"/>
              <w:ind w:left="1483"/>
              <w:spacing w:after="0"/>
              <w:rPr>
                <w:sz w:val="20"/>
                <w:szCs w:val="20"/>
                <w:color w:val="auto"/>
              </w:rPr>
            </w:pPr>
            <w:r>
              <w:rPr>
                <w:rFonts w:ascii="Times New Roman" w:cs="Times New Roman" w:eastAsia="Times New Roman" w:hAnsi="Times New Roman"/>
                <w:sz w:val="16"/>
                <w:szCs w:val="16"/>
                <w:i w:val="1"/>
                <w:iCs w:val="1"/>
                <w:color w:val="auto"/>
                <w:w w:val="97"/>
              </w:rPr>
              <w:t>(Dollar amounts in thousands, except share, unit, per share, and per unit data)</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748"/>
        </w:trPr>
        <w:tc>
          <w:tcPr>
            <w:tcW w:w="9680" w:type="dxa"/>
            <w:vAlign w:val="bottom"/>
          </w:tcPr>
          <w:p>
            <w:pPr>
              <w:spacing w:after="0"/>
              <w:rPr>
                <w:sz w:val="20"/>
                <w:szCs w:val="20"/>
                <w:color w:val="auto"/>
              </w:rPr>
            </w:pPr>
            <w:r>
              <w:rPr>
                <w:rFonts w:ascii="Times New Roman" w:cs="Times New Roman" w:eastAsia="Times New Roman" w:hAnsi="Times New Roman"/>
                <w:sz w:val="16"/>
                <w:szCs w:val="16"/>
                <w:color w:val="auto"/>
              </w:rPr>
              <w:t>Market rates are derived as of the lease commencement dates with reference to companies with the same debt rating that operate in a similar industry.</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27"/>
        </w:trPr>
        <w:tc>
          <w:tcPr>
            <w:tcW w:w="9680" w:type="dxa"/>
            <w:vAlign w:val="bottom"/>
          </w:tcPr>
          <w:p>
            <w:pPr>
              <w:spacing w:after="0"/>
              <w:rPr>
                <w:sz w:val="20"/>
                <w:szCs w:val="20"/>
                <w:color w:val="auto"/>
              </w:rPr>
            </w:pPr>
            <w:r>
              <w:rPr>
                <w:rFonts w:ascii="Times New Roman" w:cs="Times New Roman" w:eastAsia="Times New Roman" w:hAnsi="Times New Roman"/>
                <w:sz w:val="16"/>
                <w:szCs w:val="16"/>
                <w:color w:val="auto"/>
              </w:rPr>
              <w:t>As of December 31, 2023, maturities of lease liabilities were as follows:</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19"/>
        </w:trPr>
        <w:tc>
          <w:tcPr>
            <w:tcW w:w="96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Year Ending December 31:</w:t>
            </w:r>
          </w:p>
        </w:tc>
        <w:tc>
          <w:tcPr>
            <w:tcW w:w="220" w:type="dxa"/>
            <w:vAlign w:val="bottom"/>
          </w:tcPr>
          <w:p>
            <w:pPr>
              <w:spacing w:after="0"/>
              <w:rPr>
                <w:sz w:val="24"/>
                <w:szCs w:val="24"/>
                <w:color w:val="auto"/>
              </w:rPr>
            </w:pPr>
          </w:p>
        </w:tc>
        <w:tc>
          <w:tcPr>
            <w:tcW w:w="1360" w:type="dxa"/>
            <w:vAlign w:val="bottom"/>
          </w:tcPr>
          <w:p>
            <w:pPr>
              <w:jc w:val="right"/>
              <w:ind w:right="244"/>
              <w:spacing w:after="0"/>
              <w:rPr>
                <w:sz w:val="20"/>
                <w:szCs w:val="20"/>
                <w:color w:val="auto"/>
              </w:rPr>
            </w:pPr>
            <w:r>
              <w:rPr>
                <w:rFonts w:ascii="Times New Roman" w:cs="Times New Roman" w:eastAsia="Times New Roman" w:hAnsi="Times New Roman"/>
                <w:sz w:val="12"/>
                <w:szCs w:val="12"/>
                <w:b w:val="1"/>
                <w:bCs w:val="1"/>
                <w:color w:val="auto"/>
              </w:rPr>
              <w:t>Operating Leases</w:t>
            </w: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4"/>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1,789</w:t>
            </w:r>
          </w:p>
        </w:tc>
      </w:tr>
      <w:tr>
        <w:trPr>
          <w:trHeight w:val="228"/>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1,697</w:t>
            </w: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w:t>
            </w:r>
          </w:p>
        </w:tc>
      </w:tr>
      <w:tr>
        <w:trPr>
          <w:trHeight w:val="228"/>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r>
      <w:tr>
        <w:trPr>
          <w:trHeight w:val="216"/>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96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 lease payments</w:t>
            </w:r>
          </w:p>
        </w:tc>
        <w:tc>
          <w:tcPr>
            <w:tcW w:w="2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6,678</w:t>
            </w:r>
          </w:p>
        </w:tc>
      </w:tr>
      <w:tr>
        <w:trPr>
          <w:trHeight w:val="216"/>
        </w:trPr>
        <w:tc>
          <w:tcPr>
            <w:tcW w:w="968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6"/>
                <w:szCs w:val="16"/>
                <w:color w:val="auto"/>
              </w:rPr>
              <w:t>Less: Imputed interest</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(866)</w:t>
            </w:r>
          </w:p>
        </w:tc>
      </w:tr>
      <w:tr>
        <w:trPr>
          <w:trHeight w:val="245"/>
        </w:trPr>
        <w:tc>
          <w:tcPr>
            <w:tcW w:w="96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 lease liabilities</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Supplemental cash flow information related to leases is included in </w:t>
      </w:r>
      <w:r>
        <w:rPr>
          <w:rFonts w:ascii="Times New Roman" w:cs="Times New Roman" w:eastAsia="Times New Roman" w:hAnsi="Times New Roman"/>
          <w:sz w:val="16"/>
          <w:szCs w:val="16"/>
          <w:i w:val="1"/>
          <w:iCs w:val="1"/>
          <w:color w:val="auto"/>
        </w:rPr>
        <w:t>Note 15 – Supplemental Cash Flow Information.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Contingencies</w:t>
      </w:r>
    </w:p>
    <w:p>
      <w:pPr>
        <w:spacing w:after="0" w:line="145"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6"/>
          <w:szCs w:val="16"/>
          <w:color w:val="auto"/>
        </w:rPr>
        <w:t>From time to time, we may be involved in disputes or regulatory inquiries, which arise in the ordinary course of business. When we determine that a loss is both probable and reasonably estimable, a liability is recorded and disclosed if the amount is material to us in aggregate. When a material loss contingency is reasonably possible, we do not record a liability, but instead disclose the nature and the amount of the claim and an estimate of the loss or range of loss, if such an estimate can reasonably be made. While it is not feasible to predict or determine the ultimate outcome of these matters, the Company believes that none of its current legal proceedings will have a material adverse effect on its financial position or results of operations and no corresponding liability has been recorded for any periods presented.</w:t>
      </w:r>
    </w:p>
    <w:p>
      <w:pPr>
        <w:spacing w:after="0" w:line="118"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16"/>
          <w:szCs w:val="16"/>
          <w:color w:val="auto"/>
        </w:rPr>
        <w:t>In May 2023 and January 2024, a subsidiary of the Company, Common Sense Publishing, LLC trading as Palm Beach Research Group (“Palm Beach Research Group”), received third-party subpoenas from the SEC in connection with charges against a former employee who was previously terminated for cause in November 2021. Palm Beach Research Group has responded to the subpoenas, and we have conducted our own internal investigation with the assistance of outside counsel. On January 29, 2024, the U.S. Attorney’s Office for the Central District of California charged the same former employee by information with one count of touting securities for undisclosed compensation and one count of participation in a criminal conspiracy to tout securities for undisclosed compensation. It is not possible at this time to determine whether Palm Beach Research Group will incur, or to reasonably estimate the amount of, any losses in connection with this matter.</w:t>
      </w:r>
    </w:p>
    <w:p>
      <w:pPr>
        <w:spacing w:after="0" w:line="120"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11.</w:t>
      </w:r>
      <w:r>
        <w:rPr>
          <w:sz w:val="20"/>
          <w:szCs w:val="20"/>
          <w:color w:val="auto"/>
        </w:rPr>
        <w:tab/>
      </w:r>
      <w:r>
        <w:rPr>
          <w:rFonts w:ascii="Times New Roman" w:cs="Times New Roman" w:eastAsia="Times New Roman" w:hAnsi="Times New Roman"/>
          <w:sz w:val="14"/>
          <w:szCs w:val="14"/>
          <w:b w:val="1"/>
          <w:bCs w:val="1"/>
          <w:color w:val="auto"/>
        </w:rPr>
        <w:t>Stock-Based Compensation</w:t>
      </w:r>
    </w:p>
    <w:p>
      <w:pPr>
        <w:spacing w:after="0" w:line="145" w:lineRule="exact"/>
        <w:rPr>
          <w:sz w:val="20"/>
          <w:szCs w:val="20"/>
          <w:color w:val="auto"/>
        </w:rPr>
      </w:pPr>
    </w:p>
    <w:p>
      <w:pPr>
        <w:jc w:val="both"/>
        <w:ind w:right="120"/>
        <w:spacing w:after="0" w:line="252" w:lineRule="auto"/>
        <w:rPr>
          <w:sz w:val="20"/>
          <w:szCs w:val="20"/>
          <w:color w:val="auto"/>
        </w:rPr>
      </w:pPr>
      <w:r>
        <w:rPr>
          <w:rFonts w:ascii="Times New Roman" w:cs="Times New Roman" w:eastAsia="Times New Roman" w:hAnsi="Times New Roman"/>
          <w:sz w:val="16"/>
          <w:szCs w:val="16"/>
          <w:color w:val="auto"/>
        </w:rPr>
        <w:t>During the years ended December 31, 2023 and 2022 we recorded stock-based compensation related to our 2021 Incentive Award Plan, profits interests, and our ESPP, and during the year ended December 31, 2021, we recorded stock-based compensation related to the Class B Units and our 2021 Incentive Award Plan. As more fully described in Note 1, we completed our Transactions in July 2021, and all Class B Units fully vested as of the transaction date, and the original operating agreement was terminated and replaced by a new operating agreement consistent with the Company’s Up-C structure. This new operating agreement does not contain the put and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MARKETWISE, INC.</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(Dollar amounts in thousands, except share, unit, per share, and per unit data)</w:t>
      </w:r>
    </w:p>
    <w:p>
      <w:pPr>
        <w:spacing w:after="0" w:line="200" w:lineRule="exact"/>
        <w:rPr>
          <w:sz w:val="20"/>
          <w:szCs w:val="20"/>
          <w:color w:val="auto"/>
        </w:rPr>
      </w:pPr>
    </w:p>
    <w:p>
      <w:pPr>
        <w:spacing w:after="0" w:line="349"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6"/>
          <w:szCs w:val="16"/>
          <w:color w:val="auto"/>
        </w:rPr>
        <w:t>options that existed under the previous operating agreement, and the LLC Units are treated as common equity under the new operating agreement and do not generate stock-based compensation expense.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Included within cost of revenue, sales and marketing, and general and administrative expenses are stock-based compensation expenses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4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0"/>
        </w:trPr>
        <w:tc>
          <w:tcPr>
            <w:tcW w:w="49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62"/>
        </w:trPr>
        <w:tc>
          <w:tcPr>
            <w:tcW w:w="490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2"/>
                <w:szCs w:val="12"/>
                <w:b w:val="1"/>
                <w:bCs w:val="1"/>
                <w:color w:val="auto"/>
              </w:rPr>
              <w:t>2023</w:t>
            </w: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807"/>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805"/>
              <w:spacing w:after="0"/>
              <w:rPr>
                <w:sz w:val="20"/>
                <w:szCs w:val="20"/>
                <w:color w:val="auto"/>
              </w:rPr>
            </w:pPr>
            <w:r>
              <w:rPr>
                <w:rFonts w:ascii="Times New Roman" w:cs="Times New Roman" w:eastAsia="Times New Roman" w:hAnsi="Times New Roman"/>
                <w:sz w:val="12"/>
                <w:szCs w:val="12"/>
                <w:b w:val="1"/>
                <w:bCs w:val="1"/>
                <w:color w:val="auto"/>
              </w:rPr>
              <w:t>2021</w:t>
            </w:r>
          </w:p>
        </w:tc>
      </w:tr>
      <w:tr>
        <w:trPr>
          <w:trHeight w:val="19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1340" w:type="dxa"/>
            <w:vAlign w:val="bottom"/>
            <w:shd w:val="clear" w:color="auto" w:fill="CCEEFF"/>
          </w:tcPr>
          <w:p>
            <w:pPr>
              <w:jc w:val="right"/>
              <w:ind w:right="1187"/>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171,804</w:t>
            </w:r>
          </w:p>
        </w:tc>
      </w:tr>
      <w:tr>
        <w:trPr>
          <w:trHeight w:val="199"/>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13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2,209</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48,098</w:t>
            </w:r>
          </w:p>
        </w:tc>
      </w:tr>
      <w:tr>
        <w:trPr>
          <w:trHeight w:val="199"/>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3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17,277</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4,864</w:t>
            </w:r>
          </w:p>
        </w:tc>
        <w:tc>
          <w:tcPr>
            <w:tcW w:w="12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843,449</w:t>
            </w:r>
          </w:p>
        </w:tc>
      </w:tr>
      <w:tr>
        <w:trPr>
          <w:trHeight w:val="190"/>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1340" w:type="dxa"/>
            <w:vAlign w:val="bottom"/>
            <w:tcBorders>
              <w:bottom w:val="single" w:sz="8" w:color="auto"/>
            </w:tcBorders>
          </w:tcPr>
          <w:p>
            <w:pPr>
              <w:jc w:val="right"/>
              <w:ind w:right="1187"/>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23,384</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9,045</w:t>
            </w:r>
          </w:p>
        </w:tc>
        <w:tc>
          <w:tcPr>
            <w:tcW w:w="120" w:type="dxa"/>
            <w:vAlign w:val="bottom"/>
          </w:tcPr>
          <w:p>
            <w:pPr>
              <w:spacing w:after="0"/>
              <w:rPr>
                <w:sz w:val="16"/>
                <w:szCs w:val="16"/>
                <w:color w:val="auto"/>
              </w:rPr>
            </w:pPr>
          </w:p>
        </w:tc>
        <w:tc>
          <w:tcPr>
            <w:tcW w:w="48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1,063,351</w:t>
            </w:r>
          </w:p>
        </w:tc>
      </w:tr>
      <w:tr>
        <w:trPr>
          <w:trHeight w:val="20"/>
        </w:trPr>
        <w:tc>
          <w:tcPr>
            <w:tcW w:w="49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6"/>
          <w:szCs w:val="16"/>
          <w:color w:val="auto"/>
        </w:rPr>
        <w:t>Total stock-based compensation expense includes: expense related to our new 2021 Incentive Award Plan, our ESPP, profits interests, the vesting of Class B units, the change in fair value of Class B liability awards, and profits distributions to Class B unitholders,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4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0"/>
        </w:trPr>
        <w:tc>
          <w:tcPr>
            <w:tcW w:w="49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62"/>
        </w:trPr>
        <w:tc>
          <w:tcPr>
            <w:tcW w:w="4900" w:type="dxa"/>
            <w:vAlign w:val="bottom"/>
            <w:tcBorders>
              <w:bottom w:val="single" w:sz="8" w:color="CCEEFF"/>
            </w:tcBorders>
          </w:tcPr>
          <w:p>
            <w:pPr>
              <w:spacing w:after="0"/>
              <w:rPr>
                <w:sz w:val="14"/>
                <w:szCs w:val="14"/>
                <w:color w:val="auto"/>
              </w:rPr>
            </w:pPr>
          </w:p>
        </w:tc>
        <w:tc>
          <w:tcPr>
            <w:tcW w:w="1340" w:type="dxa"/>
            <w:vAlign w:val="bottom"/>
            <w:tcBorders>
              <w:bottom w:val="single" w:sz="8" w:color="auto"/>
            </w:tcBorders>
          </w:tcPr>
          <w:p>
            <w:pPr>
              <w:jc w:val="right"/>
              <w:ind w:right="127"/>
              <w:spacing w:after="0"/>
              <w:rPr>
                <w:sz w:val="20"/>
                <w:szCs w:val="20"/>
                <w:color w:val="auto"/>
              </w:rPr>
            </w:pPr>
            <w:r>
              <w:rPr>
                <w:rFonts w:ascii="Times New Roman" w:cs="Times New Roman" w:eastAsia="Times New Roman" w:hAnsi="Times New Roman"/>
                <w:sz w:val="12"/>
                <w:szCs w:val="12"/>
                <w:b w:val="1"/>
                <w:bCs w:val="1"/>
                <w:color w:val="auto"/>
              </w:rPr>
              <w:t>2023</w:t>
            </w:r>
          </w:p>
        </w:tc>
        <w:tc>
          <w:tcPr>
            <w:tcW w:w="68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jc w:val="right"/>
              <w:ind w:right="806"/>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804"/>
              <w:spacing w:after="0"/>
              <w:rPr>
                <w:sz w:val="20"/>
                <w:szCs w:val="20"/>
                <w:color w:val="auto"/>
              </w:rPr>
            </w:pPr>
            <w:r>
              <w:rPr>
                <w:rFonts w:ascii="Times New Roman" w:cs="Times New Roman" w:eastAsia="Times New Roman" w:hAnsi="Times New Roman"/>
                <w:sz w:val="12"/>
                <w:szCs w:val="12"/>
                <w:b w:val="1"/>
                <w:bCs w:val="1"/>
                <w:color w:val="auto"/>
              </w:rPr>
              <w:t>2021</w:t>
            </w:r>
          </w:p>
        </w:tc>
      </w:tr>
      <w:tr>
        <w:trPr>
          <w:trHeight w:val="19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2021 Incentive Award Plan</w:t>
            </w:r>
          </w:p>
        </w:tc>
        <w:tc>
          <w:tcPr>
            <w:tcW w:w="1340" w:type="dxa"/>
            <w:vAlign w:val="bottom"/>
            <w:shd w:val="clear" w:color="auto" w:fill="CCEEFF"/>
          </w:tcPr>
          <w:p>
            <w:pPr>
              <w:jc w:val="right"/>
              <w:ind w:right="1187"/>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22,297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8,608</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4,909</w:t>
            </w:r>
          </w:p>
        </w:tc>
      </w:tr>
      <w:tr>
        <w:trPr>
          <w:trHeight w:val="199"/>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13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Profits interests</w:t>
            </w:r>
          </w:p>
        </w:tc>
        <w:tc>
          <w:tcPr>
            <w:tcW w:w="13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Vested Class B units and change in fair value of Class B liability awards</w:t>
            </w:r>
          </w:p>
        </w:tc>
        <w:tc>
          <w:tcPr>
            <w:tcW w:w="134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934,993</w:t>
            </w:r>
          </w:p>
        </w:tc>
      </w:tr>
      <w:tr>
        <w:trPr>
          <w:trHeight w:val="199"/>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Profits distributions to Class B unitholders</w:t>
            </w:r>
          </w:p>
        </w:tc>
        <w:tc>
          <w:tcPr>
            <w:tcW w:w="13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123,449</w:t>
            </w:r>
          </w:p>
        </w:tc>
      </w:tr>
      <w:tr>
        <w:trPr>
          <w:trHeight w:val="190"/>
        </w:trPr>
        <w:tc>
          <w:tcPr>
            <w:tcW w:w="4900" w:type="dxa"/>
            <w:vAlign w:val="bottom"/>
          </w:tcPr>
          <w:p>
            <w:pPr>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1340" w:type="dxa"/>
            <w:vAlign w:val="bottom"/>
            <w:tcBorders>
              <w:top w:val="single" w:sz="8" w:color="auto"/>
              <w:bottom w:val="single" w:sz="8" w:color="auto"/>
            </w:tcBorders>
          </w:tcPr>
          <w:p>
            <w:pPr>
              <w:jc w:val="right"/>
              <w:ind w:right="1187"/>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23,384</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9,045</w:t>
            </w:r>
          </w:p>
        </w:tc>
        <w:tc>
          <w:tcPr>
            <w:tcW w:w="12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1,063,351</w:t>
            </w:r>
          </w:p>
        </w:tc>
      </w:tr>
      <w:tr>
        <w:trPr>
          <w:trHeight w:val="20"/>
        </w:trPr>
        <w:tc>
          <w:tcPr>
            <w:tcW w:w="49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2021 Incentive Award Plan</w:t>
      </w:r>
    </w:p>
    <w:p>
      <w:pPr>
        <w:spacing w:after="0" w:line="145"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6"/>
          <w:szCs w:val="16"/>
          <w:color w:val="auto"/>
        </w:rPr>
        <w:t>During the year ended December 31, 2023, we granted 5,098,818 restricted stock units (“RSUs”) and 4,202,000 fully vested shares of Class A common stock to certain employees, service providers and members of our Board of Directors in aggregate under our 2021 Incentive Award Plan.</w:t>
      </w:r>
    </w:p>
    <w:p>
      <w:pPr>
        <w:spacing w:after="0" w:line="10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6"/>
          <w:szCs w:val="16"/>
          <w:color w:val="auto"/>
        </w:rPr>
        <w:t>For employees and service providers, both RSUs and SARs are primarily time-based and typically vest ratably over four years, as specified in the individual grant notices. The RSUs may entitle the recipients to dividend equivalents if approved by the Plan Administrator, which are subject to the same vesting terms and accumulate during the vesting period. Upon vesting, the RSU holder will be issued the Company’s Class A common stock. The SARs will be settled in the Company’s Class A common stock upon exercise. The shares to be issued upon exercise will have a total market value equal to the SAR value calculated as (x) number of shares underlying SAR, multiplied by (y) any excess of the Company’s share value on the date of exercise over the exercise price set in each individual grant notice.</w:t>
      </w:r>
    </w:p>
    <w:p>
      <w:pPr>
        <w:spacing w:after="0" w:line="11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The fair value of RSUs is the same as the Company’s share price on the date of grant. The fair value of the SARs was determined using a Black-Scholes model.</w:t>
      </w:r>
    </w:p>
    <w:p>
      <w:pPr>
        <w:spacing w:after="0" w:line="143"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6"/>
          <w:szCs w:val="16"/>
          <w:color w:val="auto"/>
        </w:rPr>
        <w:t>The activities of the RSUs and SARs and the related weighted average grant-date fair value of the respective share classes, including granted, vested or exercised and forfeited, from January 1, 2023 to December 31, 2023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6"/>
          <w:szCs w:val="16"/>
          <w:b w:val="1"/>
          <w:bCs w:val="1"/>
          <w:color w:val="auto"/>
        </w:rPr>
        <w:t>MARKETWISE,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(Dollar amounts in thousands, except share, unit, per share, and per unit data)</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summarized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160" w:type="dxa"/>
            <w:vAlign w:val="bottom"/>
            <w:gridSpan w:val="3"/>
          </w:tcPr>
          <w:p>
            <w:pPr>
              <w:jc w:val="right"/>
              <w:ind w:right="1128"/>
              <w:spacing w:after="0"/>
              <w:rPr>
                <w:sz w:val="20"/>
                <w:szCs w:val="20"/>
                <w:color w:val="auto"/>
              </w:rPr>
            </w:pPr>
            <w:r>
              <w:rPr>
                <w:rFonts w:ascii="Times New Roman" w:cs="Times New Roman" w:eastAsia="Times New Roman" w:hAnsi="Times New Roman"/>
                <w:sz w:val="12"/>
                <w:szCs w:val="12"/>
                <w:b w:val="1"/>
                <w:bCs w:val="1"/>
                <w:color w:val="auto"/>
              </w:rPr>
              <w:t>RSUs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20" w:type="dxa"/>
            <w:vAlign w:val="bottom"/>
            <w:gridSpan w:val="4"/>
          </w:tcPr>
          <w:p>
            <w:pPr>
              <w:jc w:val="right"/>
              <w:ind w:right="1626"/>
              <w:spacing w:after="0"/>
              <w:rPr>
                <w:sz w:val="20"/>
                <w:szCs w:val="20"/>
                <w:color w:val="auto"/>
              </w:rPr>
            </w:pPr>
            <w:r>
              <w:rPr>
                <w:rFonts w:ascii="Times New Roman" w:cs="Times New Roman" w:eastAsia="Times New Roman" w:hAnsi="Times New Roman"/>
                <w:sz w:val="12"/>
                <w:szCs w:val="12"/>
                <w:b w:val="1"/>
                <w:bCs w:val="1"/>
                <w:color w:val="auto"/>
              </w:rPr>
              <w:t>SARs</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0"/>
        </w:trPr>
        <w:tc>
          <w:tcPr>
            <w:tcW w:w="3780" w:type="dxa"/>
            <w:vAlign w:val="bottom"/>
          </w:tcPr>
          <w:p>
            <w:pPr>
              <w:spacing w:after="0"/>
              <w:rPr>
                <w:sz w:val="9"/>
                <w:szCs w:val="9"/>
                <w:color w:val="auto"/>
              </w:rPr>
            </w:pPr>
          </w:p>
        </w:tc>
        <w:tc>
          <w:tcPr>
            <w:tcW w:w="1040" w:type="dxa"/>
            <w:vAlign w:val="bottom"/>
            <w:tcBorders>
              <w:top w:val="single" w:sz="8" w:color="auto"/>
            </w:tcBorders>
            <w:vMerge w:val="restart"/>
          </w:tcPr>
          <w:p>
            <w:pPr>
              <w:ind w:left="760"/>
              <w:spacing w:after="0"/>
              <w:rPr>
                <w:sz w:val="20"/>
                <w:szCs w:val="20"/>
                <w:color w:val="auto"/>
              </w:rPr>
            </w:pPr>
            <w:r>
              <w:rPr>
                <w:rFonts w:ascii="Times New Roman" w:cs="Times New Roman" w:eastAsia="Times New Roman" w:hAnsi="Times New Roman"/>
                <w:sz w:val="12"/>
                <w:szCs w:val="12"/>
                <w:b w:val="1"/>
                <w:bCs w:val="1"/>
                <w:color w:val="auto"/>
                <w:w w:val="94"/>
              </w:rPr>
              <w:t>Units</w:t>
            </w:r>
          </w:p>
        </w:tc>
        <w:tc>
          <w:tcPr>
            <w:tcW w:w="7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800" w:type="dxa"/>
            <w:vAlign w:val="bottom"/>
            <w:tcBorders>
              <w:top w:val="single" w:sz="8" w:color="auto"/>
            </w:tcBorders>
            <w:gridSpan w:val="2"/>
          </w:tcPr>
          <w:p>
            <w:pPr>
              <w:jc w:val="right"/>
              <w:ind w:right="2"/>
              <w:spacing w:after="0" w:line="110" w:lineRule="exact"/>
              <w:rPr>
                <w:sz w:val="20"/>
                <w:szCs w:val="20"/>
                <w:color w:val="auto"/>
              </w:rPr>
            </w:pPr>
            <w:r>
              <w:rPr>
                <w:rFonts w:ascii="Times New Roman" w:cs="Times New Roman" w:eastAsia="Times New Roman" w:hAnsi="Times New Roman"/>
                <w:sz w:val="12"/>
                <w:szCs w:val="12"/>
                <w:b w:val="1"/>
                <w:bCs w:val="1"/>
                <w:color w:val="auto"/>
              </w:rPr>
              <w:t>Weighted-Average Grant Date</w:t>
            </w:r>
          </w:p>
        </w:tc>
        <w:tc>
          <w:tcPr>
            <w:tcW w:w="100" w:type="dxa"/>
            <w:vAlign w:val="bottom"/>
          </w:tcPr>
          <w:p>
            <w:pPr>
              <w:spacing w:after="0"/>
              <w:rPr>
                <w:sz w:val="9"/>
                <w:szCs w:val="9"/>
                <w:color w:val="auto"/>
              </w:rPr>
            </w:pPr>
          </w:p>
        </w:tc>
        <w:tc>
          <w:tcPr>
            <w:tcW w:w="1080" w:type="dxa"/>
            <w:vAlign w:val="bottom"/>
            <w:tcBorders>
              <w:top w:val="single" w:sz="8" w:color="auto"/>
            </w:tcBorders>
            <w:vMerge w:val="restart"/>
          </w:tcPr>
          <w:p>
            <w:pPr>
              <w:ind w:left="760"/>
              <w:spacing w:after="0"/>
              <w:rPr>
                <w:sz w:val="20"/>
                <w:szCs w:val="20"/>
                <w:color w:val="auto"/>
              </w:rPr>
            </w:pPr>
            <w:r>
              <w:rPr>
                <w:rFonts w:ascii="Times New Roman" w:cs="Times New Roman" w:eastAsia="Times New Roman" w:hAnsi="Times New Roman"/>
                <w:sz w:val="12"/>
                <w:szCs w:val="12"/>
                <w:b w:val="1"/>
                <w:bCs w:val="1"/>
                <w:color w:val="auto"/>
              </w:rPr>
              <w:t>Units</w:t>
            </w:r>
          </w:p>
        </w:tc>
        <w:tc>
          <w:tcPr>
            <w:tcW w:w="7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720" w:type="dxa"/>
            <w:vAlign w:val="bottom"/>
            <w:tcBorders>
              <w:top w:val="single" w:sz="8" w:color="auto"/>
            </w:tcBorders>
          </w:tcPr>
          <w:p>
            <w:pPr>
              <w:jc w:val="right"/>
              <w:ind w:right="26"/>
              <w:spacing w:after="0" w:line="110" w:lineRule="exact"/>
              <w:rPr>
                <w:sz w:val="20"/>
                <w:szCs w:val="20"/>
                <w:color w:val="auto"/>
              </w:rPr>
            </w:pPr>
            <w:r>
              <w:rPr>
                <w:rFonts w:ascii="Times New Roman" w:cs="Times New Roman" w:eastAsia="Times New Roman" w:hAnsi="Times New Roman"/>
                <w:sz w:val="12"/>
                <w:szCs w:val="12"/>
                <w:b w:val="1"/>
                <w:bCs w:val="1"/>
                <w:color w:val="auto"/>
              </w:rPr>
              <w:t>Weighted-Average Grant Date</w:t>
            </w:r>
          </w:p>
        </w:tc>
        <w:tc>
          <w:tcPr>
            <w:tcW w:w="0" w:type="dxa"/>
            <w:vAlign w:val="bottom"/>
          </w:tcPr>
          <w:p>
            <w:pPr>
              <w:spacing w:after="0"/>
              <w:rPr>
                <w:sz w:val="1"/>
                <w:szCs w:val="1"/>
                <w:color w:val="auto"/>
              </w:rPr>
            </w:pPr>
          </w:p>
        </w:tc>
      </w:tr>
      <w:tr>
        <w:trPr>
          <w:trHeight w:val="169"/>
        </w:trPr>
        <w:tc>
          <w:tcPr>
            <w:tcW w:w="378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4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546"/>
              <w:spacing w:after="0"/>
              <w:rPr>
                <w:sz w:val="20"/>
                <w:szCs w:val="20"/>
                <w:color w:val="auto"/>
              </w:rPr>
            </w:pPr>
            <w:r>
              <w:rPr>
                <w:rFonts w:ascii="Times New Roman" w:cs="Times New Roman" w:eastAsia="Times New Roman" w:hAnsi="Times New Roman"/>
                <w:sz w:val="12"/>
                <w:szCs w:val="12"/>
                <w:b w:val="1"/>
                <w:bCs w:val="1"/>
                <w:color w:val="auto"/>
              </w:rPr>
              <w:t>Fair Value</w:t>
            </w:r>
          </w:p>
        </w:tc>
        <w:tc>
          <w:tcPr>
            <w:tcW w:w="0" w:type="dxa"/>
            <w:vAlign w:val="bottom"/>
          </w:tcPr>
          <w:p>
            <w:pPr>
              <w:spacing w:after="0"/>
              <w:rPr>
                <w:sz w:val="1"/>
                <w:szCs w:val="1"/>
                <w:color w:val="auto"/>
              </w:rPr>
            </w:pPr>
          </w:p>
        </w:tc>
      </w:tr>
      <w:tr>
        <w:trPr>
          <w:trHeight w:val="195"/>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Outstanding at January 1, 2023</w:t>
            </w:r>
          </w:p>
        </w:tc>
        <w:tc>
          <w:tcPr>
            <w:tcW w:w="104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6,261,543</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1148"/>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1,747,473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0" w:type="dxa"/>
            <w:vAlign w:val="bottom"/>
          </w:tcPr>
          <w:p>
            <w:pPr>
              <w:spacing w:after="0"/>
              <w:rPr>
                <w:sz w:val="1"/>
                <w:szCs w:val="1"/>
                <w:color w:val="auto"/>
              </w:rPr>
            </w:pPr>
          </w:p>
        </w:tc>
      </w:tr>
      <w:tr>
        <w:trPr>
          <w:trHeight w:val="199"/>
        </w:trPr>
        <w:tc>
          <w:tcPr>
            <w:tcW w:w="48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Granted</w:t>
            </w:r>
          </w:p>
        </w:tc>
        <w:tc>
          <w:tcPr>
            <w:tcW w:w="7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5,098,818</w:t>
            </w: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9"/>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Vested (RSUs) or Exercised (SARs)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3"/>
              </w:rPr>
              <w:t>(2,259,892)</w:t>
            </w: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9"/>
        </w:trPr>
        <w:tc>
          <w:tcPr>
            <w:tcW w:w="3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Forfeited</w:t>
            </w:r>
          </w:p>
        </w:tc>
        <w:tc>
          <w:tcPr>
            <w:tcW w:w="10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3"/>
              </w:rPr>
              <w:t>(1,360,208)</w:t>
            </w:r>
          </w:p>
        </w:tc>
        <w:tc>
          <w:tcPr>
            <w:tcW w:w="8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(161,289)</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0" w:type="dxa"/>
            <w:vAlign w:val="bottom"/>
          </w:tcPr>
          <w:p>
            <w:pPr>
              <w:spacing w:after="0"/>
              <w:rPr>
                <w:sz w:val="1"/>
                <w:szCs w:val="1"/>
                <w:color w:val="auto"/>
              </w:rPr>
            </w:pPr>
          </w:p>
        </w:tc>
      </w:tr>
      <w:tr>
        <w:trPr>
          <w:trHeight w:val="210"/>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Outstanding at December 31, 2023</w:t>
            </w:r>
          </w:p>
        </w:tc>
        <w:tc>
          <w:tcPr>
            <w:tcW w:w="7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7,740,261</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48"/>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1,586,184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Exercisable at December 31, 2023</w:t>
            </w:r>
          </w:p>
        </w:tc>
        <w:tc>
          <w:tcPr>
            <w:tcW w:w="10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78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jc w:val="right"/>
              <w:ind w:right="4"/>
              <w:spacing w:after="0" w:line="170" w:lineRule="exact"/>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4"/>
                <w:szCs w:val="14"/>
                <w:color w:val="auto"/>
              </w:rPr>
            </w:pPr>
          </w:p>
        </w:tc>
        <w:tc>
          <w:tcPr>
            <w:tcW w:w="1320" w:type="dxa"/>
            <w:vAlign w:val="bottom"/>
          </w:tcPr>
          <w:p>
            <w:pPr>
              <w:jc w:val="right"/>
              <w:ind w:right="1148"/>
              <w:spacing w:after="0" w:line="170" w:lineRule="exact"/>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825,291</w:t>
            </w:r>
          </w:p>
        </w:tc>
        <w:tc>
          <w:tcPr>
            <w:tcW w:w="100" w:type="dxa"/>
            <w:vAlign w:val="bottom"/>
          </w:tcPr>
          <w:p>
            <w:pPr>
              <w:spacing w:after="0"/>
              <w:rPr>
                <w:sz w:val="14"/>
                <w:szCs w:val="14"/>
                <w:color w:val="auto"/>
              </w:rPr>
            </w:pPr>
          </w:p>
        </w:tc>
        <w:tc>
          <w:tcPr>
            <w:tcW w:w="8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w w:val="74"/>
              </w:rPr>
              <w:t>$</w:t>
            </w:r>
          </w:p>
        </w:tc>
        <w:tc>
          <w:tcPr>
            <w:tcW w:w="1720" w:type="dxa"/>
            <w:vAlign w:val="bottom"/>
          </w:tcPr>
          <w:p>
            <w:pPr>
              <w:jc w:val="right"/>
              <w:spacing w:after="0" w:line="170" w:lineRule="exact"/>
              <w:rPr>
                <w:sz w:val="20"/>
                <w:szCs w:val="20"/>
                <w:color w:val="auto"/>
              </w:rPr>
            </w:pPr>
            <w:r>
              <w:rPr>
                <w:rFonts w:ascii="Times New Roman" w:cs="Times New Roman" w:eastAsia="Times New Roman" w:hAnsi="Times New Roman"/>
                <w:sz w:val="16"/>
                <w:szCs w:val="16"/>
                <w:color w:val="auto"/>
              </w:rPr>
              <w:t>4.05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40"/>
        <w:spacing w:after="0" w:line="256" w:lineRule="auto"/>
        <w:rPr>
          <w:sz w:val="20"/>
          <w:szCs w:val="20"/>
          <w:color w:val="auto"/>
        </w:rPr>
      </w:pPr>
      <w:r>
        <w:rPr>
          <w:rFonts w:ascii="Times New Roman" w:cs="Times New Roman" w:eastAsia="Times New Roman" w:hAnsi="Times New Roman"/>
          <w:sz w:val="16"/>
          <w:szCs w:val="16"/>
          <w:color w:val="auto"/>
        </w:rPr>
        <w:t>The stock compensation expense related to the RSU and SAR grants was $11,633 and $8,608 for the years ended December 31, 2023 and 2022, respectively. As of December 31, 2023, 825,291 of the SARs were exercisable and have a remaining contractual term of 7.1 years. For the fully vested shares, we issued 2,251,874 shares of Class A common stock after withholding for taxes, resulting in compensation expense of $10,664 during the year ended December 31, 2023.</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Employee Stock Purchase Plan</w:t>
      </w:r>
    </w:p>
    <w:p>
      <w:pPr>
        <w:spacing w:after="0" w:line="145" w:lineRule="exact"/>
        <w:rPr>
          <w:sz w:val="20"/>
          <w:szCs w:val="20"/>
          <w:color w:val="auto"/>
        </w:rPr>
      </w:pPr>
    </w:p>
    <w:p>
      <w:pPr>
        <w:ind w:right="20"/>
        <w:spacing w:after="0" w:line="341" w:lineRule="auto"/>
        <w:rPr>
          <w:sz w:val="20"/>
          <w:szCs w:val="20"/>
          <w:color w:val="auto"/>
        </w:rPr>
      </w:pPr>
      <w:r>
        <w:rPr>
          <w:rFonts w:ascii="Times New Roman" w:cs="Times New Roman" w:eastAsia="Times New Roman" w:hAnsi="Times New Roman"/>
          <w:sz w:val="14"/>
          <w:szCs w:val="14"/>
          <w:color w:val="auto"/>
        </w:rPr>
        <w:t>The Company recognized $341 of stock-based compensation expense related to the ESPP during the year ended December 31, 2023. During the year ended December 31, 2023, we issued 435,519 shares under the ESPP for cash proceeds of $680. As of December 31, 2023, $12 has been withheld on behalf of employees for a future purchase period.</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Profits Interests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recognized $746 of stock-based compensation expense related to the profits interests during the year ended December 31, 2023.</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Class B Units</w:t>
      </w:r>
    </w:p>
    <w:p>
      <w:pPr>
        <w:spacing w:after="0" w:line="14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6"/>
          <w:szCs w:val="16"/>
          <w:color w:val="auto"/>
        </w:rPr>
        <w:t>We recognized stock-based compensation expenses of $1,058,442 for the year ended December 31, 2021, which includes profits distributions to Class B unitholders issued by MarketWise, LLC of $123,449. The amount of stock-based compensation expense related to the Class B Units included in each of the line items in the accompanying consolidated statements of operations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4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32"/>
        </w:trPr>
        <w:tc>
          <w:tcPr>
            <w:tcW w:w="43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62"/>
        </w:trPr>
        <w:tc>
          <w:tcPr>
            <w:tcW w:w="4300" w:type="dxa"/>
            <w:vAlign w:val="bottom"/>
            <w:tcBorders>
              <w:bottom w:val="single" w:sz="8" w:color="CCEEFF"/>
            </w:tcBorders>
          </w:tcPr>
          <w:p>
            <w:pPr>
              <w:spacing w:after="0"/>
              <w:rPr>
                <w:sz w:val="14"/>
                <w:szCs w:val="14"/>
                <w:color w:val="auto"/>
              </w:rPr>
            </w:pPr>
          </w:p>
        </w:tc>
        <w:tc>
          <w:tcPr>
            <w:tcW w:w="1820" w:type="dxa"/>
            <w:vAlign w:val="bottom"/>
            <w:tcBorders>
              <w:bottom w:val="single" w:sz="8" w:color="auto"/>
            </w:tcBorders>
          </w:tcPr>
          <w:p>
            <w:pPr>
              <w:jc w:val="right"/>
              <w:ind w:right="507"/>
              <w:spacing w:after="0"/>
              <w:rPr>
                <w:sz w:val="20"/>
                <w:szCs w:val="20"/>
                <w:color w:val="auto"/>
              </w:rPr>
            </w:pPr>
            <w:r>
              <w:rPr>
                <w:rFonts w:ascii="Times New Roman" w:cs="Times New Roman" w:eastAsia="Times New Roman" w:hAnsi="Times New Roman"/>
                <w:sz w:val="12"/>
                <w:szCs w:val="12"/>
                <w:b w:val="1"/>
                <w:bCs w:val="1"/>
                <w:color w:val="auto"/>
              </w:rPr>
              <w:t>2023</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2"/>
                <w:szCs w:val="12"/>
                <w:b w:val="1"/>
                <w:bCs w:val="1"/>
                <w:color w:val="auto"/>
              </w:rPr>
              <w:t>2022</w:t>
            </w:r>
          </w:p>
        </w:tc>
        <w:tc>
          <w:tcPr>
            <w:tcW w:w="12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904"/>
              <w:spacing w:after="0"/>
              <w:rPr>
                <w:sz w:val="20"/>
                <w:szCs w:val="20"/>
                <w:color w:val="auto"/>
              </w:rPr>
            </w:pPr>
            <w:r>
              <w:rPr>
                <w:rFonts w:ascii="Times New Roman" w:cs="Times New Roman" w:eastAsia="Times New Roman" w:hAnsi="Times New Roman"/>
                <w:sz w:val="12"/>
                <w:szCs w:val="12"/>
                <w:b w:val="1"/>
                <w:bCs w:val="1"/>
                <w:color w:val="auto"/>
              </w:rPr>
              <w:t>2021</w:t>
            </w:r>
          </w:p>
        </w:tc>
        <w:tc>
          <w:tcPr>
            <w:tcW w:w="60" w:type="dxa"/>
            <w:vAlign w:val="bottom"/>
          </w:tcPr>
          <w:p>
            <w:pPr>
              <w:spacing w:after="0"/>
              <w:rPr>
                <w:sz w:val="14"/>
                <w:szCs w:val="14"/>
                <w:color w:val="auto"/>
              </w:rPr>
            </w:pPr>
          </w:p>
        </w:tc>
      </w:tr>
      <w:tr>
        <w:trPr>
          <w:trHeight w:val="19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1820" w:type="dxa"/>
            <w:vAlign w:val="bottom"/>
            <w:shd w:val="clear" w:color="auto" w:fill="CCEEFF"/>
          </w:tcPr>
          <w:p>
            <w:pPr>
              <w:jc w:val="right"/>
              <w:ind w:right="1647"/>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960" w:type="dxa"/>
            <w:vAlign w:val="bottom"/>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170,536</w:t>
            </w:r>
          </w:p>
        </w:tc>
        <w:tc>
          <w:tcPr>
            <w:tcW w:w="60" w:type="dxa"/>
            <w:vAlign w:val="bottom"/>
          </w:tcPr>
          <w:p>
            <w:pPr>
              <w:spacing w:after="0"/>
              <w:rPr>
                <w:sz w:val="17"/>
                <w:szCs w:val="17"/>
                <w:color w:val="auto"/>
              </w:rPr>
            </w:pPr>
          </w:p>
        </w:tc>
      </w:tr>
      <w:tr>
        <w:trPr>
          <w:trHeight w:val="199"/>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1820" w:type="dxa"/>
            <w:vAlign w:val="bottom"/>
          </w:tcPr>
          <w:p>
            <w:pPr>
              <w:spacing w:after="0"/>
              <w:rPr>
                <w:sz w:val="17"/>
                <w:szCs w:val="17"/>
                <w:color w:val="auto"/>
              </w:rPr>
            </w:pP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080" w:type="dxa"/>
            <w:vAlign w:val="bottom"/>
            <w:gridSpan w:val="2"/>
          </w:tcPr>
          <w:p>
            <w:pPr>
              <w:ind w:left="17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46,417</w:t>
            </w:r>
          </w:p>
        </w:tc>
        <w:tc>
          <w:tcPr>
            <w:tcW w:w="60" w:type="dxa"/>
            <w:vAlign w:val="bottom"/>
          </w:tcPr>
          <w:p>
            <w:pPr>
              <w:spacing w:after="0"/>
              <w:rPr>
                <w:sz w:val="17"/>
                <w:szCs w:val="17"/>
                <w:color w:val="auto"/>
              </w:rPr>
            </w:pPr>
          </w:p>
        </w:tc>
      </w:tr>
      <w:tr>
        <w:trPr>
          <w:trHeight w:val="199"/>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841,489</w:t>
            </w:r>
          </w:p>
        </w:tc>
        <w:tc>
          <w:tcPr>
            <w:tcW w:w="60" w:type="dxa"/>
            <w:vAlign w:val="bottom"/>
          </w:tcPr>
          <w:p>
            <w:pPr>
              <w:spacing w:after="0"/>
              <w:rPr>
                <w:sz w:val="17"/>
                <w:szCs w:val="17"/>
                <w:color w:val="auto"/>
              </w:rPr>
            </w:pPr>
          </w:p>
        </w:tc>
      </w:tr>
      <w:tr>
        <w:trPr>
          <w:trHeight w:val="190"/>
        </w:trPr>
        <w:tc>
          <w:tcPr>
            <w:tcW w:w="4300" w:type="dxa"/>
            <w:vAlign w:val="bottom"/>
          </w:tcPr>
          <w:p>
            <w:pPr>
              <w:spacing w:after="0" w:line="183" w:lineRule="exact"/>
              <w:rPr>
                <w:sz w:val="20"/>
                <w:szCs w:val="20"/>
                <w:color w:val="auto"/>
              </w:rPr>
            </w:pPr>
            <w:r>
              <w:rPr>
                <w:rFonts w:ascii="Times New Roman" w:cs="Times New Roman" w:eastAsia="Times New Roman" w:hAnsi="Times New Roman"/>
                <w:sz w:val="16"/>
                <w:szCs w:val="16"/>
                <w:color w:val="auto"/>
              </w:rPr>
              <w:t>Total stock based-compensation expense</w:t>
            </w:r>
          </w:p>
        </w:tc>
        <w:tc>
          <w:tcPr>
            <w:tcW w:w="1820" w:type="dxa"/>
            <w:vAlign w:val="bottom"/>
            <w:tcBorders>
              <w:top w:val="single" w:sz="8" w:color="auto"/>
              <w:bottom w:val="single" w:sz="8" w:color="auto"/>
            </w:tcBorders>
          </w:tcPr>
          <w:p>
            <w:pPr>
              <w:jc w:val="right"/>
              <w:ind w:right="1647"/>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1960" w:type="dxa"/>
            <w:vAlign w:val="bottom"/>
            <w:tcBorders>
              <w:top w:val="single" w:sz="8" w:color="auto"/>
              <w:bottom w:val="single" w:sz="8" w:color="auto"/>
            </w:tcBorders>
          </w:tcPr>
          <w:p>
            <w:pPr>
              <w:ind w:left="17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480" w:type="dxa"/>
            <w:vAlign w:val="bottom"/>
            <w:tcBorders>
              <w:top w:val="single" w:sz="8" w:color="auto"/>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1,058,442</w:t>
            </w:r>
          </w:p>
        </w:tc>
        <w:tc>
          <w:tcPr>
            <w:tcW w:w="60" w:type="dxa"/>
            <w:vAlign w:val="bottom"/>
          </w:tcPr>
          <w:p>
            <w:pPr>
              <w:spacing w:after="0"/>
              <w:rPr>
                <w:sz w:val="16"/>
                <w:szCs w:val="16"/>
                <w:color w:val="auto"/>
              </w:rPr>
            </w:pPr>
          </w:p>
        </w:tc>
      </w:tr>
      <w:tr>
        <w:trPr>
          <w:trHeight w:val="20"/>
        </w:trPr>
        <w:tc>
          <w:tcPr>
            <w:tcW w:w="43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4"/>
        </w:trPr>
        <w:tc>
          <w:tcPr>
            <w:tcW w:w="6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following is a rollforward of Class B Units activity for the year ended December 31, 2021:</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4"/>
        </w:trPr>
        <w:tc>
          <w:tcPr>
            <w:tcW w:w="43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4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Unvested at January 1, 2021</w:t>
            </w:r>
          </w:p>
        </w:tc>
        <w:tc>
          <w:tcPr>
            <w:tcW w:w="18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75,044</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33"/>
        </w:trPr>
        <w:tc>
          <w:tcPr>
            <w:tcW w:w="4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17,690</w:t>
            </w:r>
          </w:p>
        </w:tc>
        <w:tc>
          <w:tcPr>
            <w:tcW w:w="60" w:type="dxa"/>
            <w:vAlign w:val="bottom"/>
          </w:tcPr>
          <w:p>
            <w:pPr>
              <w:spacing w:after="0"/>
              <w:rPr>
                <w:sz w:val="20"/>
                <w:szCs w:val="20"/>
                <w:color w:val="auto"/>
              </w:rPr>
            </w:pPr>
          </w:p>
        </w:tc>
      </w:tr>
      <w:tr>
        <w:trPr>
          <w:trHeight w:val="234"/>
        </w:trPr>
        <w:tc>
          <w:tcPr>
            <w:tcW w:w="4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8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(92,734)</w:t>
            </w:r>
          </w:p>
        </w:tc>
      </w:tr>
      <w:tr>
        <w:trPr>
          <w:trHeight w:val="226"/>
        </w:trPr>
        <w:tc>
          <w:tcPr>
            <w:tcW w:w="4300" w:type="dxa"/>
            <w:vAlign w:val="bottom"/>
          </w:tcPr>
          <w:p>
            <w:pPr>
              <w:spacing w:after="0"/>
              <w:rPr>
                <w:sz w:val="20"/>
                <w:szCs w:val="20"/>
                <w:color w:val="auto"/>
              </w:rPr>
            </w:pPr>
            <w:r>
              <w:rPr>
                <w:rFonts w:ascii="Times New Roman" w:cs="Times New Roman" w:eastAsia="Times New Roman" w:hAnsi="Times New Roman"/>
                <w:sz w:val="16"/>
                <w:szCs w:val="16"/>
                <w:color w:val="auto"/>
              </w:rPr>
              <w:t>Unvested at December 31, 2021</w:t>
            </w:r>
          </w:p>
        </w:tc>
        <w:tc>
          <w:tcPr>
            <w:tcW w:w="18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3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6"/>
          <w:szCs w:val="16"/>
          <w:b w:val="1"/>
          <w:bCs w:val="1"/>
          <w:color w:val="auto"/>
        </w:rPr>
        <w:t>MARKETWISE,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(Dollar amounts in thousands, except share, unit, per share, and per unit data)</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weighted-average grant-date fair value of Class B Units granted was $2,195.16 per unit during the year ending December 31, 2021.</w:t>
      </w:r>
    </w:p>
    <w:p>
      <w:pPr>
        <w:spacing w:after="0" w:line="143"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6"/>
          <w:szCs w:val="16"/>
          <w:color w:val="auto"/>
        </w:rPr>
        <w:t xml:space="preserve">Because the Class B Units were not publicly traded, we estimated the fair value of its Class B Units in each reporting period. The fair values of Class B Units were estimated by the board of managers of MarketWise, LLC based on its equity value. The board of managers of MarketWise, LLC considered, among other things, contemporaneous valuations of our equity value prepared by an unrelated third-party valuation firm in accordance with the guidance provided by the American Institute of Certified Public Accountants Practice Guide, </w:t>
      </w:r>
      <w:r>
        <w:rPr>
          <w:rFonts w:ascii="Times New Roman" w:cs="Times New Roman" w:eastAsia="Times New Roman" w:hAnsi="Times New Roman"/>
          <w:sz w:val="16"/>
          <w:szCs w:val="16"/>
          <w:i w:val="1"/>
          <w:iCs w:val="1"/>
          <w:color w:val="auto"/>
        </w:rPr>
        <w:t>Valuation of Privately-Held-Company Equity Securities Issued as Compensation.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At the date of the Transactions on July 21, 2021, the $10 market value per share was used.</w:t>
      </w:r>
    </w:p>
    <w:p>
      <w:pPr>
        <w:spacing w:after="0" w:line="14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For the three and six months ended June 30, 2021, the fair value of the Class B Units of MarketWise, LLC was estimated using a probability-weighted expected return method. This method considered two scenarios: one based on a market approach according to a proposed acquisition of the Company and allocated through a liquidation waterfall, and the other based on the Company continuing as a private entity according to a discounted cash flow analysis, and allocated using an option pricing model. The results of these two methods were weighted to derive the fair value of the Class B Units as of March 31, 2021 and June 30, 2021.</w:t>
      </w:r>
    </w:p>
    <w:p>
      <w:pPr>
        <w:spacing w:after="0" w:line="1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6"/>
          <w:szCs w:val="16"/>
          <w:color w:val="auto"/>
        </w:rPr>
        <w:t>The discounted cash flow method estimates the equity value of the Company by projecting the Company’s net cash flows into the future and discounting these net cash flows to present value by applying a discount rate. Key inputs for this valuation include the Company’s projected cash flows and discount rate. Changes to these inputs could have a material impact on the accompanying consolidated financial statements.</w:t>
      </w:r>
    </w:p>
    <w:p>
      <w:pPr>
        <w:spacing w:after="0" w:line="113"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6"/>
          <w:szCs w:val="16"/>
          <w:color w:val="auto"/>
        </w:rPr>
        <w:t>The option pricing model allocates the equity value to each class of common units by preparing a breakpoint analysis to determine which securities would receive value at each threshold of a hypothetical liquidation. Then applying a Black-Scholes option pricing analysis to determine the incremental value of each respective breakpoint and allocating that value to each participating security based on its pro-rata ownership in the breakpoint. Key inputs for this valuation include the equity value of the Company, risk-free rate, allocation thresholds, and stock volatility.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considered several objective and subjective factors to determine the best estimate of the fair value of the Class B Units, including:</w:t>
      </w:r>
    </w:p>
    <w:p>
      <w:pPr>
        <w:spacing w:after="0" w:line="143" w:lineRule="exact"/>
        <w:rPr>
          <w:sz w:val="20"/>
          <w:szCs w:val="20"/>
          <w:color w:val="auto"/>
        </w:rPr>
      </w:pPr>
    </w:p>
    <w:p>
      <w:pPr>
        <w:ind w:left="560" w:hanging="286"/>
        <w:spacing w:after="0"/>
        <w:tabs>
          <w:tab w:leader="none" w:pos="5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historical and expected operating and financial performance;</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current business conditions;</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indications of value from external investors and their proposed value for the business;</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stage of development and business strategy;</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macroeconomic conditions;</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weighted average cost of capital;</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risk-free rates of return;</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volatility of comparable publicly traded peer companies; and</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lack of an active public market for the Company’s equity units.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See also Note 2, </w:t>
      </w:r>
      <w:r>
        <w:rPr>
          <w:rFonts w:ascii="Times New Roman" w:cs="Times New Roman" w:eastAsia="Times New Roman" w:hAnsi="Times New Roman"/>
          <w:sz w:val="16"/>
          <w:szCs w:val="16"/>
          <w:i w:val="1"/>
          <w:iCs w:val="1"/>
          <w:color w:val="auto"/>
        </w:rPr>
        <w:t>Summary of Significant Accounting Policies — Stock-Based Compensation.</w:t>
      </w:r>
    </w:p>
    <w:p>
      <w:pPr>
        <w:spacing w:after="0" w:line="200" w:lineRule="exact"/>
        <w:rPr>
          <w:sz w:val="20"/>
          <w:szCs w:val="20"/>
          <w:color w:val="auto"/>
        </w:rPr>
      </w:pPr>
    </w:p>
    <w:p>
      <w:pPr>
        <w:spacing w:after="0" w:line="29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12.</w:t>
      </w:r>
      <w:r>
        <w:rPr>
          <w:sz w:val="20"/>
          <w:szCs w:val="20"/>
          <w:color w:val="auto"/>
        </w:rPr>
        <w:tab/>
      </w:r>
      <w:r>
        <w:rPr>
          <w:rFonts w:ascii="Times New Roman" w:cs="Times New Roman" w:eastAsia="Times New Roman" w:hAnsi="Times New Roman"/>
          <w:sz w:val="14"/>
          <w:szCs w:val="14"/>
          <w:b w:val="1"/>
          <w:bCs w:val="1"/>
          <w:color w:val="auto"/>
        </w:rPr>
        <w:t>Earnings Per Share</w:t>
      </w:r>
    </w:p>
    <w:p>
      <w:pPr>
        <w:spacing w:after="0" w:line="14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6"/>
          <w:szCs w:val="16"/>
          <w:color w:val="auto"/>
        </w:rPr>
        <w:t>On July 21, 2021, we completed the Transactions pursuant to the Transaction Agreement which materially impacted the number of shares outstanding. We analyzed the calculation of earnings per share for periods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MARKETWISE, INC.</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(Dollar amounts in thousands, except share, unit, per share, and per unit data)</w:t>
      </w:r>
    </w:p>
    <w:p>
      <w:pPr>
        <w:spacing w:after="0" w:line="200" w:lineRule="exact"/>
        <w:rPr>
          <w:sz w:val="20"/>
          <w:szCs w:val="20"/>
          <w:color w:val="auto"/>
        </w:rPr>
      </w:pPr>
    </w:p>
    <w:p>
      <w:pPr>
        <w:spacing w:after="0" w:line="349"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6"/>
          <w:szCs w:val="16"/>
          <w:color w:val="auto"/>
        </w:rPr>
        <w:t>the Transactions, and determined that it resulted in values that would not be meaningful to the users of the consolidated financial statements, as our capital structure completely changed as a result of the Transactions. Therefore, earnings per share information has not been presented for periods prior to the Transactions.</w:t>
      </w:r>
    </w:p>
    <w:p>
      <w:pPr>
        <w:spacing w:after="0" w:line="10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Net income (loss) for the year ended December 31, 2021 was attributed to the pre-Transactions period from January 1, 2021 through July 21, 2021 and to the post-Transactions period from July 22, 2021 through December 31, 2021. During the pre-Transactions period, net income (loss) was attributable to consolidated MarketWise, LLC and its respective noncontrolling interests. During the post-Transactions period, net income was attributable to consolidated MarketWise, Inc. and its respective noncontrolling interests. Immediately following the Transactions, MarketWise, Inc.’s controlling interest in MarketWise, LLC was 7.9% and its noncontrolling interest was 92.1%. For the post-Transaction period from July 22, 2021 through December 31, 2021, net income attributable to controlling interests included a $15,689 gain on warrant liabilities and a $2,358 tax provision, both of which are 100% attributable to the controlling interest.</w:t>
      </w:r>
    </w:p>
    <w:p>
      <w:pPr>
        <w:spacing w:after="0" w:line="122"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6"/>
          <w:szCs w:val="16"/>
          <w:color w:val="auto"/>
        </w:rPr>
        <w:t xml:space="preserve">Weighted average shares outstanding in the table below have not been retroactively restated to give effect to the reverse recapitalization for periods prior to the date of the Transactions. See Note 1 – </w:t>
      </w:r>
      <w:r>
        <w:rPr>
          <w:rFonts w:ascii="Times New Roman" w:cs="Times New Roman" w:eastAsia="Times New Roman" w:hAnsi="Times New Roman"/>
          <w:sz w:val="16"/>
          <w:szCs w:val="16"/>
          <w:i w:val="1"/>
          <w:iCs w:val="1"/>
          <w:color w:val="auto"/>
        </w:rPr>
        <w:t>Description of Organization and Reverse Recapitalization with Ascendant Digital Acquisition Corp.</w:t>
      </w:r>
      <w:r>
        <w:rPr>
          <w:rFonts w:ascii="Times New Roman" w:cs="Times New Roman" w:eastAsia="Times New Roman" w:hAnsi="Times New Roman"/>
          <w:sz w:val="16"/>
          <w:szCs w:val="16"/>
          <w:color w:val="auto"/>
        </w:rPr>
        <w:t xml:space="preserve"> for more information regarding the Transactions. Class B common stock is not a participating security, therefore it is not included in the earnings per share calculation.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6"/>
          <w:szCs w:val="16"/>
          <w:b w:val="1"/>
          <w:bCs w:val="1"/>
          <w:color w:val="auto"/>
        </w:rPr>
        <w:t>MARKETWISE,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(Dollar amounts in thousands, except share, unit, per share, and per unit data)</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table sets forth the computation of basic and diluted earnings per share for the respective periods: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200" w:type="dxa"/>
            <w:vAlign w:val="bottom"/>
          </w:tcPr>
          <w:p>
            <w:pPr>
              <w:spacing w:after="0"/>
              <w:rPr>
                <w:sz w:val="12"/>
                <w:szCs w:val="12"/>
                <w:color w:val="auto"/>
              </w:rPr>
            </w:pPr>
          </w:p>
        </w:tc>
        <w:tc>
          <w:tcPr>
            <w:tcW w:w="15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Year Ended</w:t>
            </w:r>
          </w:p>
        </w:tc>
        <w:tc>
          <w:tcPr>
            <w:tcW w:w="180" w:type="dxa"/>
            <w:vAlign w:val="bottom"/>
          </w:tcPr>
          <w:p>
            <w:pPr>
              <w:spacing w:after="0"/>
              <w:rPr>
                <w:sz w:val="12"/>
                <w:szCs w:val="12"/>
                <w:color w:val="auto"/>
              </w:rPr>
            </w:pPr>
          </w:p>
        </w:tc>
        <w:tc>
          <w:tcPr>
            <w:tcW w:w="1500" w:type="dxa"/>
            <w:vAlign w:val="bottom"/>
          </w:tcPr>
          <w:p>
            <w:pPr>
              <w:jc w:val="center"/>
              <w:ind w:right="146"/>
              <w:spacing w:after="0"/>
              <w:rPr>
                <w:sz w:val="20"/>
                <w:szCs w:val="20"/>
                <w:color w:val="auto"/>
              </w:rPr>
            </w:pPr>
            <w:r>
              <w:rPr>
                <w:rFonts w:ascii="Times New Roman" w:cs="Times New Roman" w:eastAsia="Times New Roman" w:hAnsi="Times New Roman"/>
                <w:sz w:val="12"/>
                <w:szCs w:val="12"/>
                <w:b w:val="1"/>
                <w:bCs w:val="1"/>
                <w:color w:val="auto"/>
              </w:rPr>
              <w:t>Period from</w:t>
            </w:r>
          </w:p>
        </w:tc>
        <w:tc>
          <w:tcPr>
            <w:tcW w:w="0" w:type="dxa"/>
            <w:vAlign w:val="bottom"/>
          </w:tcPr>
          <w:p>
            <w:pPr>
              <w:spacing w:after="0"/>
              <w:rPr>
                <w:sz w:val="1"/>
                <w:szCs w:val="1"/>
                <w:color w:val="auto"/>
              </w:rPr>
            </w:pPr>
          </w:p>
        </w:tc>
      </w:tr>
      <w:tr>
        <w:trPr>
          <w:trHeight w:val="127"/>
        </w:trPr>
        <w:tc>
          <w:tcPr>
            <w:tcW w:w="6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tcPr>
          <w:p>
            <w:pPr>
              <w:jc w:val="center"/>
              <w:ind w:right="106"/>
              <w:spacing w:after="0" w:line="128" w:lineRule="exact"/>
              <w:rPr>
                <w:sz w:val="20"/>
                <w:szCs w:val="20"/>
                <w:color w:val="auto"/>
              </w:rPr>
            </w:pPr>
            <w:r>
              <w:rPr>
                <w:rFonts w:ascii="Times New Roman" w:cs="Times New Roman" w:eastAsia="Times New Roman" w:hAnsi="Times New Roman"/>
                <w:sz w:val="12"/>
                <w:szCs w:val="12"/>
                <w:b w:val="1"/>
                <w:bCs w:val="1"/>
                <w:color w:val="auto"/>
              </w:rPr>
              <w:t>July 22, 2021 through</w:t>
            </w:r>
          </w:p>
        </w:tc>
        <w:tc>
          <w:tcPr>
            <w:tcW w:w="0" w:type="dxa"/>
            <w:vAlign w:val="bottom"/>
          </w:tcPr>
          <w:p>
            <w:pPr>
              <w:spacing w:after="0"/>
              <w:rPr>
                <w:sz w:val="1"/>
                <w:szCs w:val="1"/>
                <w:color w:val="auto"/>
              </w:rPr>
            </w:pPr>
          </w:p>
        </w:tc>
      </w:tr>
      <w:tr>
        <w:trPr>
          <w:trHeight w:val="171"/>
        </w:trPr>
        <w:tc>
          <w:tcPr>
            <w:tcW w:w="6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December 31, 2023</w:t>
            </w:r>
          </w:p>
        </w:tc>
        <w:tc>
          <w:tcPr>
            <w:tcW w:w="200" w:type="dxa"/>
            <w:vAlign w:val="bottom"/>
          </w:tcPr>
          <w:p>
            <w:pPr>
              <w:spacing w:after="0"/>
              <w:rPr>
                <w:sz w:val="14"/>
                <w:szCs w:val="14"/>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December 31, 2022</w:t>
            </w:r>
          </w:p>
        </w:tc>
        <w:tc>
          <w:tcPr>
            <w:tcW w:w="180" w:type="dxa"/>
            <w:vAlign w:val="bottom"/>
          </w:tcPr>
          <w:p>
            <w:pPr>
              <w:spacing w:after="0"/>
              <w:rPr>
                <w:sz w:val="14"/>
                <w:szCs w:val="14"/>
                <w:color w:val="auto"/>
              </w:rPr>
            </w:pPr>
          </w:p>
        </w:tc>
        <w:tc>
          <w:tcPr>
            <w:tcW w:w="1500" w:type="dxa"/>
            <w:vAlign w:val="bottom"/>
          </w:tcPr>
          <w:p>
            <w:pPr>
              <w:jc w:val="center"/>
              <w:ind w:right="106"/>
              <w:spacing w:after="0"/>
              <w:rPr>
                <w:sz w:val="20"/>
                <w:szCs w:val="20"/>
                <w:color w:val="auto"/>
              </w:rPr>
            </w:pPr>
            <w:r>
              <w:rPr>
                <w:rFonts w:ascii="Times New Roman" w:cs="Times New Roman" w:eastAsia="Times New Roman" w:hAnsi="Times New Roman"/>
                <w:sz w:val="12"/>
                <w:szCs w:val="12"/>
                <w:b w:val="1"/>
                <w:bCs w:val="1"/>
                <w:color w:val="auto"/>
              </w:rPr>
              <w:t>December 31, 2021</w:t>
            </w:r>
          </w:p>
        </w:tc>
        <w:tc>
          <w:tcPr>
            <w:tcW w:w="0" w:type="dxa"/>
            <w:vAlign w:val="bottom"/>
          </w:tcPr>
          <w:p>
            <w:pPr>
              <w:spacing w:after="0"/>
              <w:rPr>
                <w:sz w:val="1"/>
                <w:szCs w:val="1"/>
                <w:color w:val="auto"/>
              </w:rPr>
            </w:pPr>
          </w:p>
        </w:tc>
      </w:tr>
      <w:tr>
        <w:trPr>
          <w:trHeight w:val="183"/>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Basic earnings per share:</w:t>
            </w:r>
          </w:p>
        </w:tc>
        <w:tc>
          <w:tcPr>
            <w:tcW w:w="20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54,295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101,170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78,728</w:t>
            </w:r>
          </w:p>
        </w:tc>
        <w:tc>
          <w:tcPr>
            <w:tcW w:w="0" w:type="dxa"/>
            <w:vAlign w:val="bottom"/>
          </w:tcPr>
          <w:p>
            <w:pPr>
              <w:spacing w:after="0"/>
              <w:rPr>
                <w:sz w:val="1"/>
                <w:szCs w:val="1"/>
                <w:color w:val="auto"/>
              </w:rPr>
            </w:pPr>
          </w:p>
        </w:tc>
      </w:tr>
      <w:tr>
        <w:trPr>
          <w:trHeight w:val="199"/>
        </w:trPr>
        <w:tc>
          <w:tcPr>
            <w:tcW w:w="60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52,513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83,180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60,476</w:t>
            </w:r>
          </w:p>
        </w:tc>
        <w:tc>
          <w:tcPr>
            <w:tcW w:w="0" w:type="dxa"/>
            <w:vAlign w:val="bottom"/>
          </w:tcPr>
          <w:p>
            <w:pPr>
              <w:spacing w:after="0"/>
              <w:rPr>
                <w:sz w:val="1"/>
                <w:szCs w:val="1"/>
                <w:color w:val="auto"/>
              </w:rPr>
            </w:pPr>
          </w:p>
        </w:tc>
      </w:tr>
      <w:tr>
        <w:trPr>
          <w:trHeight w:val="215"/>
        </w:trPr>
        <w:tc>
          <w:tcPr>
            <w:tcW w:w="6060" w:type="dxa"/>
            <w:vAlign w:val="bottom"/>
            <w:tcBorders>
              <w:bottom w:val="single" w:sz="8" w:color="CCEEFF"/>
            </w:tcBorders>
            <w:shd w:val="clear" w:color="auto" w:fill="CCEEFF"/>
          </w:tcPr>
          <w:p>
            <w:pPr>
              <w:ind w:left="100"/>
              <w:spacing w:after="0" w:line="183" w:lineRule="exact"/>
              <w:rPr>
                <w:sz w:val="20"/>
                <w:szCs w:val="20"/>
                <w:color w:val="auto"/>
              </w:rPr>
            </w:pPr>
            <w:r>
              <w:rPr>
                <w:rFonts w:ascii="Times New Roman" w:cs="Times New Roman" w:eastAsia="Times New Roman" w:hAnsi="Times New Roman"/>
                <w:sz w:val="16"/>
                <w:szCs w:val="16"/>
                <w:color w:val="auto"/>
              </w:rPr>
              <w:t>Net income attributable to Class A common stockholders</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18,252</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Weighted average shares outstanding (in thousands)</w:t>
            </w: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31,707</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24,635</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25,035</w:t>
            </w: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Basic earnings per share</w:t>
            </w: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Diluted earnings per share:</w:t>
            </w: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54,295</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101,170</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78,728</w:t>
            </w:r>
          </w:p>
        </w:tc>
        <w:tc>
          <w:tcPr>
            <w:tcW w:w="0" w:type="dxa"/>
            <w:vAlign w:val="bottom"/>
          </w:tcPr>
          <w:p>
            <w:pPr>
              <w:spacing w:after="0"/>
              <w:rPr>
                <w:sz w:val="1"/>
                <w:szCs w:val="1"/>
                <w:color w:val="auto"/>
              </w:rPr>
            </w:pPr>
          </w:p>
        </w:tc>
      </w:tr>
      <w:tr>
        <w:trPr>
          <w:trHeight w:val="199"/>
        </w:trPr>
        <w:tc>
          <w:tcPr>
            <w:tcW w:w="60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2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52,513</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83,180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60,476</w:t>
            </w:r>
          </w:p>
        </w:tc>
        <w:tc>
          <w:tcPr>
            <w:tcW w:w="0" w:type="dxa"/>
            <w:vAlign w:val="bottom"/>
          </w:tcPr>
          <w:p>
            <w:pPr>
              <w:spacing w:after="0"/>
              <w:rPr>
                <w:sz w:val="1"/>
                <w:szCs w:val="1"/>
                <w:color w:val="auto"/>
              </w:rPr>
            </w:pPr>
          </w:p>
        </w:tc>
      </w:tr>
      <w:tr>
        <w:trPr>
          <w:trHeight w:val="190"/>
        </w:trPr>
        <w:tc>
          <w:tcPr>
            <w:tcW w:w="6060" w:type="dxa"/>
            <w:vAlign w:val="bottom"/>
          </w:tcPr>
          <w:p>
            <w:pPr>
              <w:ind w:left="100"/>
              <w:spacing w:after="0" w:line="183" w:lineRule="exact"/>
              <w:rPr>
                <w:sz w:val="20"/>
                <w:szCs w:val="20"/>
                <w:color w:val="auto"/>
              </w:rPr>
            </w:pPr>
            <w:r>
              <w:rPr>
                <w:rFonts w:ascii="Times New Roman" w:cs="Times New Roman" w:eastAsia="Times New Roman" w:hAnsi="Times New Roman"/>
                <w:sz w:val="16"/>
                <w:szCs w:val="16"/>
                <w:color w:val="auto"/>
              </w:rPr>
              <w:t>Net income attributable to Class A common stockholders</w:t>
            </w:r>
          </w:p>
        </w:tc>
        <w:tc>
          <w:tcPr>
            <w:tcW w:w="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1,782</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17,990</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18,252</w:t>
            </w:r>
          </w:p>
        </w:tc>
        <w:tc>
          <w:tcPr>
            <w:tcW w:w="0" w:type="dxa"/>
            <w:vAlign w:val="bottom"/>
          </w:tcPr>
          <w:p>
            <w:pPr>
              <w:spacing w:after="0"/>
              <w:rPr>
                <w:sz w:val="1"/>
                <w:szCs w:val="1"/>
                <w:color w:val="auto"/>
              </w:rPr>
            </w:pP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0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Weighted average shares outstanding (in thousands)</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33,312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24,747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25,035</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0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Diluted earnings per share</w:t>
            </w: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Company’s potentially dilutive securities and their impact on the computation of earnings per share are as follows:</w:t>
      </w:r>
    </w:p>
    <w:p>
      <w:pPr>
        <w:spacing w:after="0" w:line="143" w:lineRule="exact"/>
        <w:rPr>
          <w:sz w:val="20"/>
          <w:szCs w:val="20"/>
          <w:color w:val="auto"/>
        </w:rPr>
      </w:pPr>
    </w:p>
    <w:p>
      <w:pPr>
        <w:ind w:left="560" w:right="20" w:hanging="286"/>
        <w:spacing w:after="0" w:line="252" w:lineRule="auto"/>
        <w:tabs>
          <w:tab w:leader="none" w:pos="556"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Public Warrants and Private Placement Warrants: the Public and Private Placement Warrants were "out of the money" for the period from July 21, 2021 through December 31, 2021, therefore, net income per share excludes any impact of the 20,699,993 Public Warrants and 10,280,000 Private Placement Warrants. The warrants were out of the money during the portion of the year ended December 31, 2022 prior to the warrant exchange transaction in September 2022, and there are no warrants outstanding thereafter. For more details on the warrant exchange, see </w:t>
      </w:r>
      <w:r>
        <w:rPr>
          <w:rFonts w:ascii="Times New Roman" w:cs="Times New Roman" w:eastAsia="Times New Roman" w:hAnsi="Times New Roman"/>
          <w:sz w:val="16"/>
          <w:szCs w:val="16"/>
          <w:i w:val="1"/>
          <w:iCs w:val="1"/>
          <w:color w:val="auto"/>
        </w:rPr>
        <w:t>Note 17 – Warrant Exchange</w:t>
      </w:r>
      <w:r>
        <w:rPr>
          <w:rFonts w:ascii="Times New Roman" w:cs="Times New Roman" w:eastAsia="Times New Roman" w:hAnsi="Times New Roman"/>
          <w:sz w:val="16"/>
          <w:szCs w:val="16"/>
          <w:color w:val="auto"/>
        </w:rPr>
        <w:t>.</w:t>
      </w:r>
    </w:p>
    <w:p>
      <w:pPr>
        <w:spacing w:after="0" w:line="115" w:lineRule="exact"/>
        <w:rPr>
          <w:rFonts w:ascii="Times New Roman" w:cs="Times New Roman" w:eastAsia="Times New Roman" w:hAnsi="Times New Roman"/>
          <w:sz w:val="16"/>
          <w:szCs w:val="16"/>
          <w:color w:val="auto"/>
        </w:rPr>
      </w:pPr>
    </w:p>
    <w:p>
      <w:pPr>
        <w:ind w:left="560" w:right="340" w:hanging="286"/>
        <w:spacing w:after="0" w:line="256" w:lineRule="auto"/>
        <w:tabs>
          <w:tab w:leader="none" w:pos="556"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Sponsor Earnout Shares and MarketWise Management Member Earnout Shares: the 3,051,000 Sponsor Earnout Shares and the 2,000,000 MarketWise Management Member Earnout Shares granted in connection with the closing of the Transactions held in escrow are excluded from the earnings per share computation in all periods since the earnout contingency has not been met.</w:t>
      </w:r>
    </w:p>
    <w:p>
      <w:pPr>
        <w:spacing w:after="0" w:line="112" w:lineRule="exact"/>
        <w:rPr>
          <w:rFonts w:ascii="Times New Roman" w:cs="Times New Roman" w:eastAsia="Times New Roman" w:hAnsi="Times New Roman"/>
          <w:sz w:val="16"/>
          <w:szCs w:val="16"/>
          <w:color w:val="auto"/>
        </w:rPr>
      </w:pPr>
    </w:p>
    <w:p>
      <w:pPr>
        <w:ind w:left="560" w:right="420" w:hanging="286"/>
        <w:spacing w:after="0" w:line="341" w:lineRule="auto"/>
        <w:tabs>
          <w:tab w:leader="none" w:pos="556"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units: The basic earnings per share calculation includes the impact of vested RSUs. The diluted earnings per share calculation includes the impact of unvested RSUs, where the impact is dilutive, unless the Company has a net loss. The diluted earnings per share calculations above exclude certain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09" w:name="page110"/>
    <w:bookmarkEnd w:id="109"/>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MARKETWISE, INC.</w:t>
      </w:r>
    </w:p>
    <w:p>
      <w:pPr>
        <w:spacing w:after="0" w:line="2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i w:val="1"/>
          <w:iCs w:val="1"/>
          <w:color w:val="auto"/>
        </w:rPr>
        <w:t>(Dollar amounts in thousands, except share, unit, per share, and per unit data)</w:t>
      </w:r>
    </w:p>
    <w:p>
      <w:pPr>
        <w:spacing w:after="0" w:line="200" w:lineRule="exact"/>
        <w:rPr>
          <w:sz w:val="20"/>
          <w:szCs w:val="20"/>
          <w:color w:val="auto"/>
        </w:rPr>
      </w:pPr>
    </w:p>
    <w:p>
      <w:pPr>
        <w:spacing w:after="0" w:line="349" w:lineRule="exact"/>
        <w:rPr>
          <w:sz w:val="20"/>
          <w:szCs w:val="20"/>
          <w:color w:val="auto"/>
        </w:rPr>
      </w:pPr>
    </w:p>
    <w:p>
      <w:pPr>
        <w:ind w:left="566"/>
        <w:spacing w:after="0"/>
        <w:rPr>
          <w:sz w:val="20"/>
          <w:szCs w:val="20"/>
          <w:color w:val="auto"/>
        </w:rPr>
      </w:pPr>
      <w:r>
        <w:rPr>
          <w:rFonts w:ascii="Times New Roman" w:cs="Times New Roman" w:eastAsia="Times New Roman" w:hAnsi="Times New Roman"/>
          <w:sz w:val="16"/>
          <w:szCs w:val="16"/>
          <w:color w:val="auto"/>
        </w:rPr>
        <w:t>with performance conditions, since the performance conditions were not met, and such RSUs were forfeited as of December 31, 2022.</w:t>
      </w:r>
    </w:p>
    <w:p>
      <w:pPr>
        <w:spacing w:after="0" w:line="143" w:lineRule="exact"/>
        <w:rPr>
          <w:sz w:val="20"/>
          <w:szCs w:val="20"/>
          <w:color w:val="auto"/>
        </w:rPr>
      </w:pPr>
    </w:p>
    <w:p>
      <w:pPr>
        <w:ind w:left="566" w:hanging="286"/>
        <w:spacing w:after="0"/>
        <w:tabs>
          <w:tab w:leader="none" w:pos="566"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 appreciation rights: The diluted earnings per share calculation excludes the impact of SARs since the effect was antidilutive.</w:t>
      </w:r>
    </w:p>
    <w:p>
      <w:pPr>
        <w:spacing w:after="0" w:line="143" w:lineRule="exact"/>
        <w:rPr>
          <w:rFonts w:ascii="Times New Roman" w:cs="Times New Roman" w:eastAsia="Times New Roman" w:hAnsi="Times New Roman"/>
          <w:sz w:val="16"/>
          <w:szCs w:val="16"/>
          <w:color w:val="auto"/>
        </w:rPr>
      </w:pPr>
    </w:p>
    <w:p>
      <w:pPr>
        <w:ind w:left="566" w:hanging="286"/>
        <w:spacing w:after="0"/>
        <w:tabs>
          <w:tab w:leader="none" w:pos="566" w:val="left"/>
        </w:tabs>
        <w:numPr>
          <w:ilvl w:val="1"/>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ESPP: The basic earnings per share calculation includes the impact of the shares that were issued under the ESPP as of December 31, 2023.</w:t>
      </w:r>
    </w:p>
    <w:p>
      <w:pPr>
        <w:spacing w:after="0" w:line="351" w:lineRule="exact"/>
        <w:rPr>
          <w:rFonts w:ascii="Times New Roman" w:cs="Times New Roman" w:eastAsia="Times New Roman" w:hAnsi="Times New Roman"/>
          <w:sz w:val="16"/>
          <w:szCs w:val="16"/>
          <w:color w:val="auto"/>
        </w:rPr>
      </w:pPr>
    </w:p>
    <w:p>
      <w:pPr>
        <w:ind w:left="346" w:hanging="346"/>
        <w:spacing w:after="0"/>
        <w:tabs>
          <w:tab w:leader="none" w:pos="346" w:val="left"/>
        </w:tabs>
        <w:numPr>
          <w:ilvl w:val="0"/>
          <w:numId w:val="3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Income Taxes</w:t>
      </w:r>
    </w:p>
    <w:p>
      <w:pPr>
        <w:spacing w:after="0" w:line="145" w:lineRule="exact"/>
        <w:rPr>
          <w:sz w:val="20"/>
          <w:szCs w:val="20"/>
          <w:color w:val="auto"/>
        </w:rPr>
      </w:pPr>
    </w:p>
    <w:p>
      <w:pPr>
        <w:ind w:left="6" w:right="80"/>
        <w:spacing w:after="0" w:line="256" w:lineRule="auto"/>
        <w:rPr>
          <w:sz w:val="20"/>
          <w:szCs w:val="20"/>
          <w:color w:val="auto"/>
        </w:rPr>
      </w:pPr>
      <w:r>
        <w:rPr>
          <w:rFonts w:ascii="Times New Roman" w:cs="Times New Roman" w:eastAsia="Times New Roman" w:hAnsi="Times New Roman"/>
          <w:sz w:val="16"/>
          <w:szCs w:val="16"/>
          <w:color w:val="auto"/>
        </w:rPr>
        <w:t>We are subject to U.S. federal and state taxes with respect to our allocable share of any taxable income or loss of MarketWise, LLC, as well as any standalone income or loss we generate. MarketWise, LLC is treated as a partnership for U.S. income tax purposes and for most applicable state and local income tax purposes and generally does not pay income taxes in most jurisdictions. Instead, MarketWise, LLC’s taxable income or loss is passed through to its members, including us.</w:t>
      </w:r>
    </w:p>
    <w:p>
      <w:pPr>
        <w:spacing w:after="0" w:line="11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The components of income tax expense consisted of the following:</w:t>
      </w:r>
    </w:p>
    <w:p>
      <w:pPr>
        <w:spacing w:after="0" w:line="173" w:lineRule="exact"/>
        <w:rPr>
          <w:sz w:val="20"/>
          <w:szCs w:val="20"/>
          <w:color w:val="auto"/>
        </w:rPr>
      </w:pPr>
    </w:p>
    <w:tbl>
      <w:tblPr>
        <w:tblLayout w:type="fixed"/>
        <w:tblInd w:w="6" w:type="dxa"/>
        <w:tblCellMar>
          <w:top w:w="0" w:type="dxa"/>
          <w:left w:w="0" w:type="dxa"/>
          <w:bottom w:w="0" w:type="dxa"/>
          <w:right w:w="0" w:type="dxa"/>
        </w:tblCellMar>
      </w:tblPr>
      <w:tr>
        <w:trPr>
          <w:trHeight w:val="165"/>
        </w:trPr>
        <w:tc>
          <w:tcPr>
            <w:tcW w:w="6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ind w:left="8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0"/>
        </w:trPr>
        <w:tc>
          <w:tcPr>
            <w:tcW w:w="6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62"/>
        </w:trPr>
        <w:tc>
          <w:tcPr>
            <w:tcW w:w="61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2"/>
                <w:szCs w:val="12"/>
                <w:b w:val="1"/>
                <w:bCs w:val="1"/>
                <w:color w:val="auto"/>
              </w:rPr>
              <w:t>2021</w:t>
            </w:r>
          </w:p>
        </w:tc>
      </w:tr>
      <w:tr>
        <w:trPr>
          <w:trHeight w:val="184"/>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income tax expense (benefit):</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99"/>
        </w:trPr>
        <w:tc>
          <w:tcPr>
            <w:tcW w:w="640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Federal</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ind w:right="15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6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State</w:t>
            </w:r>
          </w:p>
        </w:tc>
        <w:tc>
          <w:tcPr>
            <w:tcW w:w="26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6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Deferred income tax expense (benefit):</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9"/>
        </w:trPr>
        <w:tc>
          <w:tcPr>
            <w:tcW w:w="64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Federal</w:t>
            </w:r>
          </w:p>
        </w:tc>
        <w:tc>
          <w:tcPr>
            <w:tcW w:w="26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1,517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1,294</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1,942</w:t>
            </w:r>
          </w:p>
        </w:tc>
      </w:tr>
      <w:tr>
        <w:trPr>
          <w:trHeight w:val="199"/>
        </w:trPr>
        <w:tc>
          <w:tcPr>
            <w:tcW w:w="640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6"/>
                <w:szCs w:val="16"/>
                <w:color w:val="auto"/>
              </w:rPr>
              <w:t>State</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w:t>
            </w:r>
          </w:p>
        </w:tc>
      </w:tr>
      <w:tr>
        <w:trPr>
          <w:trHeight w:val="215"/>
        </w:trPr>
        <w:tc>
          <w:tcPr>
            <w:tcW w:w="64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income tax expense (benefit)</w:t>
            </w:r>
          </w:p>
        </w:tc>
        <w:tc>
          <w:tcPr>
            <w:tcW w:w="26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1,803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1,490</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2,358</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375"/>
        </w:trPr>
        <w:tc>
          <w:tcPr>
            <w:tcW w:w="79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A reconciliation of the U.S. statutory income tax rate to the Company's effective income tax rate is as follows: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9"/>
        </w:trPr>
        <w:tc>
          <w:tcPr>
            <w:tcW w:w="6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gridSpan w:val="5"/>
          </w:tcPr>
          <w:p>
            <w:pPr>
              <w:ind w:left="4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
        </w:trPr>
        <w:tc>
          <w:tcPr>
            <w:tcW w:w="6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62"/>
        </w:trPr>
        <w:tc>
          <w:tcPr>
            <w:tcW w:w="61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24"/>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24"/>
              <w:spacing w:after="0"/>
              <w:rPr>
                <w:sz w:val="20"/>
                <w:szCs w:val="20"/>
                <w:color w:val="auto"/>
              </w:rPr>
            </w:pPr>
            <w:r>
              <w:rPr>
                <w:rFonts w:ascii="Times New Roman" w:cs="Times New Roman" w:eastAsia="Times New Roman" w:hAnsi="Times New Roman"/>
                <w:sz w:val="12"/>
                <w:szCs w:val="12"/>
                <w:b w:val="1"/>
                <w:bCs w:val="1"/>
                <w:color w:val="auto"/>
              </w:rPr>
              <w:t>2022</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24"/>
              <w:spacing w:after="0"/>
              <w:rPr>
                <w:sz w:val="20"/>
                <w:szCs w:val="20"/>
                <w:color w:val="auto"/>
              </w:rPr>
            </w:pPr>
            <w:r>
              <w:rPr>
                <w:rFonts w:ascii="Times New Roman" w:cs="Times New Roman" w:eastAsia="Times New Roman" w:hAnsi="Times New Roman"/>
                <w:sz w:val="12"/>
                <w:szCs w:val="12"/>
                <w:b w:val="1"/>
                <w:bCs w:val="1"/>
                <w:color w:val="auto"/>
              </w:rPr>
              <w:t>2021</w:t>
            </w:r>
          </w:p>
        </w:tc>
      </w:tr>
      <w:tr>
        <w:trPr>
          <w:trHeight w:val="196"/>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Statutory federal tax rate</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21.00 %</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21.00 %</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21.00 %</w:t>
            </w:r>
          </w:p>
        </w:tc>
      </w:tr>
      <w:tr>
        <w:trPr>
          <w:trHeight w:val="199"/>
        </w:trPr>
        <w:tc>
          <w:tcPr>
            <w:tcW w:w="6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State income taxes, net of federal benefit</w:t>
            </w: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4.50 %</w:t>
            </w:r>
          </w:p>
        </w:tc>
      </w:tr>
      <w:tr>
        <w:trPr>
          <w:trHeight w:val="199"/>
        </w:trPr>
        <w:tc>
          <w:tcPr>
            <w:tcW w:w="6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of warrant liabilities</w:t>
            </w:r>
          </w:p>
        </w:tc>
        <w:tc>
          <w:tcPr>
            <w:tcW w:w="26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199"/>
        </w:trPr>
        <w:tc>
          <w:tcPr>
            <w:tcW w:w="6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Permanent items</w:t>
            </w:r>
          </w:p>
        </w:tc>
        <w:tc>
          <w:tcPr>
            <w:tcW w:w="2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(0.55)%</w:t>
            </w:r>
          </w:p>
        </w:tc>
      </w:tr>
      <w:tr>
        <w:trPr>
          <w:trHeight w:val="199"/>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attributable to noncontrolling interests</w:t>
            </w:r>
          </w:p>
        </w:tc>
        <w:tc>
          <w:tcPr>
            <w:tcW w:w="26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(23.76)%</w:t>
            </w: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(25.20)%</w:t>
            </w:r>
          </w:p>
        </w:tc>
      </w:tr>
      <w:tr>
        <w:trPr>
          <w:trHeight w:val="190"/>
        </w:trPr>
        <w:tc>
          <w:tcPr>
            <w:tcW w:w="64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2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3.21 %</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(0.25)%</w:t>
            </w:r>
          </w:p>
        </w:tc>
      </w:tr>
      <w:tr>
        <w:trPr>
          <w:trHeight w:val="20"/>
        </w:trPr>
        <w:tc>
          <w:tcPr>
            <w:tcW w:w="6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 w:right="20"/>
        <w:spacing w:after="0" w:line="256" w:lineRule="auto"/>
        <w:rPr>
          <w:sz w:val="20"/>
          <w:szCs w:val="20"/>
          <w:color w:val="auto"/>
        </w:rPr>
      </w:pPr>
      <w:r>
        <w:rPr>
          <w:rFonts w:ascii="Times New Roman" w:cs="Times New Roman" w:eastAsia="Times New Roman" w:hAnsi="Times New Roman"/>
          <w:sz w:val="16"/>
          <w:szCs w:val="16"/>
          <w:color w:val="auto"/>
        </w:rPr>
        <w:t>The Company’s effective tax rate was 3.21% and 1.45% in 2023 and 2022, respectively, in comparison to the U.S. statutory rate of 21.00%. Our effective tax rates in 2023 and 2022 differ from the U.S. federal statutory rate primarily because we generally do not record income taxes for the noncontrolling portion of pre-tax income. Further, the year over year difference includes the effects of the change in income allocation to the non-controlling interest.</w:t>
      </w:r>
    </w:p>
    <w:p>
      <w:pPr>
        <w:spacing w:after="0" w:line="11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Details of the Company’s deferred tax assets and liabilities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176135" cy="400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6"/>
          </w:cols>
          <w:pgMar w:left="314" w:top="121" w:right="31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6"/>
          <w:szCs w:val="16"/>
          <w:b w:val="1"/>
          <w:bCs w:val="1"/>
          <w:color w:val="auto"/>
        </w:rPr>
        <w:t>MARKETWISE,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(Dollar amounts in thousands, except share, unit, per share, and per unit data)</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0" w:type="dxa"/>
            <w:vAlign w:val="bottom"/>
            <w:gridSpan w:val="3"/>
          </w:tcPr>
          <w:p>
            <w:pPr>
              <w:jc w:val="right"/>
              <w:ind w:right="102"/>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1080" w:type="dxa"/>
            <w:vAlign w:val="bottom"/>
          </w:tcPr>
          <w:p>
            <w:pPr>
              <w:spacing w:after="0"/>
              <w:rPr>
                <w:sz w:val="14"/>
                <w:szCs w:val="14"/>
                <w:color w:val="auto"/>
              </w:rPr>
            </w:pPr>
          </w:p>
        </w:tc>
      </w:tr>
      <w:tr>
        <w:trPr>
          <w:trHeight w:val="20"/>
        </w:trPr>
        <w:tc>
          <w:tcPr>
            <w:tcW w:w="8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62"/>
        </w:trPr>
        <w:tc>
          <w:tcPr>
            <w:tcW w:w="80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2"/>
                <w:szCs w:val="12"/>
                <w:b w:val="1"/>
                <w:bCs w:val="1"/>
                <w:color w:val="auto"/>
              </w:rPr>
              <w:t>2022</w:t>
            </w:r>
          </w:p>
        </w:tc>
      </w:tr>
      <w:tr>
        <w:trPr>
          <w:trHeight w:val="184"/>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Deferred tax assets: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199"/>
        </w:trPr>
        <w:tc>
          <w:tcPr>
            <w:tcW w:w="8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Reserves</w:t>
            </w:r>
          </w:p>
        </w:tc>
        <w:tc>
          <w:tcPr>
            <w:tcW w:w="960" w:type="dxa"/>
            <w:vAlign w:val="bottom"/>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80" w:type="dxa"/>
            <w:vAlign w:val="bottom"/>
          </w:tcPr>
          <w:p>
            <w:pPr>
              <w:spacing w:after="0"/>
              <w:rPr>
                <w:sz w:val="17"/>
                <w:szCs w:val="17"/>
                <w:color w:val="auto"/>
              </w:rPr>
            </w:pPr>
          </w:p>
        </w:tc>
        <w:tc>
          <w:tcPr>
            <w:tcW w:w="50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199"/>
        </w:trPr>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Accrued expenses</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r>
      <w:tr>
        <w:trPr>
          <w:trHeight w:val="199"/>
        </w:trPr>
        <w:tc>
          <w:tcPr>
            <w:tcW w:w="8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revenue</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6,421</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7,100</w:t>
            </w:r>
          </w:p>
        </w:tc>
      </w:tr>
      <w:tr>
        <w:trPr>
          <w:trHeight w:val="199"/>
        </w:trPr>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Derivatives</w:t>
            </w:r>
          </w:p>
        </w:tc>
        <w:tc>
          <w:tcPr>
            <w:tcW w:w="9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199"/>
        </w:trPr>
        <w:tc>
          <w:tcPr>
            <w:tcW w:w="8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r>
      <w:tr>
        <w:trPr>
          <w:trHeight w:val="199"/>
        </w:trPr>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Investment in MarketWise, LLC</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29,869</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29,088</w:t>
            </w:r>
          </w:p>
        </w:tc>
      </w:tr>
      <w:tr>
        <w:trPr>
          <w:trHeight w:val="199"/>
        </w:trPr>
        <w:tc>
          <w:tcPr>
            <w:tcW w:w="8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operating loss carryforwards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3,238</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3,147</w:t>
            </w:r>
          </w:p>
        </w:tc>
      </w:tr>
      <w:tr>
        <w:trPr>
          <w:trHeight w:val="199"/>
        </w:trPr>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Investment in flow-through partnerships</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w:t>
            </w:r>
          </w:p>
        </w:tc>
      </w:tr>
      <w:tr>
        <w:trPr>
          <w:trHeight w:val="199"/>
        </w:trPr>
        <w:tc>
          <w:tcPr>
            <w:tcW w:w="8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Lease liabilities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199"/>
        </w:trPr>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Tax Receivable Agreement</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2,211</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8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Charitable contributions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199"/>
        </w:trPr>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Intangible assets</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80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Research and development capitalization</w:t>
            </w:r>
          </w:p>
        </w:tc>
        <w:tc>
          <w:tcPr>
            <w:tcW w:w="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r>
      <w:tr>
        <w:trPr>
          <w:trHeight w:val="190"/>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deferred tax assets</w:t>
            </w:r>
          </w:p>
        </w:tc>
        <w:tc>
          <w:tcPr>
            <w:tcW w:w="960" w:type="dxa"/>
            <w:vAlign w:val="bottom"/>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44,078</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40,928</w:t>
            </w:r>
          </w:p>
        </w:tc>
      </w:tr>
      <w:tr>
        <w:trPr>
          <w:trHeight w:val="199"/>
        </w:trPr>
        <w:tc>
          <w:tcPr>
            <w:tcW w:w="8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Deferred tax liabilities</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9"/>
        </w:trPr>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Deferred expense</w:t>
            </w:r>
          </w:p>
        </w:tc>
        <w:tc>
          <w:tcPr>
            <w:tcW w:w="960" w:type="dxa"/>
            <w:vAlign w:val="bottom"/>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(4,279)</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(4,236)</w:t>
            </w:r>
          </w:p>
        </w:tc>
      </w:tr>
      <w:tr>
        <w:trPr>
          <w:trHeight w:val="199"/>
        </w:trPr>
        <w:tc>
          <w:tcPr>
            <w:tcW w:w="8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Right-of-use asset</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r>
      <w:tr>
        <w:trPr>
          <w:trHeight w:val="199"/>
        </w:trPr>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Fixed assets</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199"/>
        </w:trPr>
        <w:tc>
          <w:tcPr>
            <w:tcW w:w="80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Intangible assets</w:t>
            </w:r>
          </w:p>
        </w:tc>
        <w:tc>
          <w:tcPr>
            <w:tcW w:w="96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199"/>
        </w:trPr>
        <w:tc>
          <w:tcPr>
            <w:tcW w:w="8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Capital loss</w:t>
            </w:r>
          </w:p>
        </w:tc>
        <w:tc>
          <w:tcPr>
            <w:tcW w:w="9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0"/>
        </w:trPr>
        <w:tc>
          <w:tcPr>
            <w:tcW w:w="8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deferred tax liabilities</w:t>
            </w:r>
          </w:p>
        </w:tc>
        <w:tc>
          <w:tcPr>
            <w:tcW w:w="960" w:type="dxa"/>
            <w:vAlign w:val="bottom"/>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(4,516)</w:t>
            </w:r>
          </w:p>
        </w:tc>
        <w:tc>
          <w:tcPr>
            <w:tcW w:w="80" w:type="dxa"/>
            <w:vAlign w:val="bottom"/>
          </w:tcPr>
          <w:p>
            <w:pPr>
              <w:spacing w:after="0"/>
              <w:rPr>
                <w:sz w:val="16"/>
                <w:szCs w:val="16"/>
                <w:color w:val="auto"/>
              </w:rPr>
            </w:pPr>
          </w:p>
        </w:tc>
        <w:tc>
          <w:tcPr>
            <w:tcW w:w="500" w:type="dxa"/>
            <w:vAlign w:val="bottom"/>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(4,508)</w:t>
            </w:r>
          </w:p>
        </w:tc>
      </w:tr>
      <w:tr>
        <w:trPr>
          <w:trHeight w:val="19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Valuation allowance</w:t>
            </w:r>
          </w:p>
        </w:tc>
        <w:tc>
          <w:tcPr>
            <w:tcW w:w="9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(29,869)</w:t>
            </w:r>
          </w:p>
        </w:tc>
        <w:tc>
          <w:tcPr>
            <w:tcW w:w="8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(29,088)</w:t>
            </w:r>
          </w:p>
        </w:tc>
      </w:tr>
      <w:tr>
        <w:trPr>
          <w:trHeight w:val="190"/>
        </w:trPr>
        <w:tc>
          <w:tcPr>
            <w:tcW w:w="8020" w:type="dxa"/>
            <w:vAlign w:val="bottom"/>
          </w:tcPr>
          <w:p>
            <w:pPr>
              <w:spacing w:after="0"/>
              <w:rPr>
                <w:sz w:val="20"/>
                <w:szCs w:val="20"/>
                <w:color w:val="auto"/>
              </w:rPr>
            </w:pPr>
            <w:r>
              <w:rPr>
                <w:rFonts w:ascii="Times New Roman" w:cs="Times New Roman" w:eastAsia="Times New Roman" w:hAnsi="Times New Roman"/>
                <w:sz w:val="16"/>
                <w:szCs w:val="16"/>
                <w:color w:val="auto"/>
              </w:rPr>
              <w:t>Net deferred tax assets</w:t>
            </w:r>
          </w:p>
        </w:tc>
        <w:tc>
          <w:tcPr>
            <w:tcW w:w="960" w:type="dxa"/>
            <w:vAlign w:val="bottom"/>
            <w:tcBorders>
              <w:bottom w:val="single" w:sz="8" w:color="auto"/>
            </w:tcBorders>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9,693</w:t>
            </w:r>
          </w:p>
        </w:tc>
        <w:tc>
          <w:tcPr>
            <w:tcW w:w="80" w:type="dxa"/>
            <w:vAlign w:val="bottom"/>
          </w:tcPr>
          <w:p>
            <w:pPr>
              <w:spacing w:after="0"/>
              <w:rPr>
                <w:sz w:val="16"/>
                <w:szCs w:val="16"/>
                <w:color w:val="auto"/>
              </w:rPr>
            </w:pPr>
          </w:p>
        </w:tc>
        <w:tc>
          <w:tcPr>
            <w:tcW w:w="500" w:type="dxa"/>
            <w:vAlign w:val="bottom"/>
            <w:tcBorders>
              <w:bottom w:val="single" w:sz="8" w:color="auto"/>
            </w:tcBorders>
          </w:tcPr>
          <w:p>
            <w:pPr>
              <w:jc w:val="right"/>
              <w:ind w:right="322"/>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7,332</w:t>
            </w:r>
          </w:p>
        </w:tc>
      </w:tr>
      <w:tr>
        <w:trPr>
          <w:trHeight w:val="20"/>
        </w:trPr>
        <w:tc>
          <w:tcPr>
            <w:tcW w:w="8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80"/>
        <w:spacing w:after="0" w:line="310" w:lineRule="auto"/>
        <w:rPr>
          <w:sz w:val="20"/>
          <w:szCs w:val="20"/>
          <w:color w:val="auto"/>
        </w:rPr>
      </w:pPr>
      <w:r>
        <w:rPr>
          <w:rFonts w:ascii="Times New Roman" w:cs="Times New Roman" w:eastAsia="Times New Roman" w:hAnsi="Times New Roman"/>
          <w:sz w:val="14"/>
          <w:szCs w:val="14"/>
          <w:color w:val="auto"/>
        </w:rPr>
        <w:t>We had a federal net operating loss carryforward (“NOL”) of $13,030 and $5,997, which can be carried forward indefinitely as of December 31, 2023 and 2022, respectively. We also had state net operating losses of $8,220 and $4,145 as of December 31, 2023 and 2022, respectively, with varying carryforward periods. As of December 31, 2023 and 2022, it is more likely than not that future operations will generate sufficient taxable income to realize the NOL and therefore, no valuation allowance was recorded on the NOL.</w:t>
      </w:r>
    </w:p>
    <w:p>
      <w:pPr>
        <w:spacing w:after="0" w:line="78" w:lineRule="exact"/>
        <w:rPr>
          <w:sz w:val="20"/>
          <w:szCs w:val="20"/>
          <w:color w:val="auto"/>
        </w:rPr>
      </w:pPr>
    </w:p>
    <w:p>
      <w:pPr>
        <w:ind w:right="260"/>
        <w:spacing w:after="0" w:line="252" w:lineRule="auto"/>
        <w:rPr>
          <w:sz w:val="20"/>
          <w:szCs w:val="20"/>
          <w:color w:val="auto"/>
        </w:rPr>
      </w:pPr>
      <w:r>
        <w:rPr>
          <w:rFonts w:ascii="Times New Roman" w:cs="Times New Roman" w:eastAsia="Times New Roman" w:hAnsi="Times New Roman"/>
          <w:sz w:val="16"/>
          <w:szCs w:val="16"/>
          <w:color w:val="auto"/>
        </w:rPr>
        <w:t>As a result of the Transactions, we recorded a deferred tax asset resulting from the outside basis difference in our interest in MarketWise, LLC. The Company considers both positive and negative evidence when measuring the need for a valuation allowance. A valuation allowance is not required to the extent that, in management’s judgment, positive evidence exists with a magnitude and duration sufficient to result in a conclusion that it is more likely than not (a likelihood of more than 50%) that the Company’s deferred tax assets will be realized.</w:t>
      </w:r>
    </w:p>
    <w:p>
      <w:pPr>
        <w:spacing w:after="0" w:line="11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6"/>
          <w:szCs w:val="16"/>
          <w:color w:val="auto"/>
        </w:rPr>
        <w:t>In evaluating the need for a valuation allowance on the deferred tax asset, the Company considered positive evidence related to its historic earnings, forecasted income and reversal of temporary differences. Therefore, the Company recorded a valuation allowance of $29,869 and $29,088 for certain deferred tax assets that are not more likely than not to be realized as of December 31, 2023 and 2022, respectively.</w:t>
      </w:r>
    </w:p>
    <w:p>
      <w:pPr>
        <w:spacing w:after="0" w:line="113"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6"/>
          <w:szCs w:val="16"/>
          <w:color w:val="auto"/>
        </w:rPr>
        <w:t>The deferred tax asset is remeasured at the end of the reporting period to reflect the change in relative ownership of MarketWise, LLC held by the Company. The impact of the remeasurement of the noncontrolling interest is reflected in the consolidated statements of stockholders’ deficit / members’ deficit.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6"/>
          <w:szCs w:val="16"/>
          <w:b w:val="1"/>
          <w:bCs w:val="1"/>
          <w:color w:val="auto"/>
        </w:rPr>
        <w:t>MARKETWISE,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(Dollar amounts in thousands, except share, unit, per share, and per unit data)</w:t>
      </w:r>
    </w:p>
    <w:p>
      <w:pPr>
        <w:spacing w:after="0" w:line="200" w:lineRule="exact"/>
        <w:rPr>
          <w:sz w:val="20"/>
          <w:szCs w:val="20"/>
          <w:color w:val="auto"/>
        </w:rPr>
      </w:pPr>
    </w:p>
    <w:p>
      <w:pPr>
        <w:spacing w:after="0" w:line="349"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6"/>
          <w:szCs w:val="16"/>
          <w:color w:val="auto"/>
        </w:rPr>
        <w:t>The Company did not record any penalties or interest related to uncertain tax positions, as management has concluded that no such positions exist, on the consolidated balance sheets as of December 31, 2023 and 2022. The Company does not expect any changes to uncertain tax positions within the next 12 months.</w:t>
      </w:r>
    </w:p>
    <w:p>
      <w:pPr>
        <w:spacing w:after="0" w:line="10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6"/>
          <w:szCs w:val="16"/>
          <w:color w:val="auto"/>
        </w:rPr>
        <w:t>The Company is subject to examination for tax years beginning with the year ended December 31, 2020. The Company is currently under IRS examination of MarketWise, LLC for tax year 2020 and Stansberry China, LLC for tax year 2021. The Company is not currently subject to income tax audits in any state jurisdictions for any tax year.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Tax Receivable Agreement</w:t>
      </w:r>
    </w:p>
    <w:p>
      <w:pPr>
        <w:spacing w:after="0" w:line="14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6"/>
          <w:szCs w:val="16"/>
          <w:color w:val="auto"/>
        </w:rPr>
        <w:t>As part of the Transactions, we entered into Tax Receivable Agreements (“TRAs”) with certain shareholders. Pursuant to our election under Section 754 of the Code, as amended, and the regulations issued thereunder, we expect to receive a step up in the tax basis of our ownership in MarketWise, LLC as exchanges of the LLC Units (as defined herein) occur. These increases in tax basis may reduce the amount we may otherwise pay to various tax authorities in the future. The TRA liability will represent approximately 85% of the calculated tax savings based on basis adjustments and other carryforward attributes assumed being utilized in future years. We will retain the remaining 15% of calculated tax savings. The payments contemplated by the TRA are not conditioned upon any continued ownership interest in MarketWise, LLC. The timing and amount of aggregate payments due pursuant to the TRA may vary based on several factors including the timing and amount of future taxable income, as well as future applicable tax rates. As such, significant inputs and assumptions are used to estimate the future expected payments under the TRA. During the period ended December 31, 2023, Members of MarketWise, LLC exchanged an aggregate of 3,000,000 common units of MarketWise, LLC (“LLC Units”) together with an equal number of shares of Class B common stock for 3,000,000 newly issued shares of Class A common stock. As a result, the deferred tax asset and corresponding TRA liability balances were $2,211 and $2,151, respectively, as of December 31, 2023. No payments have been made under the TRA and no payments are expected in the next 12 months.</w:t>
      </w:r>
    </w:p>
    <w:p>
      <w:pPr>
        <w:spacing w:after="0" w:line="200" w:lineRule="exact"/>
        <w:rPr>
          <w:sz w:val="20"/>
          <w:szCs w:val="20"/>
          <w:color w:val="auto"/>
        </w:rPr>
      </w:pPr>
    </w:p>
    <w:p>
      <w:pPr>
        <w:spacing w:after="0" w:line="27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14.</w:t>
      </w:r>
      <w:r>
        <w:rPr>
          <w:sz w:val="20"/>
          <w:szCs w:val="20"/>
          <w:color w:val="auto"/>
        </w:rPr>
        <w:tab/>
      </w:r>
      <w:r>
        <w:rPr>
          <w:rFonts w:ascii="Times New Roman" w:cs="Times New Roman" w:eastAsia="Times New Roman" w:hAnsi="Times New Roman"/>
          <w:sz w:val="14"/>
          <w:szCs w:val="14"/>
          <w:b w:val="1"/>
          <w:bCs w:val="1"/>
          <w:color w:val="auto"/>
        </w:rPr>
        <w:t>Related Party Transactions</w:t>
      </w:r>
    </w:p>
    <w:p>
      <w:pPr>
        <w:spacing w:after="0" w:line="145" w:lineRule="exact"/>
        <w:rPr>
          <w:sz w:val="20"/>
          <w:szCs w:val="20"/>
          <w:color w:val="auto"/>
        </w:rPr>
      </w:pPr>
    </w:p>
    <w:p>
      <w:pPr>
        <w:ind w:right="660"/>
        <w:spacing w:after="0" w:line="268" w:lineRule="auto"/>
        <w:rPr>
          <w:sz w:val="20"/>
          <w:szCs w:val="20"/>
          <w:color w:val="auto"/>
        </w:rPr>
      </w:pPr>
      <w:r>
        <w:rPr>
          <w:rFonts w:ascii="Times New Roman" w:cs="Times New Roman" w:eastAsia="Times New Roman" w:hAnsi="Times New Roman"/>
          <w:sz w:val="16"/>
          <w:szCs w:val="16"/>
          <w:color w:val="auto"/>
        </w:rPr>
        <w:t>We have certain revenue share agreements with related parties. Accordingly, we recognized revenue from related parties of $4,937, $2,363 and $1,284 for the years ended December 31, 2023, 2022 and 2021, respectively.</w:t>
      </w:r>
    </w:p>
    <w:p>
      <w:pPr>
        <w:spacing w:after="0" w:line="104" w:lineRule="exact"/>
        <w:rPr>
          <w:sz w:val="20"/>
          <w:szCs w:val="20"/>
          <w:color w:val="auto"/>
        </w:rPr>
      </w:pPr>
    </w:p>
    <w:p>
      <w:pPr>
        <w:ind w:right="440"/>
        <w:spacing w:after="0" w:line="268" w:lineRule="auto"/>
        <w:rPr>
          <w:sz w:val="20"/>
          <w:szCs w:val="20"/>
          <w:color w:val="auto"/>
        </w:rPr>
      </w:pPr>
      <w:r>
        <w:rPr>
          <w:rFonts w:ascii="Times New Roman" w:cs="Times New Roman" w:eastAsia="Times New Roman" w:hAnsi="Times New Roman"/>
          <w:sz w:val="16"/>
          <w:szCs w:val="16"/>
          <w:color w:val="auto"/>
        </w:rPr>
        <w:t>We incurred costs related to revenue share agreements with related parties which are capitalized within deferred contract acquisition costs. We capitalized $6,578, $3,110 and $10,326 for the years ended December 31, 2023, 2022 and 2021, respectively.</w:t>
      </w:r>
    </w:p>
    <w:p>
      <w:pPr>
        <w:spacing w:after="0" w:line="104"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6"/>
          <w:szCs w:val="16"/>
          <w:color w:val="auto"/>
        </w:rPr>
        <w:t>A related party provided call center support and other services to the Company for which we recorded an expense within cost of revenue of $511, $800 and $1,260 for the years ended December 31, 2023, 2022 and 2021, respectively.</w:t>
      </w:r>
    </w:p>
    <w:p>
      <w:pPr>
        <w:spacing w:after="0" w:line="104"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6"/>
          <w:szCs w:val="16"/>
          <w:color w:val="auto"/>
        </w:rPr>
        <w:t>A related party provided marketing and copywriting services to the Company for which we recorded an expense within cost of revenue of $1,845, $400 and $50 for the years ended December 31, 2023, 2022 and 2021, respectively.</w:t>
      </w:r>
    </w:p>
    <w:p>
      <w:pPr>
        <w:spacing w:after="0" w:line="104"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6"/>
          <w:szCs w:val="16"/>
          <w:color w:val="auto"/>
        </w:rPr>
        <w:t>A related party also provided certain corporate functions to the Company and the costs of these services are recorded within related party expense in the accompanying consolidated statement of operations. We recorded $102, $85 and $92 for the years ended December 31, 2023, 2022 and 2021, respectively. We held balances of $1,220 and $1,043 as of December 31, 2023 and December 31, 2022 of related party payables related to revenue share expenses, call center support, and the services noted above. The balances with our related party are presented net and are included in related party payables, net in the consolidated balance sheet.</w:t>
      </w:r>
    </w:p>
    <w:p>
      <w:pPr>
        <w:spacing w:after="0" w:line="11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6"/>
          <w:szCs w:val="16"/>
          <w:color w:val="auto"/>
        </w:rPr>
        <w:t>We earned fees and provided certain accounting and marketing services to companies owned by certain Class B unitholders. As a result, we recognized $737, $656 and $358 in other income, net for the years ended December 31, 2023, 2022 and 2021, respectively. Related party receivables related to these services were $239 and $403 as of December 31,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6"/>
          <w:szCs w:val="16"/>
          <w:b w:val="1"/>
          <w:bCs w:val="1"/>
          <w:color w:val="auto"/>
        </w:rPr>
        <w:t>MARKETWISE,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(Dollar amounts in thousands, except share, unit, per share, and per unit data)</w:t>
      </w:r>
    </w:p>
    <w:p>
      <w:pPr>
        <w:spacing w:after="0" w:line="200" w:lineRule="exact"/>
        <w:rPr>
          <w:sz w:val="20"/>
          <w:szCs w:val="20"/>
          <w:color w:val="auto"/>
        </w:rPr>
      </w:pPr>
    </w:p>
    <w:p>
      <w:pPr>
        <w:spacing w:after="0" w:line="34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6"/>
          <w:szCs w:val="16"/>
          <w:color w:val="auto"/>
        </w:rPr>
        <w:t>We lease offices from related parties. Lease payments made to related parties were $1,800, $1,824 and $1,536 for the years ended December 31, 2023, 2022 and 2021, respectively, and rent expense of $2,438, $2,378 and $2,224 were recognized in general and administrative expenses for the years ended December 31, 2023, 2022 and 2021, respectively, related to leases with related parties. At December 31, 2023 and 2022, respectively, ROU assets of $7,261 and $9,210 and lease liabilities of $5,740 and $7,041 are associated with leases with related parties.</w:t>
      </w:r>
    </w:p>
    <w:p>
      <w:pPr>
        <w:spacing w:after="0" w:line="116"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6"/>
          <w:szCs w:val="16"/>
          <w:color w:val="auto"/>
        </w:rPr>
        <w:t>In April 2020 MarketWise, LLC provided a loan to a Class A unitholder and recognized a related party note receivable from the unitholder of $1,148. We recognized $17 and $10 in interest income for the years ended December 31, 2022 and 2021, respectively. The related party note receivable balance was $1,158 as of December 31, 2021. This loan was repaid in October 2022.</w:t>
      </w:r>
    </w:p>
    <w:p>
      <w:pPr>
        <w:spacing w:after="0" w:line="11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6"/>
          <w:szCs w:val="16"/>
          <w:color w:val="auto"/>
        </w:rPr>
        <w:t>In July 2021, the Company’s Board of Directors approved and made a discretionary, one-time, lifetime-award, non-employee bonus payment of $10,000 to the Company’s founder, who is a Class B common stockholder, which was recorded within related party expense in the consolidated statement of operations.</w:t>
      </w:r>
    </w:p>
    <w:p>
      <w:pPr>
        <w:spacing w:after="0" w:line="200" w:lineRule="exact"/>
        <w:rPr>
          <w:sz w:val="20"/>
          <w:szCs w:val="20"/>
          <w:color w:val="auto"/>
        </w:rPr>
      </w:pPr>
    </w:p>
    <w:p>
      <w:pPr>
        <w:spacing w:after="0" w:line="25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15.</w:t>
      </w:r>
      <w:r>
        <w:rPr>
          <w:sz w:val="20"/>
          <w:szCs w:val="20"/>
          <w:color w:val="auto"/>
        </w:rPr>
        <w:tab/>
      </w:r>
      <w:r>
        <w:rPr>
          <w:rFonts w:ascii="Times New Roman" w:cs="Times New Roman" w:eastAsia="Times New Roman" w:hAnsi="Times New Roman"/>
          <w:sz w:val="14"/>
          <w:szCs w:val="14"/>
          <w:b w:val="1"/>
          <w:bCs w:val="1"/>
          <w:color w:val="auto"/>
        </w:rPr>
        <w:t>Supplemental Cash Flow Information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Supplemental cash flow disclosures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0"/>
        </w:trPr>
        <w:tc>
          <w:tcPr>
            <w:tcW w:w="6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62"/>
        </w:trPr>
        <w:tc>
          <w:tcPr>
            <w:tcW w:w="634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6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2"/>
                <w:szCs w:val="12"/>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2"/>
                <w:szCs w:val="12"/>
                <w:b w:val="1"/>
                <w:bCs w:val="1"/>
                <w:color w:val="auto"/>
              </w:rPr>
              <w:t>2021</w:t>
            </w:r>
          </w:p>
        </w:tc>
      </w:tr>
      <w:tr>
        <w:trPr>
          <w:trHeight w:val="184"/>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99"/>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interest</w:t>
            </w:r>
          </w:p>
        </w:tc>
        <w:tc>
          <w:tcPr>
            <w:tcW w:w="960" w:type="dxa"/>
            <w:vAlign w:val="bottom"/>
          </w:tcPr>
          <w:p>
            <w:pPr>
              <w:jc w:val="right"/>
              <w:ind w:right="786"/>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775</w:t>
            </w:r>
          </w:p>
        </w:tc>
        <w:tc>
          <w:tcPr>
            <w:tcW w:w="100" w:type="dxa"/>
            <w:vAlign w:val="bottom"/>
          </w:tcPr>
          <w:p>
            <w:pPr>
              <w:spacing w:after="0"/>
              <w:rPr>
                <w:sz w:val="17"/>
                <w:szCs w:val="17"/>
                <w:color w:val="auto"/>
              </w:rPr>
            </w:pPr>
          </w:p>
        </w:tc>
        <w:tc>
          <w:tcPr>
            <w:tcW w:w="380" w:type="dxa"/>
            <w:vAlign w:val="bottom"/>
          </w:tcPr>
          <w:p>
            <w:pPr>
              <w:jc w:val="right"/>
              <w:ind w:right="226"/>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10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199"/>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99"/>
        </w:trPr>
        <w:tc>
          <w:tcPr>
            <w:tcW w:w="6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9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(1,761)</w:t>
            </w:r>
          </w:p>
        </w:tc>
      </w:tr>
      <w:tr>
        <w:trPr>
          <w:trHeight w:val="199"/>
        </w:trPr>
        <w:tc>
          <w:tcPr>
            <w:tcW w:w="6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Operating lease right-of-use assets obtained in exchange for lease obligations</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6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right-of-use assets obtained in exchange for lease obligations from acquisitions</w:t>
            </w:r>
          </w:p>
        </w:tc>
        <w:tc>
          <w:tcPr>
            <w:tcW w:w="96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r>
      <w:tr>
        <w:trPr>
          <w:trHeight w:val="175"/>
        </w:trPr>
        <w:tc>
          <w:tcPr>
            <w:tcW w:w="6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99"/>
        </w:trPr>
        <w:tc>
          <w:tcPr>
            <w:tcW w:w="6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Investing and Financing Activities:</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199"/>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Capitalized software included in accounts payable</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199"/>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Reconciliation of Cash and Cash Equivalents and Restricted Cash:</w:t>
            </w: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99"/>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60" w:type="dxa"/>
            <w:vAlign w:val="bottom"/>
          </w:tcPr>
          <w:p>
            <w:pPr>
              <w:jc w:val="right"/>
              <w:ind w:right="786"/>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99"/>
              </w:rPr>
              <w:t>155,174</w:t>
            </w:r>
          </w:p>
        </w:tc>
        <w:tc>
          <w:tcPr>
            <w:tcW w:w="100" w:type="dxa"/>
            <w:vAlign w:val="bottom"/>
          </w:tcPr>
          <w:p>
            <w:pPr>
              <w:spacing w:after="0"/>
              <w:rPr>
                <w:sz w:val="17"/>
                <w:szCs w:val="17"/>
                <w:color w:val="auto"/>
              </w:rPr>
            </w:pPr>
          </w:p>
        </w:tc>
        <w:tc>
          <w:tcPr>
            <w:tcW w:w="380" w:type="dxa"/>
            <w:vAlign w:val="bottom"/>
          </w:tcPr>
          <w:p>
            <w:pPr>
              <w:jc w:val="right"/>
              <w:ind w:right="226"/>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158,575</w:t>
            </w:r>
          </w:p>
        </w:tc>
        <w:tc>
          <w:tcPr>
            <w:tcW w:w="100" w:type="dxa"/>
            <w:vAlign w:val="bottom"/>
          </w:tcPr>
          <w:p>
            <w:pPr>
              <w:spacing w:after="0"/>
              <w:rPr>
                <w:sz w:val="17"/>
                <w:szCs w:val="17"/>
                <w:color w:val="auto"/>
              </w:rPr>
            </w:pPr>
          </w:p>
        </w:tc>
        <w:tc>
          <w:tcPr>
            <w:tcW w:w="38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139,078</w:t>
            </w:r>
          </w:p>
        </w:tc>
      </w:tr>
      <w:tr>
        <w:trPr>
          <w:trHeight w:val="199"/>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9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190"/>
        </w:trPr>
        <w:tc>
          <w:tcPr>
            <w:tcW w:w="6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960" w:type="dxa"/>
            <w:vAlign w:val="bottom"/>
            <w:tcBorders>
              <w:top w:val="single" w:sz="8" w:color="auto"/>
              <w:bottom w:val="single" w:sz="8" w:color="auto"/>
            </w:tcBorders>
          </w:tcPr>
          <w:p>
            <w:pPr>
              <w:jc w:val="right"/>
              <w:ind w:right="786"/>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155,174</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26"/>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158,575</w:t>
            </w:r>
          </w:p>
        </w:tc>
        <w:tc>
          <w:tcPr>
            <w:tcW w:w="10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202"/>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139,578</w:t>
            </w:r>
          </w:p>
        </w:tc>
      </w:tr>
      <w:tr>
        <w:trPr>
          <w:trHeight w:val="20"/>
        </w:trPr>
        <w:tc>
          <w:tcPr>
            <w:tcW w:w="6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16.</w:t>
      </w:r>
      <w:r>
        <w:rPr>
          <w:sz w:val="20"/>
          <w:szCs w:val="20"/>
          <w:color w:val="auto"/>
        </w:rPr>
        <w:tab/>
      </w:r>
      <w:r>
        <w:rPr>
          <w:rFonts w:ascii="Times New Roman" w:cs="Times New Roman" w:eastAsia="Times New Roman" w:hAnsi="Times New Roman"/>
          <w:sz w:val="14"/>
          <w:szCs w:val="14"/>
          <w:b w:val="1"/>
          <w:bCs w:val="1"/>
          <w:color w:val="auto"/>
        </w:rPr>
        <w:t>Stockholders’ Equity</w:t>
      </w:r>
    </w:p>
    <w:p>
      <w:pPr>
        <w:spacing w:after="0" w:line="145"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6"/>
          <w:szCs w:val="16"/>
          <w:color w:val="auto"/>
        </w:rPr>
        <w:t>The Company’s capital stock consists of (i) issued and outstanding Class A common stock with a par value of $0.0001 per share, and (ii) issued and outstanding Class B common stock with a par value of $0.0001 per share.</w:t>
      </w:r>
    </w:p>
    <w:p>
      <w:pPr>
        <w:spacing w:after="0" w:line="104"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6"/>
          <w:szCs w:val="16"/>
          <w:color w:val="auto"/>
        </w:rPr>
        <w:t>The table set forth below reflects information about the Company’s equity, as of December 31, 2023. The 3,051,000 Sponsor Earnout Shares held in escrow and the 2,000,000 Management Member Earnout Shares are considered contingently issuable shares and therefore excluded from the number of Class A common stock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6"/>
          <w:szCs w:val="16"/>
          <w:b w:val="1"/>
          <w:bCs w:val="1"/>
          <w:color w:val="auto"/>
        </w:rPr>
        <w:t>MARKETWISE,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(Dollar amounts in thousands, except share, unit, per share, and per unit data)</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outstanding in the table below.</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660" w:type="dxa"/>
            <w:vAlign w:val="bottom"/>
          </w:tcPr>
          <w:p>
            <w:pPr>
              <w:spacing w:after="0"/>
              <w:rPr>
                <w:sz w:val="14"/>
                <w:szCs w:val="14"/>
                <w:color w:val="auto"/>
              </w:rPr>
            </w:pPr>
          </w:p>
        </w:tc>
        <w:tc>
          <w:tcPr>
            <w:tcW w:w="1900" w:type="dxa"/>
            <w:vAlign w:val="bottom"/>
            <w:gridSpan w:val="2"/>
          </w:tcPr>
          <w:p>
            <w:pPr>
              <w:ind w:left="600"/>
              <w:spacing w:after="0"/>
              <w:rPr>
                <w:sz w:val="20"/>
                <w:szCs w:val="20"/>
                <w:color w:val="auto"/>
              </w:rPr>
            </w:pPr>
            <w:r>
              <w:rPr>
                <w:rFonts w:ascii="Times New Roman" w:cs="Times New Roman" w:eastAsia="Times New Roman" w:hAnsi="Times New Roman"/>
                <w:sz w:val="12"/>
                <w:szCs w:val="12"/>
                <w:b w:val="1"/>
                <w:bCs w:val="1"/>
                <w:color w:val="auto"/>
              </w:rPr>
              <w:t>Authorized</w:t>
            </w:r>
          </w:p>
        </w:tc>
        <w:tc>
          <w:tcPr>
            <w:tcW w:w="1900" w:type="dxa"/>
            <w:vAlign w:val="bottom"/>
            <w:gridSpan w:val="2"/>
          </w:tcPr>
          <w:p>
            <w:pPr>
              <w:ind w:left="740"/>
              <w:spacing w:after="0"/>
              <w:rPr>
                <w:sz w:val="20"/>
                <w:szCs w:val="20"/>
                <w:color w:val="auto"/>
              </w:rPr>
            </w:pPr>
            <w:r>
              <w:rPr>
                <w:rFonts w:ascii="Times New Roman" w:cs="Times New Roman" w:eastAsia="Times New Roman" w:hAnsi="Times New Roman"/>
                <w:sz w:val="12"/>
                <w:szCs w:val="12"/>
                <w:b w:val="1"/>
                <w:bCs w:val="1"/>
                <w:color w:val="auto"/>
              </w:rPr>
              <w:t>Issued</w:t>
            </w:r>
          </w:p>
        </w:tc>
        <w:tc>
          <w:tcPr>
            <w:tcW w:w="1800" w:type="dxa"/>
            <w:vAlign w:val="bottom"/>
          </w:tcPr>
          <w:p>
            <w:pPr>
              <w:jc w:val="right"/>
              <w:ind w:right="505"/>
              <w:spacing w:after="0"/>
              <w:rPr>
                <w:sz w:val="20"/>
                <w:szCs w:val="20"/>
                <w:color w:val="auto"/>
              </w:rPr>
            </w:pPr>
            <w:r>
              <w:rPr>
                <w:rFonts w:ascii="Times New Roman" w:cs="Times New Roman" w:eastAsia="Times New Roman" w:hAnsi="Times New Roman"/>
                <w:sz w:val="12"/>
                <w:szCs w:val="12"/>
                <w:b w:val="1"/>
                <w:bCs w:val="1"/>
                <w:color w:val="auto"/>
              </w:rPr>
              <w:t>Outstanding</w:t>
            </w: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19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 Class A</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950,000,000</w:t>
            </w:r>
          </w:p>
        </w:tc>
        <w:tc>
          <w:tcPr>
            <w:tcW w:w="10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36,384,981</w:t>
            </w:r>
          </w:p>
        </w:tc>
        <w:tc>
          <w:tcPr>
            <w:tcW w:w="100" w:type="dxa"/>
            <w:vAlign w:val="bottom"/>
            <w:shd w:val="clear" w:color="auto" w:fill="CCEEFF"/>
          </w:tcPr>
          <w:p>
            <w:pPr>
              <w:spacing w:after="0"/>
              <w:rPr>
                <w:sz w:val="16"/>
                <w:szCs w:val="16"/>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36,384,981</w:t>
            </w:r>
          </w:p>
        </w:tc>
      </w:tr>
      <w:tr>
        <w:trPr>
          <w:trHeight w:val="199"/>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 Class B</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300,000,000</w:t>
            </w:r>
          </w:p>
        </w:tc>
        <w:tc>
          <w:tcPr>
            <w:tcW w:w="1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288,092,303</w:t>
            </w:r>
          </w:p>
        </w:tc>
        <w:tc>
          <w:tcPr>
            <w:tcW w:w="10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288,092,303</w:t>
            </w:r>
          </w:p>
        </w:tc>
      </w:tr>
      <w:tr>
        <w:trPr>
          <w:trHeight w:val="199"/>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Preferred stock</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100,000,000</w:t>
            </w:r>
          </w:p>
        </w:tc>
        <w:tc>
          <w:tcPr>
            <w:tcW w:w="10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0"/>
        </w:trPr>
        <w:tc>
          <w:tcPr>
            <w:tcW w:w="566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1,350,000,000</w:t>
            </w:r>
          </w:p>
        </w:tc>
        <w:tc>
          <w:tcPr>
            <w:tcW w:w="100" w:type="dxa"/>
            <w:vAlign w:val="bottom"/>
          </w:tcPr>
          <w:p>
            <w:pPr>
              <w:spacing w:after="0"/>
              <w:rPr>
                <w:sz w:val="16"/>
                <w:szCs w:val="16"/>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324,477,284</w:t>
            </w:r>
          </w:p>
        </w:tc>
        <w:tc>
          <w:tcPr>
            <w:tcW w:w="100" w:type="dxa"/>
            <w:vAlign w:val="bottom"/>
          </w:tcPr>
          <w:p>
            <w:pPr>
              <w:spacing w:after="0"/>
              <w:rPr>
                <w:sz w:val="16"/>
                <w:szCs w:val="16"/>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324,477,284</w:t>
            </w:r>
          </w:p>
        </w:tc>
      </w:tr>
      <w:tr>
        <w:trPr>
          <w:trHeight w:val="20"/>
        </w:trPr>
        <w:tc>
          <w:tcPr>
            <w:tcW w:w="566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6"/>
          <w:szCs w:val="16"/>
          <w:color w:val="auto"/>
        </w:rPr>
        <w:t>Each share of Class A and Class B common stock entitles the holder one vote per share. Only holders of Class A common stock have the right to receive dividends. In the event of liquidation, dissolution or winding up of the affairs of the Company, only holders of Class A common stock have the right to receive liquidation proceeds, while the holders of Class B common stock are entitled to only the par value of their shares. Class B common stock can be issued only to members of MarketWise, LLC, their respective successors and permitted transferees. Under the terms of the Third Amended and Restated Limited Liability Company Operating Agreement of MarketWise, LLC (the “MarketWise Operating Agreement”), and subject to certain restrictions set forth therein, the MarketWise Members are entitled to have their LLC Units redeemed or exchanged for shares of our Class A common stock, at our option. If redeemed for cash at the Company’s option, such cash would have to be generated through an offering of shares to the market such that there would not be any situation where there would be a net cash obligation to the Company for such redemption. Shares of our Class B common stock held by any such redeeming or exchanging MarketWise Member will be canceled for no additional consideration on a one-for-one basis with the redeemed or exchanged LLC Units whenever the MarketWise Members’ LLC Units are so redeemed or exchanged. The MarketWise Members may exercise such redemption rights for as long as their LLC Units remain outstanding. Our Board has discretion to determine the rights, preferences, privileges and restrictions, including voting rights, dividend rights, conversion rights, redemption privileges and liquidation preferences, of each series of preferred stock.</w:t>
      </w:r>
    </w:p>
    <w:p>
      <w:pPr>
        <w:spacing w:after="0" w:line="124"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6"/>
          <w:szCs w:val="16"/>
          <w:color w:val="auto"/>
        </w:rPr>
        <w:t>In 2023, we commenced paying quarterly dividends on shares of our Class A common stock and distributions on our LLC units. We also declared a special dividend and a special distribution on October 18, 2023. There can be no assurance that we will continue to pay dividends or in the future. The payment of any future dividends and distributions will be at the discretion of our Board of Directors and will depend on our results of operations, capital requirements, financial condition, prospects, contractual arrangements, any limitations on payment of dividends present in any debt agreements, and other factors that our Board of Directors may deem relevant.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dividends and distributions during the year ended December 31, 2023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8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60" w:type="dxa"/>
            <w:vAlign w:val="bottom"/>
            <w:gridSpan w:val="3"/>
          </w:tcPr>
          <w:p>
            <w:pPr>
              <w:jc w:val="right"/>
              <w:ind w:right="585"/>
              <w:spacing w:after="0"/>
              <w:rPr>
                <w:sz w:val="20"/>
                <w:szCs w:val="20"/>
                <w:color w:val="auto"/>
              </w:rPr>
            </w:pPr>
            <w:r>
              <w:rPr>
                <w:rFonts w:ascii="Times New Roman" w:cs="Times New Roman" w:eastAsia="Times New Roman" w:hAnsi="Times New Roman"/>
                <w:sz w:val="12"/>
                <w:szCs w:val="12"/>
                <w:b w:val="1"/>
                <w:bCs w:val="1"/>
                <w:color w:val="auto"/>
              </w:rPr>
              <w:t>Dividends</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gridSpan w:val="3"/>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Distributions</w:t>
            </w: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Date declared</w:t>
            </w:r>
          </w:p>
        </w:tc>
        <w:tc>
          <w:tcPr>
            <w:tcW w:w="3660" w:type="dxa"/>
            <w:vAlign w:val="bottom"/>
            <w:vMerge w:val="restart"/>
          </w:tcPr>
          <w:p>
            <w:pPr>
              <w:ind w:left="680"/>
              <w:spacing w:after="0"/>
              <w:rPr>
                <w:sz w:val="20"/>
                <w:szCs w:val="20"/>
                <w:color w:val="auto"/>
              </w:rPr>
            </w:pPr>
            <w:r>
              <w:rPr>
                <w:rFonts w:ascii="Times New Roman" w:cs="Times New Roman" w:eastAsia="Times New Roman" w:hAnsi="Times New Roman"/>
                <w:sz w:val="12"/>
                <w:szCs w:val="12"/>
                <w:b w:val="1"/>
                <w:bCs w:val="1"/>
                <w:color w:val="auto"/>
              </w:rPr>
              <w:t>Date paid</w:t>
            </w: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1800" w:type="dxa"/>
            <w:vAlign w:val="bottom"/>
            <w:tcBorders>
              <w:bottom w:val="single" w:sz="8" w:color="auto"/>
            </w:tcBorders>
            <w:vMerge w:val="continue"/>
          </w:tcPr>
          <w:p>
            <w:pPr>
              <w:spacing w:after="0"/>
              <w:rPr>
                <w:sz w:val="14"/>
                <w:szCs w:val="14"/>
                <w:color w:val="auto"/>
              </w:rPr>
            </w:pPr>
          </w:p>
        </w:tc>
        <w:tc>
          <w:tcPr>
            <w:tcW w:w="366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per share</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2"/>
                <w:szCs w:val="12"/>
                <w:b w:val="1"/>
                <w:bCs w:val="1"/>
                <w:color w:val="auto"/>
              </w:rPr>
              <w:t>Total</w:t>
            </w: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per unit</w:t>
            </w: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65"/>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96"/>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May 9, 2023</w:t>
            </w:r>
          </w:p>
        </w:tc>
        <w:tc>
          <w:tcPr>
            <w:tcW w:w="3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July 20, 2023</w:t>
            </w:r>
          </w:p>
        </w:tc>
        <w:tc>
          <w:tcPr>
            <w:tcW w:w="960" w:type="dxa"/>
            <w:vAlign w:val="bottom"/>
            <w:shd w:val="clear" w:color="auto" w:fill="CCEEFF"/>
          </w:tcPr>
          <w:p>
            <w:pPr>
              <w:jc w:val="right"/>
              <w:ind w:right="805"/>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2,911</w:t>
            </w:r>
          </w:p>
        </w:tc>
        <w:tc>
          <w:tcPr>
            <w:tcW w:w="0" w:type="dxa"/>
            <w:vAlign w:val="bottom"/>
          </w:tcPr>
          <w:p>
            <w:pPr>
              <w:spacing w:after="0"/>
              <w:rPr>
                <w:sz w:val="1"/>
                <w:szCs w:val="1"/>
                <w:color w:val="auto"/>
              </w:rPr>
            </w:pPr>
          </w:p>
        </w:tc>
      </w:tr>
      <w:tr>
        <w:trPr>
          <w:trHeight w:val="199"/>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August 3, 2023</w:t>
            </w:r>
          </w:p>
        </w:tc>
        <w:tc>
          <w:tcPr>
            <w:tcW w:w="36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October 26, 2023</w:t>
            </w:r>
          </w:p>
        </w:tc>
        <w:tc>
          <w:tcPr>
            <w:tcW w:w="960" w:type="dxa"/>
            <w:vAlign w:val="bottom"/>
          </w:tcPr>
          <w:p>
            <w:pPr>
              <w:jc w:val="right"/>
              <w:ind w:right="805"/>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tcPr>
          <w:p>
            <w:pPr>
              <w:spacing w:after="0"/>
              <w:rPr>
                <w:sz w:val="17"/>
                <w:szCs w:val="17"/>
                <w:color w:val="auto"/>
              </w:rPr>
            </w:pPr>
          </w:p>
        </w:tc>
        <w:tc>
          <w:tcPr>
            <w:tcW w:w="880" w:type="dxa"/>
            <w:vAlign w:val="bottom"/>
          </w:tcPr>
          <w:p>
            <w:pPr>
              <w:jc w:val="right"/>
              <w:ind w:right="725"/>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220" w:type="dxa"/>
            <w:vAlign w:val="bottom"/>
          </w:tcPr>
          <w:p>
            <w:pPr>
              <w:spacing w:after="0"/>
              <w:rPr>
                <w:sz w:val="17"/>
                <w:szCs w:val="17"/>
                <w:color w:val="auto"/>
              </w:rPr>
            </w:pPr>
          </w:p>
        </w:tc>
        <w:tc>
          <w:tcPr>
            <w:tcW w:w="960" w:type="dxa"/>
            <w:vAlign w:val="bottom"/>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tcPr>
          <w:p>
            <w:pPr>
              <w:spacing w:after="0"/>
              <w:rPr>
                <w:sz w:val="17"/>
                <w:szCs w:val="17"/>
                <w:color w:val="auto"/>
              </w:rPr>
            </w:pPr>
          </w:p>
        </w:tc>
        <w:tc>
          <w:tcPr>
            <w:tcW w:w="42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2,893</w:t>
            </w:r>
          </w:p>
        </w:tc>
        <w:tc>
          <w:tcPr>
            <w:tcW w:w="0" w:type="dxa"/>
            <w:vAlign w:val="bottom"/>
          </w:tcPr>
          <w:p>
            <w:pPr>
              <w:spacing w:after="0"/>
              <w:rPr>
                <w:sz w:val="1"/>
                <w:szCs w:val="1"/>
                <w:color w:val="auto"/>
              </w:rPr>
            </w:pPr>
          </w:p>
        </w:tc>
      </w:tr>
      <w:tr>
        <w:trPr>
          <w:trHeight w:val="199"/>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October 18, 2023</w:t>
            </w:r>
          </w:p>
        </w:tc>
        <w:tc>
          <w:tcPr>
            <w:tcW w:w="36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December 1, 2023</w:t>
            </w:r>
          </w:p>
        </w:tc>
        <w:tc>
          <w:tcPr>
            <w:tcW w:w="960" w:type="dxa"/>
            <w:vAlign w:val="bottom"/>
            <w:shd w:val="clear" w:color="auto" w:fill="CCEEFF"/>
          </w:tcPr>
          <w:p>
            <w:pPr>
              <w:jc w:val="right"/>
              <w:ind w:right="805"/>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0.15</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7,064</w:t>
            </w: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43,251</w:t>
            </w:r>
          </w:p>
        </w:tc>
        <w:tc>
          <w:tcPr>
            <w:tcW w:w="0" w:type="dxa"/>
            <w:vAlign w:val="bottom"/>
          </w:tcPr>
          <w:p>
            <w:pPr>
              <w:spacing w:after="0"/>
              <w:rPr>
                <w:sz w:val="1"/>
                <w:szCs w:val="1"/>
                <w:color w:val="auto"/>
              </w:rPr>
            </w:pPr>
          </w:p>
        </w:tc>
      </w:tr>
      <w:tr>
        <w:trPr>
          <w:trHeight w:val="203"/>
        </w:trPr>
        <w:tc>
          <w:tcPr>
            <w:tcW w:w="1800" w:type="dxa"/>
            <w:vAlign w:val="bottom"/>
          </w:tcPr>
          <w:p>
            <w:pPr>
              <w:spacing w:after="0"/>
              <w:rPr>
                <w:sz w:val="20"/>
                <w:szCs w:val="20"/>
                <w:color w:val="auto"/>
              </w:rPr>
            </w:pPr>
            <w:r>
              <w:rPr>
                <w:rFonts w:ascii="Times New Roman" w:cs="Times New Roman" w:eastAsia="Times New Roman" w:hAnsi="Times New Roman"/>
                <w:sz w:val="16"/>
                <w:szCs w:val="16"/>
                <w:color w:val="auto"/>
              </w:rPr>
              <w:t>October 18, 2023</w:t>
            </w:r>
          </w:p>
        </w:tc>
        <w:tc>
          <w:tcPr>
            <w:tcW w:w="366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 be paid on January 25, 2024</w:t>
            </w:r>
          </w:p>
        </w:tc>
        <w:tc>
          <w:tcPr>
            <w:tcW w:w="960" w:type="dxa"/>
            <w:vAlign w:val="bottom"/>
          </w:tcPr>
          <w:p>
            <w:pPr>
              <w:jc w:val="right"/>
              <w:ind w:right="805"/>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tcPr>
          <w:p>
            <w:pPr>
              <w:spacing w:after="0"/>
              <w:rPr>
                <w:sz w:val="17"/>
                <w:szCs w:val="17"/>
                <w:color w:val="auto"/>
              </w:rPr>
            </w:pPr>
          </w:p>
        </w:tc>
        <w:tc>
          <w:tcPr>
            <w:tcW w:w="880" w:type="dxa"/>
            <w:vAlign w:val="bottom"/>
          </w:tcPr>
          <w:p>
            <w:pPr>
              <w:jc w:val="right"/>
              <w:ind w:right="725"/>
              <w:spacing w:after="0"/>
              <w:rPr>
                <w:sz w:val="20"/>
                <w:szCs w:val="20"/>
                <w:color w:val="auto"/>
              </w:rPr>
            </w:pPr>
            <w:r>
              <w:rPr>
                <w:rFonts w:ascii="Times New Roman" w:cs="Times New Roman" w:eastAsia="Times New Roman" w:hAnsi="Times New Roman"/>
                <w:sz w:val="16"/>
                <w:szCs w:val="16"/>
                <w:color w:val="auto"/>
                <w:w w:val="74"/>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220" w:type="dxa"/>
            <w:vAlign w:val="bottom"/>
          </w:tcPr>
          <w:p>
            <w:pPr>
              <w:spacing w:after="0"/>
              <w:rPr>
                <w:sz w:val="17"/>
                <w:szCs w:val="17"/>
                <w:color w:val="auto"/>
              </w:rPr>
            </w:pPr>
          </w:p>
        </w:tc>
        <w:tc>
          <w:tcPr>
            <w:tcW w:w="960" w:type="dxa"/>
            <w:vAlign w:val="bottom"/>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tcPr>
          <w:p>
            <w:pPr>
              <w:spacing w:after="0"/>
              <w:rPr>
                <w:sz w:val="17"/>
                <w:szCs w:val="17"/>
                <w:color w:val="auto"/>
              </w:rPr>
            </w:pPr>
          </w:p>
        </w:tc>
        <w:tc>
          <w:tcPr>
            <w:tcW w:w="42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2,881</w:t>
            </w:r>
          </w:p>
        </w:tc>
        <w:tc>
          <w:tcPr>
            <w:tcW w:w="0" w:type="dxa"/>
            <w:vAlign w:val="bottom"/>
          </w:tcPr>
          <w:p>
            <w:pPr>
              <w:spacing w:after="0"/>
              <w:rPr>
                <w:sz w:val="1"/>
                <w:szCs w:val="1"/>
                <w:color w:val="auto"/>
              </w:rPr>
            </w:pPr>
          </w:p>
        </w:tc>
      </w:tr>
    </w:tbl>
    <w:p>
      <w:pPr>
        <w:spacing w:after="0" w:line="190"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6"/>
          <w:szCs w:val="16"/>
          <w:color w:val="auto"/>
        </w:rPr>
        <w:t>On November 4, 2021, our Board of Directors authorized the repurchase of up to $35.0 million in aggregate of shares of the Company’s Class A common stock. We did not repurchase any shares during the year ended December 31, 2023, and we repurchased 2,484,717 and 500,270 shares totaling $13,054 and $3,340 in aggregate, including fees and commissions of $25 and $5 for the years ended December 31, 2022 and 2021, respectively. Since the inception of the program we have repurchased 2,984,987 total shares. The share repurchase program expired by its terms on November 3, 2023.</w:t>
      </w:r>
    </w:p>
    <w:p>
      <w:pPr>
        <w:spacing w:after="0" w:line="116" w:lineRule="exact"/>
        <w:rPr>
          <w:sz w:val="20"/>
          <w:szCs w:val="20"/>
          <w:color w:val="auto"/>
        </w:rPr>
      </w:pPr>
    </w:p>
    <w:p>
      <w:pPr>
        <w:ind w:right="200"/>
        <w:spacing w:after="0" w:line="341" w:lineRule="auto"/>
        <w:rPr>
          <w:sz w:val="20"/>
          <w:szCs w:val="20"/>
          <w:color w:val="auto"/>
        </w:rPr>
      </w:pPr>
      <w:r>
        <w:rPr>
          <w:rFonts w:ascii="Times New Roman" w:cs="Times New Roman" w:eastAsia="Times New Roman" w:hAnsi="Times New Roman"/>
          <w:sz w:val="14"/>
          <w:szCs w:val="14"/>
          <w:color w:val="auto"/>
        </w:rPr>
        <w:t>For each share of Class A common stock the Company repurchased under the share repurchase program, MarketWise, LLC, the Company’s direct subsidiary, redeemed one LLC Unit held by the Company, decreasing the percentage ownership of MarketWise, LLC by the Company and relatively increasing the ownership by the other unitholders.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14" w:name="page115"/>
    <w:bookmarkEnd w:id="114"/>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MARKETWISE, INC.</w:t>
      </w:r>
    </w:p>
    <w:p>
      <w:pPr>
        <w:spacing w:after="0" w:line="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i w:val="1"/>
          <w:iCs w:val="1"/>
          <w:color w:val="auto"/>
        </w:rPr>
        <w:t>(Dollar amounts in thousands, except share, unit, per share, and per unit data)</w:t>
      </w:r>
    </w:p>
    <w:p>
      <w:pPr>
        <w:spacing w:after="0" w:line="200" w:lineRule="exact"/>
        <w:rPr>
          <w:sz w:val="20"/>
          <w:szCs w:val="20"/>
          <w:color w:val="auto"/>
        </w:rPr>
      </w:pPr>
    </w:p>
    <w:p>
      <w:pPr>
        <w:spacing w:after="0" w:line="34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17.</w:t>
      </w:r>
      <w:r>
        <w:rPr>
          <w:sz w:val="20"/>
          <w:szCs w:val="20"/>
          <w:color w:val="auto"/>
        </w:rPr>
        <w:tab/>
      </w:r>
      <w:r>
        <w:rPr>
          <w:rFonts w:ascii="Times New Roman" w:cs="Times New Roman" w:eastAsia="Times New Roman" w:hAnsi="Times New Roman"/>
          <w:sz w:val="14"/>
          <w:szCs w:val="14"/>
          <w:b w:val="1"/>
          <w:bCs w:val="1"/>
          <w:color w:val="auto"/>
        </w:rPr>
        <w:t>Warrant Exchange</w:t>
      </w:r>
    </w:p>
    <w:p>
      <w:pPr>
        <w:spacing w:after="0" w:line="145"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6"/>
          <w:szCs w:val="16"/>
          <w:color w:val="auto"/>
        </w:rPr>
        <w:t>On August 17, 2022, we commenced an exchange offer (the “Offer”) and consent solicitation (the “Consent Solicitation”) relating to our outstanding Public Warrants and Private Placement Warrants to purchase shares of Class A common stock at $11.50 per share. Each holder of the warrants was offered the opportunity to receive 0.1925 shares of Class A common stock in exchange for each outstanding warrant tendered by the holder and exchanged pursuant to the Offer. Concurrently with the Offer, we solicited consents from holders of the warrants to amend the warrant agreement that governs all of the warrants (the “Warrant Agreement”) to permit us to require that each warrant outstanding upon the closing of the Offer be exchanged for 0.17325 shares of Class A common stock, which is a ratio 10% less than the exchange ratio applicable to the Offer (such amendment, the “Warrant Amendment”).</w:t>
      </w:r>
    </w:p>
    <w:p>
      <w:pPr>
        <w:spacing w:after="0" w:line="122"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6"/>
          <w:szCs w:val="16"/>
          <w:color w:val="auto"/>
        </w:rPr>
        <w:t>On September 14, 2022, we concluded the Offer and Consent Solicitation with approximately 96% of the outstanding warrants validly tendered and not withdrawn prior to the expiration of the Offer and Consent Solicitation. Accordingly, on September 19, 2022, we issued 5,725,681 shares of Class A common stock in exchange for the 29,743,932 warrants tendered in the Offer.</w:t>
      </w:r>
    </w:p>
    <w:p>
      <w:pPr>
        <w:spacing w:after="0" w:line="113"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4"/>
          <w:szCs w:val="14"/>
          <w:color w:val="auto"/>
        </w:rPr>
        <w:t>Additionally, we received the requisite approval of warrant holders to enter into the Warrant Amendment. Accordingly, we and Continental Stock Transfer &amp; Trust Company entered into the Warrant Amendment, dated September 15, 2022, and we exercised our right, in accordance with the terms of the Warrant Amendment, to exchange each warrant that was outstanding upon the closing of the Offer for 0.17325 shares of Class A common stock per warrant. On September 30, 2022, we issued 214,058 shares of Class A common stock in exchange for the 1,236,061 outstanding warrants after closing of the Offering. As a result, there are no outstanding warrants as of September 30, 2022, and the warrants were delisted from trading on the Nasdaq. In connection with the warrant exchange, we paid out a de minimis amount of cash in lieu of fractional shares.</w:t>
      </w:r>
    </w:p>
    <w:p>
      <w:pPr>
        <w:spacing w:after="0" w:line="9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6"/>
          <w:szCs w:val="16"/>
          <w:color w:val="auto"/>
        </w:rPr>
        <w:t>We incurred $2.1 million of costs directly related to the warrant exchange, consisting primarily of dealer manager fees and professional, legal, printing, filing, regulatory, and other costs. These costs were recorded in general and administrative expenses on the consolidated statements of operations as the transactions did not generate any proceeds to us and therefore the costs did not qualify to be deferred or charged to additional paid-in-capital under ASC 340-10-S99-1.</w:t>
      </w:r>
    </w:p>
    <w:p>
      <w:pPr>
        <w:spacing w:after="0" w:line="200" w:lineRule="exact"/>
        <w:rPr>
          <w:sz w:val="20"/>
          <w:szCs w:val="20"/>
          <w:color w:val="auto"/>
        </w:rPr>
      </w:pPr>
    </w:p>
    <w:p>
      <w:pPr>
        <w:spacing w:after="0" w:line="26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6"/>
          <w:szCs w:val="16"/>
          <w:b w:val="1"/>
          <w:bCs w:val="1"/>
          <w:color w:val="auto"/>
        </w:rPr>
        <w:t>18.</w:t>
      </w:r>
      <w:r>
        <w:rPr>
          <w:sz w:val="20"/>
          <w:szCs w:val="20"/>
          <w:color w:val="auto"/>
        </w:rPr>
        <w:tab/>
      </w:r>
      <w:r>
        <w:rPr>
          <w:rFonts w:ascii="Times New Roman" w:cs="Times New Roman" w:eastAsia="Times New Roman" w:hAnsi="Times New Roman"/>
          <w:sz w:val="14"/>
          <w:szCs w:val="14"/>
          <w:b w:val="1"/>
          <w:bCs w:val="1"/>
          <w:color w:val="auto"/>
        </w:rPr>
        <w:t>Subsequent Events</w:t>
      </w:r>
    </w:p>
    <w:p>
      <w:pPr>
        <w:spacing w:after="0" w:line="145"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4"/>
          <w:szCs w:val="14"/>
          <w:color w:val="auto"/>
        </w:rPr>
        <w:t>On February 8, 2024, the Board of Directors committed to a strategic realignment and reorganization plan (the “Reorganization”) impacting its Legacy Research Group business (“Legacy Research”). As part of the Reorganization, the Company plans to wind-down the operations of Legacy Research. The Reorganization, including the closure of the Legacy Research subsidiary brands, is in response to misconduct discovered at Legacy Research where certain managers violated the Company’s policies. We believe the reorganization demonstrates the Company’s commitment to providing reliable and independent financial research to its subscribers. The Reorganization is currently expected to be completed in the first half of fiscal 2024. We have 104 employees at Legacy Research, which represents approximately 18% of the Company’s total employees, who will either be offered a new role within the Company or have their positions eliminated. As part of this Reorganization, we plan to make every effort to serve our existing Legacy Research customers by offering similar products published by other MarketWise brands. However, the Company is currently unable in good faith to estimate the amount or range of amounts expected to be incurred in connection with the Reorganization and wind-down, both with respect to each major type of cost associated therewith and with respect to the total cost, and the impacts on the Company’s overall results of operations. The Company plans to disclose this information after it determines such estimates or range of estimates.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 Changes in and Disagreements With Accountants on Accounting and Financial Disclosure.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5" w:name="page116"/>
    <w:bookmarkEnd w:id="115"/>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MARKETWISE, INC.</w:t>
      </w:r>
    </w:p>
    <w:p>
      <w:pPr>
        <w:spacing w:after="0" w:line="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Notes to the Consolidated Financial Statements</w:t>
      </w:r>
    </w:p>
    <w:p>
      <w:pPr>
        <w:spacing w:after="0" w:line="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i w:val="1"/>
          <w:iCs w:val="1"/>
          <w:color w:val="auto"/>
        </w:rPr>
        <w:t>(Dollar amounts in thousands, except share, unit, per share,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9A. Controls and Procedures.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Evaluation of Disclosure Controls and Procedures</w:t>
      </w:r>
    </w:p>
    <w:p>
      <w:pPr>
        <w:spacing w:after="0" w:line="14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6"/>
          <w:szCs w:val="16"/>
          <w:color w:val="auto"/>
        </w:rPr>
        <w:t>As of the end of the period covered by this Annual Report, we carried out an evaluation, under the supervision and with the participation of our management, including our CEO (principal executive officer) and Chief Financial Officer (principal financial officer, “CFO”), of the effectiveness of the design and operation of our disclosure controls and procedures (as defined in Rules 13a-15(e) and 15d-15(e) under the Securities Exchange Act of 1934, as amended (the “Exchange Act”)).</w:t>
      </w:r>
    </w:p>
    <w:p>
      <w:pPr>
        <w:spacing w:after="0" w:line="113" w:lineRule="exact"/>
        <w:rPr>
          <w:sz w:val="20"/>
          <w:szCs w:val="20"/>
          <w:color w:val="auto"/>
        </w:rPr>
      </w:pPr>
    </w:p>
    <w:p>
      <w:pPr>
        <w:ind w:right="1580"/>
        <w:spacing w:after="0" w:line="427" w:lineRule="auto"/>
        <w:rPr>
          <w:sz w:val="20"/>
          <w:szCs w:val="20"/>
          <w:color w:val="auto"/>
        </w:rPr>
      </w:pPr>
      <w:r>
        <w:rPr>
          <w:rFonts w:ascii="Times New Roman" w:cs="Times New Roman" w:eastAsia="Times New Roman" w:hAnsi="Times New Roman"/>
          <w:sz w:val="16"/>
          <w:szCs w:val="16"/>
          <w:color w:val="auto"/>
        </w:rPr>
        <w:t xml:space="preserve">Our CEO and CFO have concluded that our disclosure controls and procedures were effective at the reasonable assurance level as of December 31, 2023. </w:t>
      </w:r>
      <w:r>
        <w:rPr>
          <w:rFonts w:ascii="Times New Roman" w:cs="Times New Roman" w:eastAsia="Times New Roman" w:hAnsi="Times New Roman"/>
          <w:sz w:val="16"/>
          <w:szCs w:val="16"/>
          <w:b w:val="1"/>
          <w:bCs w:val="1"/>
          <w:color w:val="auto"/>
        </w:rPr>
        <w:t>Previously Disclosed Material Weaknesses</w:t>
      </w:r>
    </w:p>
    <w:p>
      <w:pPr>
        <w:ind w:right="340"/>
        <w:spacing w:after="0" w:line="268" w:lineRule="auto"/>
        <w:rPr>
          <w:sz w:val="20"/>
          <w:szCs w:val="20"/>
          <w:color w:val="auto"/>
        </w:rPr>
      </w:pPr>
      <w:r>
        <w:rPr>
          <w:rFonts w:ascii="Times New Roman" w:cs="Times New Roman" w:eastAsia="Times New Roman" w:hAnsi="Times New Roman"/>
          <w:sz w:val="16"/>
          <w:szCs w:val="16"/>
          <w:color w:val="auto"/>
        </w:rPr>
        <w:t>The material weaknesses as previously reported in Part II, Item 9A "Controls and Procedures" of our Annual Report on Form 10-K for the year ended December 31, 2022, in connection with our assessment of the effectiveness of internal control over financial reporting as of December 31, 2022, have been remediated.</w:t>
      </w:r>
    </w:p>
    <w:p>
      <w:pPr>
        <w:spacing w:after="0" w:line="104"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6"/>
          <w:szCs w:val="16"/>
          <w:color w:val="auto"/>
        </w:rPr>
        <w:t>The controls and processes we implemented to remediate the identified material weakness related to the lack of contemporaneous documentation and account reconciliation included:</w:t>
      </w:r>
    </w:p>
    <w:p>
      <w:pPr>
        <w:spacing w:after="0" w:line="104" w:lineRule="exact"/>
        <w:rPr>
          <w:sz w:val="20"/>
          <w:szCs w:val="20"/>
          <w:color w:val="auto"/>
        </w:rPr>
      </w:pPr>
    </w:p>
    <w:p>
      <w:pPr>
        <w:ind w:left="560" w:hanging="286"/>
        <w:spacing w:after="0"/>
        <w:tabs>
          <w:tab w:leader="none" w:pos="5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hiring qualified personnel with appropriate levels of experience in accounting, technology, risk assessment, and internal controls;</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implementing a new revenue recognition application, including the design and implementation of associated internal controls over financial reporting; and</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enhancing account reconciliation processes and internal controls, leveraging the use of a reconciliation application, and training of accounting personnel.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controls and processes we implemented to remediate the identified material weakness related to the lack of a formal or documented risk assessment process included:</w:t>
      </w:r>
    </w:p>
    <w:p>
      <w:pPr>
        <w:spacing w:after="0" w:line="143" w:lineRule="exact"/>
        <w:rPr>
          <w:sz w:val="20"/>
          <w:szCs w:val="20"/>
          <w:color w:val="auto"/>
        </w:rPr>
      </w:pPr>
    </w:p>
    <w:p>
      <w:pPr>
        <w:ind w:left="560" w:hanging="286"/>
        <w:spacing w:after="0"/>
        <w:tabs>
          <w:tab w:leader="none" w:pos="5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hiring qualified personnel with appropriate levels of experience in accounting, technology, risk assessment, and internal controls;</w:t>
      </w:r>
    </w:p>
    <w:p>
      <w:pPr>
        <w:spacing w:after="0" w:line="143" w:lineRule="exact"/>
        <w:rPr>
          <w:rFonts w:ascii="Times New Roman" w:cs="Times New Roman" w:eastAsia="Times New Roman" w:hAnsi="Times New Roman"/>
          <w:sz w:val="16"/>
          <w:szCs w:val="16"/>
          <w:color w:val="auto"/>
        </w:rPr>
      </w:pPr>
    </w:p>
    <w:p>
      <w:pPr>
        <w:ind w:left="560" w:right="340" w:hanging="286"/>
        <w:spacing w:after="0" w:line="268" w:lineRule="auto"/>
        <w:tabs>
          <w:tab w:leader="none" w:pos="556"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a comprehensive SOX program that includes the documentation and assessment of the Company’s risks and internal controls over financial reporting to comply with the Sarbanes-Oxley Act;</w:t>
      </w:r>
    </w:p>
    <w:p>
      <w:pPr>
        <w:spacing w:after="0" w:line="10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implementing an annual risk assessment process over financial reporting;</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implementing an annual cybersecurity risk assessment process;</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a Disclosure Task Force with participants across business units to ensure the completeness and accuracy of financial reporting disclosures; and</w:t>
      </w:r>
    </w:p>
    <w:p>
      <w:pPr>
        <w:spacing w:after="0" w:line="143" w:lineRule="exact"/>
        <w:rPr>
          <w:rFonts w:ascii="Times New Roman" w:cs="Times New Roman" w:eastAsia="Times New Roman" w:hAnsi="Times New Roman"/>
          <w:sz w:val="16"/>
          <w:szCs w:val="16"/>
          <w:color w:val="auto"/>
        </w:rPr>
      </w:pPr>
    </w:p>
    <w:p>
      <w:pPr>
        <w:ind w:left="560" w:hanging="286"/>
        <w:spacing w:after="0"/>
        <w:tabs>
          <w:tab w:leader="none" w:pos="5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establishing regular director and executive management meetings to oversee Company risks and performance.</w:t>
      </w:r>
    </w:p>
    <w:p>
      <w:pPr>
        <w:spacing w:after="0" w:line="14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6"/>
          <w:szCs w:val="16"/>
          <w:color w:val="auto"/>
        </w:rPr>
        <w:t>These controls are adequately designed and have operated effectively for a sufficient period during the year ended December 31, 2023. Accordingly, the material weaknesses were determined to be remediated as of December 31, 2023.</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Management’s Annual Report on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16" w:name="page117"/>
    <w:bookmarkEnd w:id="116"/>
    <w:p>
      <w:pPr>
        <w:spacing w:after="0" w:line="268" w:lineRule="auto"/>
        <w:rPr>
          <w:sz w:val="20"/>
          <w:szCs w:val="20"/>
          <w:color w:val="auto"/>
        </w:rPr>
      </w:pPr>
      <w:r>
        <w:rPr>
          <w:rFonts w:ascii="Times New Roman" w:cs="Times New Roman" w:eastAsia="Times New Roman" w:hAnsi="Times New Roman"/>
          <w:sz w:val="16"/>
          <w:szCs w:val="16"/>
          <w:color w:val="auto"/>
        </w:rPr>
        <w:t>Management is responsible for establishing and maintaining adequate internal control over financial reporting (as defined in Rule 13a-15(f) and Rule 15d-15(f) under the Exchange Act).</w:t>
      </w:r>
    </w:p>
    <w:p>
      <w:pPr>
        <w:spacing w:after="0" w:line="104"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6"/>
          <w:szCs w:val="16"/>
          <w:color w:val="auto"/>
        </w:rPr>
        <w:t>Management conducted an evaluation of the effectiveness of its internal controls over financial reporting as of December 31, 2023, based on the updated framework in Internal Control – Integrated Framework (2013) issued by the Committee of Sponsoring Organizations of the Treadway Commission.</w:t>
      </w:r>
    </w:p>
    <w:p>
      <w:pPr>
        <w:spacing w:after="0" w:line="104" w:lineRule="exact"/>
        <w:rPr>
          <w:sz w:val="20"/>
          <w:szCs w:val="20"/>
          <w:color w:val="auto"/>
        </w:rPr>
      </w:pPr>
    </w:p>
    <w:p>
      <w:pPr>
        <w:jc w:val="both"/>
        <w:ind w:right="60"/>
        <w:spacing w:after="0" w:line="256" w:lineRule="auto"/>
        <w:rPr>
          <w:sz w:val="20"/>
          <w:szCs w:val="20"/>
          <w:color w:val="auto"/>
        </w:rPr>
      </w:pPr>
      <w:r>
        <w:rPr>
          <w:rFonts w:ascii="Times New Roman" w:cs="Times New Roman" w:eastAsia="Times New Roman" w:hAnsi="Times New Roman"/>
          <w:sz w:val="16"/>
          <w:szCs w:val="16"/>
          <w:color w:val="auto"/>
        </w:rPr>
        <w:t>Based on this evaluation, management concluded that as of December 31, 2023, the two material weaknesses in our internal control over financial reporting related to: (i) a lack of contemporaneous documentation and account reconciliation, and (ii) the lack of a formal or documented risk assessment process, that were previously disclosed, were remediated and our internal control over financial reporting was effective.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in Internal Control Over Financial Reporting</w:t>
      </w:r>
    </w:p>
    <w:p>
      <w:pPr>
        <w:spacing w:after="0" w:line="14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Other than the completed remediation efforts described above in connection with the previously identified material weaknesses in our 2022 Form 10-K, there have been no changes in our internal control over financial reporting (as defined in Rules 13a-15(f) and 15d-15(f) under the Exchange Act) during our most recent quarter that has materially affected, or is reasonably likely to materially affect, our internal control over financial reporting.</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Inherent Limitations on Effectiveness of Controls</w:t>
      </w:r>
    </w:p>
    <w:p>
      <w:pPr>
        <w:spacing w:after="0" w:line="145"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6"/>
          <w:szCs w:val="16"/>
          <w:color w:val="auto"/>
        </w:rPr>
        <w:t>Our disclosure controls and procedures and internal control over financial reporting are designed to provide reasonable assurance of achieving the desired control objectives. Our management recognizes that any control system, no matter how well designed and operated, is based upon certain judgments and assumptions and cannot provide absolute assurance that its objectives will be met. Similarly, an evaluation of controls cannot provide absolute assurance that misstatements due to error or fraud will not occur or that all control issues and instances of fraud, if any, have been detected.</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9B. Other Information.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9C. Disclosure Regarding Foreign Jurisdictions that Prevent Inspections.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PART III</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10. Directors, Executive Officers and Corporate Governance.</w:t>
      </w:r>
    </w:p>
    <w:p>
      <w:pPr>
        <w:spacing w:after="0" w:line="145"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6"/>
          <w:szCs w:val="16"/>
          <w:color w:val="auto"/>
        </w:rPr>
        <w:t>The information required by this item is incorporated by reference to the section captioned “Directors and Executive Officers” in our definitive Proxy Statement for the 2024 Annual Meeting of stockholders and incorporated herein by reference or will be provided in an amendment to this Annual Report on Form 10-K.</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11. Executive Compensation.</w:t>
      </w:r>
    </w:p>
    <w:p>
      <w:pPr>
        <w:spacing w:after="0" w:line="145" w:lineRule="exact"/>
        <w:rPr>
          <w:sz w:val="20"/>
          <w:szCs w:val="20"/>
          <w:color w:val="auto"/>
        </w:rPr>
      </w:pPr>
    </w:p>
    <w:p>
      <w:pPr>
        <w:ind w:right="480"/>
        <w:spacing w:after="0" w:line="268" w:lineRule="auto"/>
        <w:rPr>
          <w:sz w:val="20"/>
          <w:szCs w:val="20"/>
          <w:color w:val="auto"/>
        </w:rPr>
      </w:pPr>
      <w:r>
        <w:rPr>
          <w:rFonts w:ascii="Times New Roman" w:cs="Times New Roman" w:eastAsia="Times New Roman" w:hAnsi="Times New Roman"/>
          <w:sz w:val="16"/>
          <w:szCs w:val="16"/>
          <w:color w:val="auto"/>
        </w:rPr>
        <w:t>The information required by this item will either be set forth under the “Executive Compensation” section in the definitive Proxy Statement for the 2024 Annual Meeting of stockholders and incorporated herein by reference or will be provided in an amendment to this Annual Report on Form 10-K.</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12. Security Ownership of Certain Beneficial Owners and Management and Related Stockholder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00"/>
          </w:cols>
          <w:pgMar w:left="320" w:top="1386" w:right="379" w:bottom="1440" w:gutter="0" w:footer="0" w:header="0"/>
        </w:sectPr>
      </w:pPr>
    </w:p>
    <w:bookmarkStart w:id="117" w:name="page118"/>
    <w:bookmarkEnd w:id="117"/>
    <w:p>
      <w:pPr>
        <w:jc w:val="both"/>
        <w:ind w:right="40"/>
        <w:spacing w:after="0" w:line="256" w:lineRule="auto"/>
        <w:rPr>
          <w:sz w:val="20"/>
          <w:szCs w:val="20"/>
          <w:color w:val="auto"/>
        </w:rPr>
      </w:pPr>
      <w:r>
        <w:rPr>
          <w:rFonts w:ascii="Times New Roman" w:cs="Times New Roman" w:eastAsia="Times New Roman" w:hAnsi="Times New Roman"/>
          <w:sz w:val="16"/>
          <w:szCs w:val="16"/>
          <w:color w:val="auto"/>
        </w:rPr>
        <w:t>The information required by this item will be either set forth under the sections captioned “Voting Securities and Principal Holders Thereof,” and “Executive Compensation” in the definitive Proxy Statement for the 2024 Annual Meeting of stockholders and incorporated herein by reference or will be provided in an amendment to this Annual Report on Form 10-K.</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13. Certain Relationships and Related Transactions, and Director Independence.</w:t>
      </w:r>
    </w:p>
    <w:p>
      <w:pPr>
        <w:spacing w:after="0" w:line="14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6"/>
          <w:szCs w:val="16"/>
          <w:color w:val="auto"/>
        </w:rPr>
        <w:t>The information required by this item will be either set forth under the “Directors and Executive Officers” section in the definitive Proxy Statement for the 2024 Annual Meeting of stockholders and incorporated herein by reference or will be provided in an amendment to this Annual Report on Form 10-K.</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14. Principal Accountant Fees and Services.</w:t>
      </w:r>
    </w:p>
    <w:p>
      <w:pPr>
        <w:spacing w:after="0" w:line="14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6"/>
          <w:szCs w:val="16"/>
          <w:color w:val="auto"/>
        </w:rPr>
        <w:t>The information required by this item will be either set forth under the “Audit Committee Pre-Approval of Audit and Non-Audit Services” section in the definitive Proxy Statement for the 2024 Annual Meeting of stockholders and incorporated herein by reference or will be provided in an amendment to this Annual Report on Form 10-K.</w:t>
      </w:r>
    </w:p>
    <w:p>
      <w:pPr>
        <w:spacing w:after="0" w:line="1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PART IV</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15. Exhibit and Financial Statement Schedules.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following exhibits are filed as part of, or incorporated by reference into, this Annual Report on Form 10-K.</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w w:val="93"/>
              </w:rPr>
              <w:t>Exhibit No.</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00" w:type="dxa"/>
            <w:vAlign w:val="bottom"/>
            <w:gridSpan w:val="21"/>
          </w:tcPr>
          <w:p>
            <w:pPr>
              <w:spacing w:after="0"/>
              <w:rPr>
                <w:sz w:val="20"/>
                <w:szCs w:val="20"/>
                <w:color w:val="auto"/>
              </w:rPr>
            </w:pPr>
            <w:r>
              <w:rPr>
                <w:rFonts w:ascii="Times New Roman" w:cs="Times New Roman" w:eastAsia="Times New Roman" w:hAnsi="Times New Roman"/>
                <w:sz w:val="16"/>
                <w:szCs w:val="16"/>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72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2.1†</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40" w:type="dxa"/>
            <w:vAlign w:val="bottom"/>
            <w:gridSpan w:val="23"/>
          </w:tcPr>
          <w:p>
            <w:pPr>
              <w:spacing w:after="0" w:line="179" w:lineRule="exact"/>
              <w:rPr>
                <w:rFonts w:ascii="Times New Roman" w:cs="Times New Roman" w:eastAsia="Times New Roman" w:hAnsi="Times New Roman"/>
                <w:sz w:val="16"/>
                <w:szCs w:val="16"/>
                <w:color w:val="0000FF"/>
                <w:w w:val="98"/>
              </w:rPr>
            </w:pPr>
            <w:hyperlink r:id="rId137">
              <w:r>
                <w:rPr>
                  <w:rFonts w:ascii="Times New Roman" w:cs="Times New Roman" w:eastAsia="Times New Roman" w:hAnsi="Times New Roman"/>
                  <w:sz w:val="16"/>
                  <w:szCs w:val="16"/>
                  <w:color w:val="0000FF"/>
                  <w:w w:val="98"/>
                </w:rPr>
                <w:t>Business Combination Agreement, dated as of March 1, 2021, by and among Ascendant Digital Acquisition Corp., Beacon Street Group, LLC, Members of</w:t>
              </w:r>
            </w:hyperlink>
          </w:p>
        </w:tc>
      </w:tr>
      <w:tr>
        <w:trPr>
          <w:trHeight w:val="132"/>
        </w:trPr>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760" w:type="dxa"/>
            <w:vAlign w:val="bottom"/>
            <w:tcBorders>
              <w:top w:val="single" w:sz="8" w:color="0000FF"/>
            </w:tcBorders>
            <w:gridSpan w:val="20"/>
          </w:tcPr>
          <w:p>
            <w:pPr>
              <w:spacing w:after="0" w:line="132" w:lineRule="exact"/>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Beacon Street Group, LLC, and Shareholder Representative Services LLC (incorporated by reference to Exhibit 2.1 to the Registrant’s Current Report on</w:t>
              </w:r>
            </w:hyperlink>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top w:val="single" w:sz="8" w:color="0000FF"/>
            </w:tcBorders>
            <w:gridSpan w:val="12"/>
          </w:tcPr>
          <w:p>
            <w:pPr>
              <w:spacing w:after="0" w:line="144" w:lineRule="exact"/>
              <w:rPr>
                <w:rFonts w:ascii="Times New Roman" w:cs="Times New Roman" w:eastAsia="Times New Roman" w:hAnsi="Times New Roman"/>
                <w:sz w:val="16"/>
                <w:szCs w:val="16"/>
                <w:color w:val="0000FF"/>
              </w:rPr>
            </w:pPr>
            <w:hyperlink r:id="rId137">
              <w:r>
                <w:rPr>
                  <w:rFonts w:ascii="Times New Roman" w:cs="Times New Roman" w:eastAsia="Times New Roman" w:hAnsi="Times New Roman"/>
                  <w:sz w:val="16"/>
                  <w:szCs w:val="16"/>
                  <w:color w:val="0000FF"/>
                </w:rPr>
                <w:t>Form 8-K, filed with the SEC on July 28, 2021).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1340" w:type="dxa"/>
            <w:vAlign w:val="bottom"/>
            <w:gridSpan w:val="2"/>
          </w:tcPr>
          <w:p>
            <w:pPr>
              <w:spacing w:after="0" w:line="179" w:lineRule="exact"/>
              <w:rPr>
                <w:sz w:val="20"/>
                <w:szCs w:val="20"/>
                <w:color w:val="auto"/>
              </w:rPr>
            </w:pPr>
            <w:r>
              <w:rPr>
                <w:rFonts w:ascii="Times New Roman" w:cs="Times New Roman" w:eastAsia="Times New Roman" w:hAnsi="Times New Roman"/>
                <w:sz w:val="16"/>
                <w:szCs w:val="16"/>
                <w:color w:val="auto"/>
              </w:rPr>
              <w:t>2.2†</w:t>
            </w:r>
          </w:p>
        </w:tc>
        <w:tc>
          <w:tcPr>
            <w:tcW w:w="9860" w:type="dxa"/>
            <w:vAlign w:val="bottom"/>
            <w:gridSpan w:val="24"/>
          </w:tcPr>
          <w:p>
            <w:pPr>
              <w:spacing w:after="0" w:line="179"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Amendment No. 1 to Business Combination Agreement, dated as of May 21, 2021, by and among Ascendant Digital Acquisition Corp., Beacon Street</w:t>
              </w:r>
            </w:hyperlink>
          </w:p>
        </w:tc>
      </w:tr>
      <w:tr>
        <w:trPr>
          <w:trHeight w:val="132"/>
        </w:trPr>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0" w:type="dxa"/>
            <w:vAlign w:val="bottom"/>
            <w:tcBorders>
              <w:top w:val="single" w:sz="8" w:color="0000FF"/>
            </w:tcBorders>
            <w:gridSpan w:val="12"/>
          </w:tcPr>
          <w:p>
            <w:pPr>
              <w:spacing w:after="0" w:line="132" w:lineRule="exact"/>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Group, LLC, and Shareholder Representative Services LLC (incorporated by reference to Exhibit 2.2 to the Registrant’s Current Report on Form 8-K,</w:t>
              </w:r>
            </w:hyperlink>
          </w:p>
        </w:tc>
        <w:tc>
          <w:tcPr>
            <w:tcW w:w="460" w:type="dxa"/>
            <w:vAlign w:val="bottom"/>
            <w:gridSpan w:val="12"/>
          </w:tcPr>
          <w:p>
            <w:pPr>
              <w:spacing w:after="0" w:line="132" w:lineRule="exact"/>
              <w:rPr>
                <w:rFonts w:ascii="Times New Roman" w:cs="Times New Roman" w:eastAsia="Times New Roman" w:hAnsi="Times New Roman"/>
                <w:sz w:val="14"/>
                <w:szCs w:val="14"/>
                <w:color w:val="0000FF"/>
              </w:rPr>
            </w:pPr>
            <w:hyperlink r:id="rId138">
              <w:r>
                <w:rPr>
                  <w:rFonts w:ascii="Times New Roman" w:cs="Times New Roman" w:eastAsia="Times New Roman" w:hAnsi="Times New Roman"/>
                  <w:sz w:val="14"/>
                  <w:szCs w:val="14"/>
                  <w:color w:val="0000FF"/>
                </w:rPr>
                <w:t>filed</w:t>
              </w:r>
            </w:hyperlink>
          </w:p>
        </w:tc>
      </w:tr>
      <w:tr>
        <w:trPr>
          <w:trHeight w:val="144"/>
        </w:trPr>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700" w:type="dxa"/>
            <w:vAlign w:val="bottom"/>
            <w:tcBorders>
              <w:top w:val="single" w:sz="8" w:color="0000FF"/>
            </w:tcBorders>
            <w:gridSpan w:val="17"/>
          </w:tcPr>
          <w:p>
            <w:pPr>
              <w:spacing w:after="0" w:line="144" w:lineRule="exact"/>
              <w:rPr>
                <w:rFonts w:ascii="Times New Roman" w:cs="Times New Roman" w:eastAsia="Times New Roman" w:hAnsi="Times New Roman"/>
                <w:sz w:val="16"/>
                <w:szCs w:val="16"/>
                <w:color w:val="0000FF"/>
              </w:rPr>
            </w:pPr>
            <w:hyperlink r:id="rId138">
              <w:r>
                <w:rPr>
                  <w:rFonts w:ascii="Times New Roman" w:cs="Times New Roman" w:eastAsia="Times New Roman" w:hAnsi="Times New Roman"/>
                  <w:sz w:val="16"/>
                  <w:szCs w:val="16"/>
                  <w:color w:val="0000FF"/>
                </w:rPr>
                <w:t>with the SEC on July 28, 2021).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340" w:type="dxa"/>
            <w:vAlign w:val="bottom"/>
            <w:gridSpan w:val="2"/>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1340" w:type="dxa"/>
            <w:vAlign w:val="bottom"/>
            <w:gridSpan w:val="2"/>
          </w:tcPr>
          <w:p>
            <w:pPr>
              <w:spacing w:after="0" w:line="179" w:lineRule="exact"/>
              <w:rPr>
                <w:sz w:val="20"/>
                <w:szCs w:val="20"/>
                <w:color w:val="auto"/>
              </w:rPr>
            </w:pPr>
            <w:r>
              <w:rPr>
                <w:rFonts w:ascii="Times New Roman" w:cs="Times New Roman" w:eastAsia="Times New Roman" w:hAnsi="Times New Roman"/>
                <w:sz w:val="16"/>
                <w:szCs w:val="16"/>
                <w:color w:val="auto"/>
              </w:rPr>
              <w:t>2.3†</w:t>
            </w:r>
          </w:p>
        </w:tc>
        <w:tc>
          <w:tcPr>
            <w:tcW w:w="9860" w:type="dxa"/>
            <w:vAlign w:val="bottom"/>
            <w:gridSpan w:val="24"/>
          </w:tcPr>
          <w:p>
            <w:pPr>
              <w:spacing w:after="0" w:line="179" w:lineRule="exact"/>
              <w:rPr>
                <w:rFonts w:ascii="Times New Roman" w:cs="Times New Roman" w:eastAsia="Times New Roman" w:hAnsi="Times New Roman"/>
                <w:sz w:val="16"/>
                <w:szCs w:val="16"/>
                <w:color w:val="0000FF"/>
                <w:w w:val="98"/>
              </w:rPr>
            </w:pPr>
            <w:hyperlink r:id="rId139">
              <w:r>
                <w:rPr>
                  <w:rFonts w:ascii="Times New Roman" w:cs="Times New Roman" w:eastAsia="Times New Roman" w:hAnsi="Times New Roman"/>
                  <w:sz w:val="16"/>
                  <w:szCs w:val="16"/>
                  <w:color w:val="0000FF"/>
                  <w:w w:val="98"/>
                </w:rPr>
                <w:t>Amendment No. 2 to Business Combination Agreement, dated as of June 16, 2021, by and among Ascendant Digital Acquisition Corp., MarketWise, LLC,</w:t>
              </w:r>
            </w:hyperlink>
          </w:p>
        </w:tc>
      </w:tr>
      <w:tr>
        <w:trPr>
          <w:trHeight w:val="132"/>
        </w:trPr>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720" w:type="dxa"/>
            <w:vAlign w:val="bottom"/>
            <w:tcBorders>
              <w:top w:val="single" w:sz="8" w:color="0000FF"/>
              <w:bottom w:val="single" w:sz="8" w:color="0000FF"/>
            </w:tcBorders>
            <w:gridSpan w:val="18"/>
          </w:tcPr>
          <w:p>
            <w:pPr>
              <w:spacing w:after="0" w:line="132" w:lineRule="exact"/>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and Shareholder Representative Services LLC (incorporated by reference to Exhibit 2.3 to the Registrant’s Current Report on Form 8-K, filed with the SEC</w:t>
              </w:r>
            </w:hyperlink>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4"/>
        </w:trPr>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40" w:type="dxa"/>
            <w:vAlign w:val="bottom"/>
            <w:tcBorders>
              <w:bottom w:val="single" w:sz="8" w:color="0000FF"/>
            </w:tcBorders>
            <w:gridSpan w:val="2"/>
          </w:tcPr>
          <w:p>
            <w:pPr>
              <w:spacing w:after="0" w:line="144" w:lineRule="exact"/>
              <w:rPr>
                <w:rFonts w:ascii="Times New Roman" w:cs="Times New Roman" w:eastAsia="Times New Roman" w:hAnsi="Times New Roman"/>
                <w:sz w:val="16"/>
                <w:szCs w:val="16"/>
                <w:color w:val="0000FF"/>
                <w:w w:val="96"/>
              </w:rPr>
            </w:pPr>
            <w:hyperlink r:id="rId139">
              <w:r>
                <w:rPr>
                  <w:rFonts w:ascii="Times New Roman" w:cs="Times New Roman" w:eastAsia="Times New Roman" w:hAnsi="Times New Roman"/>
                  <w:sz w:val="16"/>
                  <w:szCs w:val="16"/>
                  <w:color w:val="0000FF"/>
                  <w:w w:val="96"/>
                </w:rPr>
                <w:t>on July 28, 2021).</w:t>
              </w:r>
            </w:hyperlink>
          </w:p>
        </w:tc>
        <w:tc>
          <w:tcPr>
            <w:tcW w:w="8600" w:type="dxa"/>
            <w:vAlign w:val="bottom"/>
            <w:gridSpan w:val="17"/>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9"/>
        </w:trPr>
        <w:tc>
          <w:tcPr>
            <w:tcW w:w="72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3.1</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40" w:type="dxa"/>
            <w:vAlign w:val="bottom"/>
            <w:gridSpan w:val="23"/>
          </w:tcPr>
          <w:p>
            <w:pPr>
              <w:spacing w:after="0" w:line="179" w:lineRule="exact"/>
              <w:rPr>
                <w:rFonts w:ascii="Times New Roman" w:cs="Times New Roman" w:eastAsia="Times New Roman" w:hAnsi="Times New Roman"/>
                <w:sz w:val="16"/>
                <w:szCs w:val="16"/>
                <w:color w:val="0000FF"/>
                <w:w w:val="97"/>
              </w:rPr>
            </w:pPr>
            <w:hyperlink r:id="rId140">
              <w:r>
                <w:rPr>
                  <w:rFonts w:ascii="Times New Roman" w:cs="Times New Roman" w:eastAsia="Times New Roman" w:hAnsi="Times New Roman"/>
                  <w:sz w:val="16"/>
                  <w:szCs w:val="16"/>
                  <w:color w:val="0000FF"/>
                  <w:w w:val="97"/>
                </w:rPr>
                <w:t>Certificate of Incorporation of MarketWise, Inc. (incorporated by reference to Exhibit 3.1 to the Registrant’s Current Report on Form 8-K, filed with the SEC</w:t>
              </w:r>
            </w:hyperlink>
          </w:p>
        </w:tc>
      </w:tr>
      <w:tr>
        <w:trPr>
          <w:trHeight w:val="132"/>
        </w:trPr>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Borders>
              <w:top w:val="single" w:sz="8" w:color="0000FF"/>
              <w:bottom w:val="single" w:sz="8" w:color="0000FF"/>
            </w:tcBorders>
            <w:gridSpan w:val="2"/>
          </w:tcPr>
          <w:p>
            <w:pPr>
              <w:spacing w:after="0" w:line="132" w:lineRule="exact"/>
              <w:rPr>
                <w:rFonts w:ascii="Times New Roman" w:cs="Times New Roman" w:eastAsia="Times New Roman" w:hAnsi="Times New Roman"/>
                <w:sz w:val="14"/>
                <w:szCs w:val="14"/>
                <w:color w:val="0000FF"/>
              </w:rPr>
            </w:pPr>
            <w:hyperlink r:id="rId140">
              <w:r>
                <w:rPr>
                  <w:rFonts w:ascii="Times New Roman" w:cs="Times New Roman" w:eastAsia="Times New Roman" w:hAnsi="Times New Roman"/>
                  <w:sz w:val="14"/>
                  <w:szCs w:val="14"/>
                  <w:color w:val="0000FF"/>
                </w:rPr>
                <w:t>on July 28, 2021).</w:t>
              </w:r>
            </w:hyperlink>
          </w:p>
        </w:tc>
        <w:tc>
          <w:tcPr>
            <w:tcW w:w="8680" w:type="dxa"/>
            <w:vAlign w:val="bottom"/>
            <w:tcBorders>
              <w:top w:val="single" w:sz="8" w:color="0000FF"/>
            </w:tcBorders>
            <w:gridSpan w:val="20"/>
          </w:tcPr>
          <w:p>
            <w:pPr>
              <w:spacing w:after="0"/>
              <w:rPr>
                <w:sz w:val="11"/>
                <w:szCs w:val="11"/>
                <w:color w:val="auto"/>
              </w:rPr>
            </w:pPr>
          </w:p>
        </w:tc>
        <w:tc>
          <w:tcPr>
            <w:tcW w:w="20" w:type="dxa"/>
            <w:vAlign w:val="bottom"/>
          </w:tcPr>
          <w:p>
            <w:pPr>
              <w:spacing w:after="0"/>
              <w:rPr>
                <w:sz w:val="11"/>
                <w:szCs w:val="11"/>
                <w:color w:val="auto"/>
              </w:rPr>
            </w:pPr>
          </w:p>
        </w:tc>
      </w:tr>
      <w:tr>
        <w:trPr>
          <w:trHeight w:val="190"/>
        </w:trPr>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80" w:type="dxa"/>
            <w:vAlign w:val="bottom"/>
            <w:tcBorders>
              <w:bottom w:val="single" w:sz="8" w:color="0000FF"/>
            </w:tcBorders>
            <w:gridSpan w:val="21"/>
          </w:tcPr>
          <w:p>
            <w:pPr>
              <w:spacing w:after="0"/>
              <w:rPr>
                <w:rFonts w:ascii="Times New Roman" w:cs="Times New Roman" w:eastAsia="Times New Roman" w:hAnsi="Times New Roman"/>
                <w:sz w:val="16"/>
                <w:szCs w:val="16"/>
                <w:color w:val="0000FF"/>
                <w:w w:val="97"/>
              </w:rPr>
            </w:pPr>
            <w:hyperlink r:id="rId141">
              <w:r>
                <w:rPr>
                  <w:rFonts w:ascii="Times New Roman" w:cs="Times New Roman" w:eastAsia="Times New Roman" w:hAnsi="Times New Roman"/>
                  <w:sz w:val="16"/>
                  <w:szCs w:val="16"/>
                  <w:color w:val="0000FF"/>
                  <w:w w:val="97"/>
                </w:rPr>
                <w:t>Bylaws of MarketWise, Inc. (incorporated by reference to Exhibit 3.2 to the Registrant’s Current Report on Form 8-K, filed with the SEC on July 28, 2021).</w:t>
              </w:r>
            </w:hyperlink>
          </w:p>
        </w:tc>
        <w:tc>
          <w:tcPr>
            <w:tcW w:w="60" w:type="dxa"/>
            <w:vAlign w:val="bottom"/>
            <w:gridSpan w:val="2"/>
          </w:tcPr>
          <w:p>
            <w:pPr>
              <w:spacing w:after="0"/>
              <w:rPr>
                <w:sz w:val="16"/>
                <w:szCs w:val="16"/>
                <w:color w:val="auto"/>
              </w:rPr>
            </w:pPr>
          </w:p>
        </w:tc>
      </w:tr>
      <w:tr>
        <w:trPr>
          <w:trHeight w:val="179"/>
        </w:trPr>
        <w:tc>
          <w:tcPr>
            <w:tcW w:w="72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4.1</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40" w:type="dxa"/>
            <w:vAlign w:val="bottom"/>
            <w:gridSpan w:val="23"/>
          </w:tcPr>
          <w:p>
            <w:pPr>
              <w:spacing w:after="0" w:line="179" w:lineRule="exact"/>
              <w:rPr>
                <w:rFonts w:ascii="Times New Roman" w:cs="Times New Roman" w:eastAsia="Times New Roman" w:hAnsi="Times New Roman"/>
                <w:sz w:val="16"/>
                <w:szCs w:val="16"/>
                <w:color w:val="0000FF"/>
                <w:w w:val="98"/>
              </w:rPr>
            </w:pPr>
            <w:hyperlink r:id="rId142">
              <w:r>
                <w:rPr>
                  <w:rFonts w:ascii="Times New Roman" w:cs="Times New Roman" w:eastAsia="Times New Roman" w:hAnsi="Times New Roman"/>
                  <w:sz w:val="16"/>
                  <w:szCs w:val="16"/>
                  <w:color w:val="0000FF"/>
                  <w:w w:val="98"/>
                </w:rPr>
                <w:t>Warrant Agreement, dated July 23, 2020, between Ascendant Digital Acquisition Corp. and Continental Stock Transfer &amp; Trust Company, as warrant agent</w:t>
              </w:r>
            </w:hyperlink>
          </w:p>
        </w:tc>
      </w:tr>
      <w:tr>
        <w:trPr>
          <w:trHeight w:val="132"/>
        </w:trPr>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960" w:type="dxa"/>
            <w:vAlign w:val="bottom"/>
            <w:tcBorders>
              <w:top w:val="single" w:sz="8" w:color="0000FF"/>
              <w:bottom w:val="single" w:sz="8" w:color="0000FF"/>
            </w:tcBorders>
            <w:gridSpan w:val="9"/>
          </w:tcPr>
          <w:p>
            <w:pPr>
              <w:spacing w:after="0" w:line="132" w:lineRule="exact"/>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(incorporated by reference to Exhibit 4.1 to the Registrant’s Current Report on Form 8-K, filed with the SEC on July 28, 2020).</w:t>
              </w:r>
            </w:hyperlink>
          </w:p>
        </w:tc>
        <w:tc>
          <w:tcPr>
            <w:tcW w:w="1780" w:type="dxa"/>
            <w:vAlign w:val="bottom"/>
            <w:tcBorders>
              <w:top w:val="single" w:sz="8" w:color="0000FF"/>
            </w:tcBorders>
            <w:gridSpan w:val="10"/>
          </w:tcPr>
          <w:p>
            <w:pPr>
              <w:spacing w:after="0"/>
              <w:rPr>
                <w:sz w:val="11"/>
                <w:szCs w:val="11"/>
                <w:color w:val="auto"/>
              </w:rPr>
            </w:pPr>
          </w:p>
        </w:tc>
        <w:tc>
          <w:tcPr>
            <w:tcW w:w="100" w:type="dxa"/>
            <w:vAlign w:val="bottom"/>
            <w:gridSpan w:val="4"/>
          </w:tcPr>
          <w:p>
            <w:pPr>
              <w:spacing w:after="0"/>
              <w:rPr>
                <w:sz w:val="11"/>
                <w:szCs w:val="11"/>
                <w:color w:val="auto"/>
              </w:rPr>
            </w:pPr>
          </w:p>
        </w:tc>
      </w:tr>
      <w:tr>
        <w:trPr>
          <w:trHeight w:val="190"/>
        </w:trPr>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4.2</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40" w:type="dxa"/>
            <w:vAlign w:val="bottom"/>
            <w:gridSpan w:val="23"/>
          </w:tcPr>
          <w:p>
            <w:pPr>
              <w:spacing w:after="0"/>
              <w:rPr>
                <w:rFonts w:ascii="Times New Roman" w:cs="Times New Roman" w:eastAsia="Times New Roman" w:hAnsi="Times New Roman"/>
                <w:sz w:val="16"/>
                <w:szCs w:val="16"/>
                <w:color w:val="0000FF"/>
                <w:w w:val="99"/>
              </w:rPr>
            </w:pPr>
            <w:hyperlink r:id="rId143">
              <w:r>
                <w:rPr>
                  <w:rFonts w:ascii="Times New Roman" w:cs="Times New Roman" w:eastAsia="Times New Roman" w:hAnsi="Times New Roman"/>
                  <w:sz w:val="16"/>
                  <w:szCs w:val="16"/>
                  <w:color w:val="0000FF"/>
                  <w:w w:val="99"/>
                </w:rPr>
                <w:t>Specimen Warrant Certificate of the Registrant (incorporated by reference to Exhibit 4.3 to the Registrant’s Registration Statement on Form S-1 (File No.</w:t>
              </w:r>
            </w:hyperlink>
          </w:p>
        </w:tc>
      </w:tr>
      <w:tr>
        <w:trPr>
          <w:trHeight w:val="132"/>
        </w:trPr>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40" w:type="dxa"/>
            <w:vAlign w:val="bottom"/>
            <w:tcBorders>
              <w:top w:val="single" w:sz="8" w:color="0000FF"/>
              <w:bottom w:val="single" w:sz="8" w:color="0000FF"/>
            </w:tcBorders>
            <w:gridSpan w:val="7"/>
          </w:tcPr>
          <w:p>
            <w:pPr>
              <w:spacing w:after="0" w:line="132" w:lineRule="exact"/>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333-239623), filed with the SEC on July 2, 2020).</w:t>
              </w:r>
            </w:hyperlink>
          </w:p>
        </w:tc>
        <w:tc>
          <w:tcPr>
            <w:tcW w:w="6460" w:type="dxa"/>
            <w:vAlign w:val="bottom"/>
            <w:tcBorders>
              <w:top w:val="single" w:sz="8" w:color="0000FF"/>
            </w:tcBorders>
            <w:gridSpan w:val="6"/>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gridSpan w:val="8"/>
          </w:tcPr>
          <w:p>
            <w:pPr>
              <w:spacing w:after="0"/>
              <w:rPr>
                <w:sz w:val="11"/>
                <w:szCs w:val="11"/>
                <w:color w:val="auto"/>
              </w:rPr>
            </w:pPr>
          </w:p>
        </w:tc>
      </w:tr>
      <w:tr>
        <w:trPr>
          <w:trHeight w:val="190"/>
        </w:trPr>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4.3</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40" w:type="dxa"/>
            <w:vAlign w:val="bottom"/>
            <w:gridSpan w:val="23"/>
          </w:tcPr>
          <w:p>
            <w:pPr>
              <w:spacing w:after="0"/>
              <w:rPr>
                <w:rFonts w:ascii="Times New Roman" w:cs="Times New Roman" w:eastAsia="Times New Roman" w:hAnsi="Times New Roman"/>
                <w:sz w:val="16"/>
                <w:szCs w:val="16"/>
                <w:color w:val="0000FF"/>
                <w:w w:val="98"/>
              </w:rPr>
            </w:pPr>
            <w:hyperlink r:id="rId144">
              <w:r>
                <w:rPr>
                  <w:rFonts w:ascii="Times New Roman" w:cs="Times New Roman" w:eastAsia="Times New Roman" w:hAnsi="Times New Roman"/>
                  <w:sz w:val="16"/>
                  <w:szCs w:val="16"/>
                  <w:color w:val="0000FF"/>
                  <w:w w:val="98"/>
                </w:rPr>
                <w:t>Specimen Common Stock Certificate of MarketWise, Inc. (incorporated by reference to Exhibit 4.3 to the Registrant’s Registration Statement on Form S-4</w:t>
              </w:r>
            </w:hyperlink>
          </w:p>
        </w:tc>
      </w:tr>
      <w:tr>
        <w:trPr>
          <w:trHeight w:val="132"/>
        </w:trPr>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40" w:type="dxa"/>
            <w:vAlign w:val="bottom"/>
            <w:tcBorders>
              <w:top w:val="single" w:sz="8" w:color="0000FF"/>
              <w:bottom w:val="single" w:sz="8" w:color="0000FF"/>
            </w:tcBorders>
            <w:gridSpan w:val="8"/>
          </w:tcPr>
          <w:p>
            <w:pPr>
              <w:spacing w:after="0" w:line="132" w:lineRule="exact"/>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(File No. 333-254720), filed with the SEC on May 28, 2021).</w:t>
              </w:r>
            </w:hyperlink>
          </w:p>
        </w:tc>
        <w:tc>
          <w:tcPr>
            <w:tcW w:w="5820" w:type="dxa"/>
            <w:vAlign w:val="bottom"/>
            <w:tcBorders>
              <w:top w:val="single" w:sz="8" w:color="0000FF"/>
            </w:tcBorders>
            <w:gridSpan w:val="7"/>
          </w:tcPr>
          <w:p>
            <w:pPr>
              <w:spacing w:after="0"/>
              <w:rPr>
                <w:sz w:val="11"/>
                <w:szCs w:val="11"/>
                <w:color w:val="auto"/>
              </w:rPr>
            </w:pPr>
          </w:p>
        </w:tc>
        <w:tc>
          <w:tcPr>
            <w:tcW w:w="180" w:type="dxa"/>
            <w:vAlign w:val="bottom"/>
            <w:gridSpan w:val="8"/>
          </w:tcPr>
          <w:p>
            <w:pPr>
              <w:spacing w:after="0"/>
              <w:rPr>
                <w:sz w:val="11"/>
                <w:szCs w:val="11"/>
                <w:color w:val="auto"/>
              </w:rPr>
            </w:pPr>
          </w:p>
        </w:tc>
      </w:tr>
      <w:tr>
        <w:trPr>
          <w:trHeight w:val="190"/>
        </w:trPr>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4.4</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40" w:type="dxa"/>
            <w:vAlign w:val="bottom"/>
            <w:gridSpan w:val="23"/>
          </w:tcPr>
          <w:p>
            <w:pPr>
              <w:spacing w:after="0"/>
              <w:rPr>
                <w:rFonts w:ascii="Times New Roman" w:cs="Times New Roman" w:eastAsia="Times New Roman" w:hAnsi="Times New Roman"/>
                <w:sz w:val="16"/>
                <w:szCs w:val="16"/>
                <w:color w:val="0000FF"/>
                <w:w w:val="99"/>
              </w:rPr>
            </w:pPr>
            <w:hyperlink r:id="rId145">
              <w:r>
                <w:rPr>
                  <w:rFonts w:ascii="Times New Roman" w:cs="Times New Roman" w:eastAsia="Times New Roman" w:hAnsi="Times New Roman"/>
                  <w:sz w:val="16"/>
                  <w:szCs w:val="16"/>
                  <w:color w:val="0000FF"/>
                  <w:w w:val="99"/>
                </w:rPr>
                <w:t>Amendment No. 1 to Warrant Agreement, dated September 15, 2022, by and between MarketWise, Inc. and Continental Stock Transfer &amp; Trust Company</w:t>
              </w:r>
            </w:hyperlink>
          </w:p>
        </w:tc>
      </w:tr>
      <w:tr>
        <w:trPr>
          <w:trHeight w:val="132"/>
        </w:trPr>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360" w:type="dxa"/>
            <w:vAlign w:val="bottom"/>
            <w:tcBorders>
              <w:top w:val="single" w:sz="8" w:color="0000FF"/>
              <w:bottom w:val="single" w:sz="8" w:color="0000FF"/>
            </w:tcBorders>
            <w:gridSpan w:val="10"/>
          </w:tcPr>
          <w:p>
            <w:pPr>
              <w:spacing w:after="0" w:line="132" w:lineRule="exact"/>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(incorporated by reference to Exhibit 10.1 to the Company's Current Report on Form 8-K filed with the SEC on September 15, 2022).</w:t>
              </w:r>
            </w:hyperlink>
          </w:p>
        </w:tc>
        <w:tc>
          <w:tcPr>
            <w:tcW w:w="1260" w:type="dxa"/>
            <w:vAlign w:val="bottom"/>
            <w:tcBorders>
              <w:top w:val="single" w:sz="8" w:color="0000FF"/>
            </w:tcBorders>
            <w:gridSpan w:val="4"/>
          </w:tcPr>
          <w:p>
            <w:pPr>
              <w:spacing w:after="0"/>
              <w:rPr>
                <w:sz w:val="11"/>
                <w:szCs w:val="11"/>
                <w:color w:val="auto"/>
              </w:rPr>
            </w:pPr>
          </w:p>
        </w:tc>
        <w:tc>
          <w:tcPr>
            <w:tcW w:w="220" w:type="dxa"/>
            <w:vAlign w:val="bottom"/>
            <w:gridSpan w:val="9"/>
          </w:tcPr>
          <w:p>
            <w:pPr>
              <w:spacing w:after="0"/>
              <w:rPr>
                <w:sz w:val="11"/>
                <w:szCs w:val="11"/>
                <w:color w:val="auto"/>
              </w:rPr>
            </w:pPr>
          </w:p>
        </w:tc>
      </w:tr>
      <w:tr>
        <w:trPr>
          <w:trHeight w:val="190"/>
        </w:trPr>
        <w:tc>
          <w:tcPr>
            <w:tcW w:w="720" w:type="dxa"/>
            <w:vAlign w:val="bottom"/>
          </w:tcPr>
          <w:p>
            <w:pPr>
              <w:spacing w:after="0"/>
              <w:rPr>
                <w:sz w:val="20"/>
                <w:szCs w:val="20"/>
                <w:color w:val="auto"/>
              </w:rPr>
            </w:pPr>
            <w:r>
              <w:rPr>
                <w:rFonts w:ascii="Times New Roman" w:cs="Times New Roman" w:eastAsia="Times New Roman" w:hAnsi="Times New Roman"/>
                <w:sz w:val="16"/>
                <w:szCs w:val="16"/>
                <w:color w:val="auto"/>
              </w:rPr>
              <w:t>4.5</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w w:val="96"/>
              </w:rPr>
              <w:t>Description of Registrant’s Securities</w:t>
            </w:r>
          </w:p>
        </w:tc>
        <w:tc>
          <w:tcPr>
            <w:tcW w:w="7500" w:type="dxa"/>
            <w:vAlign w:val="bottom"/>
            <w:gridSpan w:val="18"/>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6">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20"/>
          </w:cols>
          <w:pgMar w:left="320" w:top="1386" w:right="35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84"/>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20" w:type="dxa"/>
            <w:vAlign w:val="bottom"/>
          </w:tcPr>
          <w:p>
            <w:pPr>
              <w:spacing w:after="0"/>
              <w:rPr>
                <w:sz w:val="16"/>
                <w:szCs w:val="16"/>
                <w:color w:val="auto"/>
              </w:rPr>
            </w:pPr>
          </w:p>
        </w:tc>
        <w:tc>
          <w:tcPr>
            <w:tcW w:w="9860" w:type="dxa"/>
            <w:vAlign w:val="bottom"/>
            <w:gridSpan w:val="39"/>
          </w:tcPr>
          <w:p>
            <w:pPr>
              <w:spacing w:after="0"/>
              <w:rPr>
                <w:rFonts w:ascii="Times New Roman" w:cs="Times New Roman" w:eastAsia="Times New Roman" w:hAnsi="Times New Roman"/>
                <w:sz w:val="16"/>
                <w:szCs w:val="16"/>
                <w:color w:val="0000FF"/>
                <w:w w:val="97"/>
              </w:rPr>
            </w:pPr>
            <w:hyperlink r:id="rId147">
              <w:r>
                <w:rPr>
                  <w:rFonts w:ascii="Times New Roman" w:cs="Times New Roman" w:eastAsia="Times New Roman" w:hAnsi="Times New Roman"/>
                  <w:sz w:val="16"/>
                  <w:szCs w:val="16"/>
                  <w:color w:val="0000FF"/>
                  <w:w w:val="97"/>
                </w:rPr>
                <w:t>Amended and Restated Registration Rights Agreement dated July 21, 2021, by and among MarketWise, Inc., Ascendant Sponsor LP, and certain members of</w:t>
              </w:r>
            </w:hyperlink>
          </w:p>
        </w:tc>
      </w:tr>
      <w:tr>
        <w:trPr>
          <w:trHeight w:val="132"/>
        </w:trPr>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40" w:type="dxa"/>
            <w:vAlign w:val="bottom"/>
            <w:tcBorders>
              <w:top w:val="single" w:sz="8" w:color="0000FF"/>
            </w:tcBorders>
            <w:gridSpan w:val="38"/>
          </w:tcPr>
          <w:p>
            <w:pPr>
              <w:spacing w:after="0" w:line="132" w:lineRule="exact"/>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Ascendant Sponsor LP and of MarketWise, LLC (incorporated by reference to Exhibit 10.1 to the Registrant’s Current Report on Form 8-K, filed with the</w:t>
              </w:r>
            </w:hyperlink>
          </w:p>
        </w:tc>
        <w:tc>
          <w:tcPr>
            <w:tcW w:w="20" w:type="dxa"/>
            <w:vAlign w:val="bottom"/>
          </w:tcPr>
          <w:p>
            <w:pPr>
              <w:spacing w:after="0"/>
              <w:rPr>
                <w:sz w:val="11"/>
                <w:szCs w:val="11"/>
                <w:color w:val="auto"/>
              </w:rPr>
            </w:pPr>
          </w:p>
        </w:tc>
      </w:tr>
      <w:tr>
        <w:trPr>
          <w:trHeight w:val="144"/>
        </w:trPr>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tcBorders>
              <w:top w:val="single" w:sz="8" w:color="0000FF"/>
              <w:bottom w:val="single" w:sz="8" w:color="0000FF"/>
            </w:tcBorders>
            <w:gridSpan w:val="5"/>
          </w:tcPr>
          <w:p>
            <w:pPr>
              <w:spacing w:after="0" w:line="144" w:lineRule="exact"/>
              <w:rPr>
                <w:rFonts w:ascii="Times New Roman" w:cs="Times New Roman" w:eastAsia="Times New Roman" w:hAnsi="Times New Roman"/>
                <w:sz w:val="16"/>
                <w:szCs w:val="16"/>
                <w:color w:val="0000FF"/>
                <w:w w:val="96"/>
              </w:rPr>
            </w:pPr>
            <w:hyperlink r:id="rId147">
              <w:r>
                <w:rPr>
                  <w:rFonts w:ascii="Times New Roman" w:cs="Times New Roman" w:eastAsia="Times New Roman" w:hAnsi="Times New Roman"/>
                  <w:sz w:val="16"/>
                  <w:szCs w:val="16"/>
                  <w:color w:val="0000FF"/>
                  <w:w w:val="96"/>
                </w:rPr>
                <w:t>SEC on July 28, 2021).</w:t>
              </w:r>
            </w:hyperlink>
          </w:p>
        </w:tc>
        <w:tc>
          <w:tcPr>
            <w:tcW w:w="8160" w:type="dxa"/>
            <w:vAlign w:val="bottom"/>
            <w:tcBorders>
              <w:top w:val="single" w:sz="8" w:color="0000FF"/>
            </w:tcBorders>
            <w:gridSpan w:val="2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79"/>
        </w:trPr>
        <w:tc>
          <w:tcPr>
            <w:tcW w:w="134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10.2</w:t>
            </w:r>
          </w:p>
        </w:tc>
        <w:tc>
          <w:tcPr>
            <w:tcW w:w="20" w:type="dxa"/>
            <w:vAlign w:val="bottom"/>
          </w:tcPr>
          <w:p>
            <w:pPr>
              <w:spacing w:after="0"/>
              <w:rPr>
                <w:sz w:val="15"/>
                <w:szCs w:val="15"/>
                <w:color w:val="auto"/>
              </w:rPr>
            </w:pPr>
          </w:p>
        </w:tc>
        <w:tc>
          <w:tcPr>
            <w:tcW w:w="9860" w:type="dxa"/>
            <w:vAlign w:val="bottom"/>
            <w:gridSpan w:val="39"/>
          </w:tcPr>
          <w:p>
            <w:pPr>
              <w:spacing w:after="0" w:line="179" w:lineRule="exact"/>
              <w:rPr>
                <w:rFonts w:ascii="Times New Roman" w:cs="Times New Roman" w:eastAsia="Times New Roman" w:hAnsi="Times New Roman"/>
                <w:sz w:val="16"/>
                <w:szCs w:val="16"/>
                <w:color w:val="0000FF"/>
              </w:rPr>
            </w:pPr>
            <w:hyperlink r:id="rId148">
              <w:r>
                <w:rPr>
                  <w:rFonts w:ascii="Times New Roman" w:cs="Times New Roman" w:eastAsia="Times New Roman" w:hAnsi="Times New Roman"/>
                  <w:sz w:val="16"/>
                  <w:szCs w:val="16"/>
                  <w:color w:val="0000FF"/>
                </w:rPr>
                <w:t>Tax Receivable Agreement dated July 21, 2021, by and among MarketWise, Inc., MarketWise, LLC, and certain members of MarketWise, LLC</w:t>
              </w:r>
            </w:hyperlink>
          </w:p>
        </w:tc>
      </w:tr>
      <w:tr>
        <w:trPr>
          <w:trHeight w:val="132"/>
        </w:trPr>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40" w:type="dxa"/>
            <w:vAlign w:val="bottom"/>
            <w:tcBorders>
              <w:top w:val="single" w:sz="8" w:color="0000FF"/>
              <w:bottom w:val="single" w:sz="8" w:color="0000FF"/>
            </w:tcBorders>
            <w:gridSpan w:val="16"/>
          </w:tcPr>
          <w:p>
            <w:pPr>
              <w:spacing w:after="0" w:line="132" w:lineRule="exact"/>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(incorporated by reference to Exhibit 10.2 to the Registrant’s Current Report on Form 8-K, filed with the SEC on July 28, 2021).</w:t>
              </w:r>
            </w:hyperlink>
          </w:p>
        </w:tc>
        <w:tc>
          <w:tcPr>
            <w:tcW w:w="940" w:type="dxa"/>
            <w:vAlign w:val="bottom"/>
            <w:tcBorders>
              <w:top w:val="single" w:sz="8" w:color="0000FF"/>
            </w:tcBorders>
            <w:gridSpan w:val="2"/>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90"/>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10.3†</w:t>
            </w:r>
          </w:p>
        </w:tc>
        <w:tc>
          <w:tcPr>
            <w:tcW w:w="20" w:type="dxa"/>
            <w:vAlign w:val="bottom"/>
          </w:tcPr>
          <w:p>
            <w:pPr>
              <w:spacing w:after="0"/>
              <w:rPr>
                <w:sz w:val="16"/>
                <w:szCs w:val="16"/>
                <w:color w:val="auto"/>
              </w:rPr>
            </w:pPr>
          </w:p>
        </w:tc>
        <w:tc>
          <w:tcPr>
            <w:tcW w:w="9860" w:type="dxa"/>
            <w:vAlign w:val="bottom"/>
            <w:gridSpan w:val="39"/>
          </w:tcPr>
          <w:p>
            <w:pPr>
              <w:spacing w:after="0"/>
              <w:rPr>
                <w:rFonts w:ascii="Times New Roman" w:cs="Times New Roman" w:eastAsia="Times New Roman" w:hAnsi="Times New Roman"/>
                <w:sz w:val="16"/>
                <w:szCs w:val="16"/>
                <w:color w:val="0000FF"/>
              </w:rPr>
            </w:pPr>
            <w:hyperlink r:id="rId149">
              <w:r>
                <w:rPr>
                  <w:rFonts w:ascii="Times New Roman" w:cs="Times New Roman" w:eastAsia="Times New Roman" w:hAnsi="Times New Roman"/>
                  <w:sz w:val="16"/>
                  <w:szCs w:val="16"/>
                  <w:color w:val="0000FF"/>
                </w:rPr>
                <w:t>Third A&amp;R Operating Agreement dated July 21, 2021, by and among MarketWise, Inc., MarketWise, LLC and the members of MarketWise, LLC</w:t>
              </w:r>
            </w:hyperlink>
          </w:p>
        </w:tc>
      </w:tr>
      <w:tr>
        <w:trPr>
          <w:trHeight w:val="132"/>
        </w:trPr>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40" w:type="dxa"/>
            <w:vAlign w:val="bottom"/>
            <w:tcBorders>
              <w:top w:val="single" w:sz="8" w:color="0000FF"/>
              <w:bottom w:val="single" w:sz="8" w:color="0000FF"/>
            </w:tcBorders>
            <w:gridSpan w:val="16"/>
          </w:tcPr>
          <w:p>
            <w:pPr>
              <w:spacing w:after="0" w:line="132" w:lineRule="exact"/>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(incorporated by reference to Exhibit 10.3 to the Registrant’s Current Report on Form 8-K, filed with the SEC on July 28, 2021).</w:t>
              </w:r>
            </w:hyperlink>
          </w:p>
        </w:tc>
        <w:tc>
          <w:tcPr>
            <w:tcW w:w="1080" w:type="dxa"/>
            <w:vAlign w:val="bottom"/>
            <w:tcBorders>
              <w:top w:val="single" w:sz="8" w:color="0000FF"/>
            </w:tcBorders>
            <w:gridSpan w:val="3"/>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90"/>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20" w:type="dxa"/>
            <w:vAlign w:val="bottom"/>
          </w:tcPr>
          <w:p>
            <w:pPr>
              <w:spacing w:after="0"/>
              <w:rPr>
                <w:sz w:val="16"/>
                <w:szCs w:val="16"/>
                <w:color w:val="auto"/>
              </w:rPr>
            </w:pPr>
          </w:p>
        </w:tc>
        <w:tc>
          <w:tcPr>
            <w:tcW w:w="9860" w:type="dxa"/>
            <w:vAlign w:val="bottom"/>
            <w:gridSpan w:val="39"/>
          </w:tcPr>
          <w:p>
            <w:pPr>
              <w:spacing w:after="0"/>
              <w:rPr>
                <w:rFonts w:ascii="Times New Roman" w:cs="Times New Roman" w:eastAsia="Times New Roman" w:hAnsi="Times New Roman"/>
                <w:sz w:val="16"/>
                <w:szCs w:val="16"/>
                <w:color w:val="0000FF"/>
                <w:w w:val="99"/>
              </w:rPr>
            </w:pPr>
            <w:hyperlink r:id="rId150">
              <w:r>
                <w:rPr>
                  <w:rFonts w:ascii="Times New Roman" w:cs="Times New Roman" w:eastAsia="Times New Roman" w:hAnsi="Times New Roman"/>
                  <w:sz w:val="16"/>
                  <w:szCs w:val="16"/>
                  <w:color w:val="0000FF"/>
                  <w:w w:val="99"/>
                </w:rPr>
                <w:t>Form of Indemnification Agreement (incorporated by reference to Exhibit 10.4 to the Registrant’s Current Report on Form 8-K, filed with the SEC on July</w:t>
              </w:r>
            </w:hyperlink>
          </w:p>
        </w:tc>
      </w:tr>
      <w:tr>
        <w:trPr>
          <w:trHeight w:val="132"/>
        </w:trPr>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Borders>
              <w:top w:val="single" w:sz="8" w:color="0000FF"/>
              <w:bottom w:val="single" w:sz="8" w:color="0000FF"/>
            </w:tcBorders>
            <w:gridSpan w:val="3"/>
          </w:tcPr>
          <w:p>
            <w:pPr>
              <w:spacing w:after="0" w:line="132" w:lineRule="exact"/>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28, 2021).</w:t>
              </w:r>
            </w:hyperlink>
          </w:p>
        </w:tc>
        <w:tc>
          <w:tcPr>
            <w:tcW w:w="50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166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10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56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0" w:type="dxa"/>
            <w:vAlign w:val="bottom"/>
            <w:tcBorders>
              <w:top w:val="single" w:sz="8" w:color="0000FF"/>
            </w:tcBorders>
          </w:tcPr>
          <w:p>
            <w:pPr>
              <w:spacing w:after="0"/>
              <w:rPr>
                <w:sz w:val="11"/>
                <w:szCs w:val="11"/>
                <w:color w:val="auto"/>
              </w:rPr>
            </w:pPr>
          </w:p>
        </w:tc>
        <w:tc>
          <w:tcPr>
            <w:tcW w:w="1420" w:type="dxa"/>
            <w:vAlign w:val="bottom"/>
            <w:tcBorders>
              <w:top w:val="single" w:sz="8" w:color="0000FF"/>
            </w:tcBorders>
          </w:tcPr>
          <w:p>
            <w:pPr>
              <w:spacing w:after="0"/>
              <w:rPr>
                <w:sz w:val="11"/>
                <w:szCs w:val="11"/>
                <w:color w:val="auto"/>
              </w:rPr>
            </w:pPr>
          </w:p>
        </w:tc>
        <w:tc>
          <w:tcPr>
            <w:tcW w:w="380" w:type="dxa"/>
            <w:vAlign w:val="bottom"/>
            <w:tcBorders>
              <w:top w:val="single" w:sz="8" w:color="0000FF"/>
            </w:tcBorders>
          </w:tcPr>
          <w:p>
            <w:pPr>
              <w:spacing w:after="0"/>
              <w:rPr>
                <w:sz w:val="11"/>
                <w:szCs w:val="11"/>
                <w:color w:val="auto"/>
              </w:rPr>
            </w:pPr>
          </w:p>
        </w:tc>
        <w:tc>
          <w:tcPr>
            <w:tcW w:w="760" w:type="dxa"/>
            <w:vAlign w:val="bottom"/>
            <w:tcBorders>
              <w:top w:val="single" w:sz="8" w:color="0000FF"/>
            </w:tcBorders>
          </w:tcPr>
          <w:p>
            <w:pPr>
              <w:spacing w:after="0"/>
              <w:rPr>
                <w:sz w:val="11"/>
                <w:szCs w:val="11"/>
                <w:color w:val="auto"/>
              </w:rPr>
            </w:pPr>
          </w:p>
        </w:tc>
        <w:tc>
          <w:tcPr>
            <w:tcW w:w="9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90"/>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10.5+</w:t>
            </w:r>
          </w:p>
        </w:tc>
        <w:tc>
          <w:tcPr>
            <w:tcW w:w="20" w:type="dxa"/>
            <w:vAlign w:val="bottom"/>
          </w:tcPr>
          <w:p>
            <w:pPr>
              <w:spacing w:after="0"/>
              <w:rPr>
                <w:sz w:val="16"/>
                <w:szCs w:val="16"/>
                <w:color w:val="auto"/>
              </w:rPr>
            </w:pPr>
          </w:p>
        </w:tc>
        <w:tc>
          <w:tcPr>
            <w:tcW w:w="9860" w:type="dxa"/>
            <w:vAlign w:val="bottom"/>
            <w:gridSpan w:val="39"/>
          </w:tcPr>
          <w:p>
            <w:pPr>
              <w:spacing w:after="0"/>
              <w:rPr>
                <w:rFonts w:ascii="Times New Roman" w:cs="Times New Roman" w:eastAsia="Times New Roman" w:hAnsi="Times New Roman"/>
                <w:sz w:val="16"/>
                <w:szCs w:val="16"/>
                <w:color w:val="0000FF"/>
              </w:rPr>
            </w:pPr>
            <w:hyperlink r:id="rId151">
              <w:r>
                <w:rPr>
                  <w:rFonts w:ascii="Times New Roman" w:cs="Times New Roman" w:eastAsia="Times New Roman" w:hAnsi="Times New Roman"/>
                  <w:sz w:val="16"/>
                  <w:szCs w:val="16"/>
                  <w:color w:val="0000FF"/>
                </w:rPr>
                <w:t>MarketWise, Inc. Non-Employee Director Compensation Policy (Effective August 2, 2023) (incorporated by reference to Exhibit 10.6 to the Registrant’s</w:t>
              </w:r>
            </w:hyperlink>
          </w:p>
        </w:tc>
      </w:tr>
      <w:tr>
        <w:trPr>
          <w:trHeight w:val="132"/>
        </w:trPr>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40" w:type="dxa"/>
            <w:vAlign w:val="bottom"/>
            <w:tcBorders>
              <w:top w:val="single" w:sz="8" w:color="0000FF"/>
              <w:bottom w:val="single" w:sz="8" w:color="0000FF"/>
            </w:tcBorders>
            <w:gridSpan w:val="10"/>
          </w:tcPr>
          <w:p>
            <w:pPr>
              <w:spacing w:after="0" w:line="132" w:lineRule="exact"/>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Periodic Report on Form 10-Q, filed with the SEC on November 9, 2023).</w:t>
              </w:r>
            </w:hyperlink>
          </w:p>
        </w:tc>
        <w:tc>
          <w:tcPr>
            <w:tcW w:w="4900" w:type="dxa"/>
            <w:vAlign w:val="bottom"/>
            <w:tcBorders>
              <w:top w:val="single" w:sz="8" w:color="0000FF"/>
            </w:tcBorders>
            <w:gridSpan w:val="16"/>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90"/>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10.6+</w:t>
            </w:r>
          </w:p>
        </w:tc>
        <w:tc>
          <w:tcPr>
            <w:tcW w:w="20" w:type="dxa"/>
            <w:vAlign w:val="bottom"/>
          </w:tcPr>
          <w:p>
            <w:pPr>
              <w:spacing w:after="0"/>
              <w:rPr>
                <w:sz w:val="16"/>
                <w:szCs w:val="16"/>
                <w:color w:val="auto"/>
              </w:rPr>
            </w:pPr>
          </w:p>
        </w:tc>
        <w:tc>
          <w:tcPr>
            <w:tcW w:w="9860" w:type="dxa"/>
            <w:vAlign w:val="bottom"/>
            <w:gridSpan w:val="39"/>
          </w:tcPr>
          <w:p>
            <w:pPr>
              <w:spacing w:after="0"/>
              <w:rPr>
                <w:rFonts w:ascii="Times New Roman" w:cs="Times New Roman" w:eastAsia="Times New Roman" w:hAnsi="Times New Roman"/>
                <w:sz w:val="16"/>
                <w:szCs w:val="16"/>
                <w:color w:val="0000FF"/>
                <w:w w:val="98"/>
              </w:rPr>
            </w:pPr>
            <w:hyperlink r:id="rId152">
              <w:r>
                <w:rPr>
                  <w:rFonts w:ascii="Times New Roman" w:cs="Times New Roman" w:eastAsia="Times New Roman" w:hAnsi="Times New Roman"/>
                  <w:sz w:val="16"/>
                  <w:szCs w:val="16"/>
                  <w:color w:val="0000FF"/>
                  <w:w w:val="98"/>
                </w:rPr>
                <w:t>2021 MarketWise, Inc. Incentive Award Plan (incorporated by reference to Exhibit 10.6 to the Registrant’s Current Report on Form 8-K, filed with the SEC</w:t>
              </w:r>
            </w:hyperlink>
          </w:p>
        </w:tc>
      </w:tr>
      <w:tr>
        <w:trPr>
          <w:trHeight w:val="132"/>
        </w:trPr>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Borders>
              <w:top w:val="single" w:sz="8" w:color="0000FF"/>
              <w:bottom w:val="single" w:sz="8" w:color="0000FF"/>
            </w:tcBorders>
            <w:gridSpan w:val="4"/>
          </w:tcPr>
          <w:p>
            <w:pPr>
              <w:spacing w:after="0" w:line="132" w:lineRule="exact"/>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on July 28, 2021).</w:t>
              </w:r>
            </w:hyperlink>
          </w:p>
        </w:tc>
        <w:tc>
          <w:tcPr>
            <w:tcW w:w="8580" w:type="dxa"/>
            <w:vAlign w:val="bottom"/>
            <w:tcBorders>
              <w:top w:val="single" w:sz="8" w:color="0000FF"/>
            </w:tcBorders>
            <w:gridSpan w:val="28"/>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90"/>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10.7+</w:t>
            </w:r>
          </w:p>
        </w:tc>
        <w:tc>
          <w:tcPr>
            <w:tcW w:w="20" w:type="dxa"/>
            <w:vAlign w:val="bottom"/>
          </w:tcPr>
          <w:p>
            <w:pPr>
              <w:spacing w:after="0"/>
              <w:rPr>
                <w:sz w:val="16"/>
                <w:szCs w:val="16"/>
                <w:color w:val="auto"/>
              </w:rPr>
            </w:pPr>
          </w:p>
        </w:tc>
        <w:tc>
          <w:tcPr>
            <w:tcW w:w="9860" w:type="dxa"/>
            <w:vAlign w:val="bottom"/>
            <w:gridSpan w:val="39"/>
          </w:tcPr>
          <w:p>
            <w:pPr>
              <w:spacing w:after="0"/>
              <w:rPr>
                <w:rFonts w:ascii="Times New Roman" w:cs="Times New Roman" w:eastAsia="Times New Roman" w:hAnsi="Times New Roman"/>
                <w:sz w:val="16"/>
                <w:szCs w:val="16"/>
                <w:color w:val="0000FF"/>
                <w:w w:val="98"/>
              </w:rPr>
            </w:pPr>
            <w:hyperlink r:id="rId153">
              <w:r>
                <w:rPr>
                  <w:rFonts w:ascii="Times New Roman" w:cs="Times New Roman" w:eastAsia="Times New Roman" w:hAnsi="Times New Roman"/>
                  <w:sz w:val="16"/>
                  <w:szCs w:val="16"/>
                  <w:color w:val="0000FF"/>
                  <w:w w:val="98"/>
                </w:rPr>
                <w:t>2021 MarketWise, Inc. Employee Stock Purchase Plan (incorporated by reference to Exhibit 10.7 to the Registrant’s Current Report on Form 8-K, filed with</w:t>
              </w:r>
            </w:hyperlink>
          </w:p>
        </w:tc>
      </w:tr>
      <w:tr>
        <w:trPr>
          <w:trHeight w:val="132"/>
        </w:trPr>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780" w:type="dxa"/>
            <w:vAlign w:val="bottom"/>
            <w:tcBorders>
              <w:top w:val="single" w:sz="8" w:color="0000FF"/>
            </w:tcBorders>
            <w:gridSpan w:val="35"/>
          </w:tcPr>
          <w:p>
            <w:pPr>
              <w:spacing w:after="0" w:line="132" w:lineRule="exact"/>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the SEC on July 28, 2021).</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0"/>
        </w:trPr>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0"/>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10.8+</w:t>
            </w:r>
          </w:p>
        </w:tc>
        <w:tc>
          <w:tcPr>
            <w:tcW w:w="20" w:type="dxa"/>
            <w:vAlign w:val="bottom"/>
          </w:tcPr>
          <w:p>
            <w:pPr>
              <w:spacing w:after="0"/>
              <w:rPr>
                <w:sz w:val="16"/>
                <w:szCs w:val="16"/>
                <w:color w:val="auto"/>
              </w:rPr>
            </w:pPr>
          </w:p>
        </w:tc>
        <w:tc>
          <w:tcPr>
            <w:tcW w:w="9860" w:type="dxa"/>
            <w:vAlign w:val="bottom"/>
            <w:gridSpan w:val="39"/>
          </w:tcPr>
          <w:p>
            <w:pPr>
              <w:spacing w:after="0"/>
              <w:rPr>
                <w:rFonts w:ascii="Times New Roman" w:cs="Times New Roman" w:eastAsia="Times New Roman" w:hAnsi="Times New Roman"/>
                <w:sz w:val="16"/>
                <w:szCs w:val="16"/>
                <w:color w:val="0000FF"/>
              </w:rPr>
            </w:pPr>
            <w:hyperlink r:id="rId154">
              <w:r>
                <w:rPr>
                  <w:rFonts w:ascii="Times New Roman" w:cs="Times New Roman" w:eastAsia="Times New Roman" w:hAnsi="Times New Roman"/>
                  <w:sz w:val="16"/>
                  <w:szCs w:val="16"/>
                  <w:color w:val="0000FF"/>
                </w:rPr>
                <w:t>Employment Agreement, effective as of July 30, 2018, by and between MarketWise, LLC (f/k/a S &amp; A Holdings (2013), LLC) and Marco Ferri</w:t>
              </w:r>
            </w:hyperlink>
          </w:p>
        </w:tc>
      </w:tr>
      <w:tr>
        <w:trPr>
          <w:trHeight w:val="20"/>
        </w:trPr>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92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32"/>
        </w:trPr>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60" w:type="dxa"/>
            <w:vAlign w:val="bottom"/>
            <w:gridSpan w:val="39"/>
          </w:tcPr>
          <w:p>
            <w:pPr>
              <w:spacing w:after="0" w:line="132" w:lineRule="exact"/>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(incorporated by reference to Exhibit 10.15 to the Registrant’s Registration Statement on Form S-4 (File No. 333-254720), filed with the SEC on May 28,</w:t>
              </w:r>
            </w:hyperlink>
          </w:p>
        </w:tc>
      </w:tr>
      <w:tr>
        <w:trPr>
          <w:trHeight w:val="144"/>
        </w:trPr>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Borders>
              <w:top w:val="single" w:sz="8" w:color="0000FF"/>
              <w:bottom w:val="single" w:sz="8" w:color="0000FF"/>
            </w:tcBorders>
            <w:gridSpan w:val="2"/>
          </w:tcPr>
          <w:p>
            <w:pPr>
              <w:spacing w:after="0" w:line="144" w:lineRule="exact"/>
              <w:rPr>
                <w:rFonts w:ascii="Times New Roman" w:cs="Times New Roman" w:eastAsia="Times New Roman" w:hAnsi="Times New Roman"/>
                <w:sz w:val="16"/>
                <w:szCs w:val="16"/>
                <w:color w:val="0000FF"/>
                <w:w w:val="96"/>
              </w:rPr>
            </w:pPr>
            <w:hyperlink r:id="rId154">
              <w:r>
                <w:rPr>
                  <w:rFonts w:ascii="Times New Roman" w:cs="Times New Roman" w:eastAsia="Times New Roman" w:hAnsi="Times New Roman"/>
                  <w:sz w:val="16"/>
                  <w:szCs w:val="16"/>
                  <w:color w:val="0000FF"/>
                  <w:w w:val="96"/>
                </w:rPr>
                <w:t>2021).</w:t>
              </w:r>
            </w:hyperlink>
          </w:p>
        </w:tc>
        <w:tc>
          <w:tcPr>
            <w:tcW w:w="22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6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1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42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9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9"/>
        </w:trPr>
        <w:tc>
          <w:tcPr>
            <w:tcW w:w="134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10.9†+</w:t>
            </w:r>
          </w:p>
        </w:tc>
        <w:tc>
          <w:tcPr>
            <w:tcW w:w="20" w:type="dxa"/>
            <w:vAlign w:val="bottom"/>
          </w:tcPr>
          <w:p>
            <w:pPr>
              <w:spacing w:after="0"/>
              <w:rPr>
                <w:sz w:val="15"/>
                <w:szCs w:val="15"/>
                <w:color w:val="auto"/>
              </w:rPr>
            </w:pPr>
          </w:p>
        </w:tc>
        <w:tc>
          <w:tcPr>
            <w:tcW w:w="9860" w:type="dxa"/>
            <w:vAlign w:val="bottom"/>
            <w:gridSpan w:val="39"/>
          </w:tcPr>
          <w:p>
            <w:pPr>
              <w:spacing w:after="0" w:line="179" w:lineRule="exact"/>
              <w:rPr>
                <w:rFonts w:ascii="Times New Roman" w:cs="Times New Roman" w:eastAsia="Times New Roman" w:hAnsi="Times New Roman"/>
                <w:sz w:val="16"/>
                <w:szCs w:val="16"/>
                <w:color w:val="0000FF"/>
              </w:rPr>
            </w:pPr>
            <w:hyperlink r:id="rId155">
              <w:r>
                <w:rPr>
                  <w:rFonts w:ascii="Times New Roman" w:cs="Times New Roman" w:eastAsia="Times New Roman" w:hAnsi="Times New Roman"/>
                  <w:sz w:val="16"/>
                  <w:szCs w:val="16"/>
                  <w:color w:val="0000FF"/>
                </w:rPr>
                <w:t>Letter Agreement, dated as of January 25, 2023, by and between MarketWise, Inc. and Marco Ferri (incorporated by reference to Exhibit 10.1 to the</w:t>
              </w:r>
            </w:hyperlink>
          </w:p>
        </w:tc>
      </w:tr>
      <w:tr>
        <w:trPr>
          <w:trHeight w:val="132"/>
        </w:trPr>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240" w:type="dxa"/>
            <w:vAlign w:val="bottom"/>
            <w:tcBorders>
              <w:top w:val="single" w:sz="8" w:color="0000FF"/>
            </w:tcBorders>
            <w:gridSpan w:val="20"/>
          </w:tcPr>
          <w:p>
            <w:pPr>
              <w:spacing w:after="0" w:line="132" w:lineRule="exact"/>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Registrant’s Current Report on Form 8-K, filed with the SEC on January 31, 2023).</w:t>
              </w:r>
            </w:hyperlink>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0"/>
        </w:trPr>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940" w:type="dxa"/>
            <w:vAlign w:val="bottom"/>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0"/>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10.10</w:t>
            </w:r>
          </w:p>
        </w:tc>
        <w:tc>
          <w:tcPr>
            <w:tcW w:w="20" w:type="dxa"/>
            <w:vAlign w:val="bottom"/>
          </w:tcPr>
          <w:p>
            <w:pPr>
              <w:spacing w:after="0"/>
              <w:rPr>
                <w:sz w:val="16"/>
                <w:szCs w:val="16"/>
                <w:color w:val="auto"/>
              </w:rPr>
            </w:pPr>
          </w:p>
        </w:tc>
        <w:tc>
          <w:tcPr>
            <w:tcW w:w="9860" w:type="dxa"/>
            <w:vAlign w:val="bottom"/>
            <w:gridSpan w:val="39"/>
          </w:tcPr>
          <w:p>
            <w:pPr>
              <w:spacing w:after="0"/>
              <w:rPr>
                <w:rFonts w:ascii="Times New Roman" w:cs="Times New Roman" w:eastAsia="Times New Roman" w:hAnsi="Times New Roman"/>
                <w:sz w:val="16"/>
                <w:szCs w:val="16"/>
                <w:color w:val="0000FF"/>
                <w:w w:val="99"/>
              </w:rPr>
            </w:pPr>
            <w:hyperlink r:id="rId156">
              <w:r>
                <w:rPr>
                  <w:rFonts w:ascii="Times New Roman" w:cs="Times New Roman" w:eastAsia="Times New Roman" w:hAnsi="Times New Roman"/>
                  <w:sz w:val="16"/>
                  <w:szCs w:val="16"/>
                  <w:color w:val="0000FF"/>
                  <w:w w:val="99"/>
                </w:rPr>
                <w:t>Loan and Security Agreement, dated as of October 29, 2021, by and among MarketWise, LLC, as borrower, the guarantors party thereto, the lenders from</w:t>
              </w:r>
            </w:hyperlink>
          </w:p>
        </w:tc>
      </w:tr>
      <w:tr>
        <w:trPr>
          <w:trHeight w:val="132"/>
        </w:trPr>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0" w:type="dxa"/>
            <w:vAlign w:val="bottom"/>
            <w:tcBorders>
              <w:top w:val="single" w:sz="8" w:color="0000FF"/>
              <w:bottom w:val="single" w:sz="8" w:color="0000FF"/>
            </w:tcBorders>
            <w:gridSpan w:val="27"/>
          </w:tcPr>
          <w:p>
            <w:pPr>
              <w:spacing w:after="0" w:line="132" w:lineRule="exact"/>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time to time party thereto, HSBC Bank USA, National Association, as administrative agent, collateral agent, joint lead arranger, and joint bookrunner, and</w:t>
              </w:r>
            </w:hyperlink>
          </w:p>
        </w:tc>
        <w:tc>
          <w:tcPr>
            <w:tcW w:w="40" w:type="dxa"/>
            <w:vAlign w:val="bottom"/>
            <w:tcBorders>
              <w:bottom w:val="single" w:sz="8" w:color="0000FF"/>
            </w:tcBorders>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44"/>
        </w:trPr>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40" w:type="dxa"/>
            <w:vAlign w:val="bottom"/>
            <w:gridSpan w:val="29"/>
          </w:tcPr>
          <w:p>
            <w:pPr>
              <w:spacing w:after="0" w:line="144" w:lineRule="exact"/>
              <w:rPr>
                <w:rFonts w:ascii="Times New Roman" w:cs="Times New Roman" w:eastAsia="Times New Roman" w:hAnsi="Times New Roman"/>
                <w:sz w:val="16"/>
                <w:szCs w:val="16"/>
                <w:color w:val="0000FF"/>
                <w:w w:val="98"/>
              </w:rPr>
            </w:pPr>
            <w:hyperlink r:id="rId156">
              <w:r>
                <w:rPr>
                  <w:rFonts w:ascii="Times New Roman" w:cs="Times New Roman" w:eastAsia="Times New Roman" w:hAnsi="Times New Roman"/>
                  <w:sz w:val="16"/>
                  <w:szCs w:val="16"/>
                  <w:color w:val="0000FF"/>
                  <w:w w:val="98"/>
                </w:rPr>
                <w:t>BMO Capital Markets Corp., as joint lead arranger and joint bookrunner.(incorporated by reference to Exhibit 10.1 to the Registrant’s Current Report on</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32"/>
        </w:trPr>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520" w:type="dxa"/>
            <w:vAlign w:val="bottom"/>
            <w:tcBorders>
              <w:top w:val="single" w:sz="8" w:color="0000FF"/>
            </w:tcBorders>
            <w:gridSpan w:val="25"/>
          </w:tcPr>
          <w:p>
            <w:pPr>
              <w:spacing w:after="0" w:line="132" w:lineRule="exact"/>
              <w:rPr>
                <w:rFonts w:ascii="Times New Roman" w:cs="Times New Roman" w:eastAsia="Times New Roman" w:hAnsi="Times New Roman"/>
                <w:sz w:val="14"/>
                <w:szCs w:val="14"/>
                <w:color w:val="0000FF"/>
              </w:rPr>
            </w:pPr>
            <w:hyperlink r:id="rId156">
              <w:r>
                <w:rPr>
                  <w:rFonts w:ascii="Times New Roman" w:cs="Times New Roman" w:eastAsia="Times New Roman" w:hAnsi="Times New Roman"/>
                  <w:sz w:val="14"/>
                  <w:szCs w:val="14"/>
                  <w:color w:val="0000FF"/>
                </w:rPr>
                <w:t>Form 8-K, filed with the SEC on November 1, 2021).</w:t>
              </w:r>
            </w:hyperlink>
          </w:p>
        </w:tc>
        <w:tc>
          <w:tcPr>
            <w:tcW w:w="14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0"/>
        </w:trPr>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94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79"/>
        </w:trPr>
        <w:tc>
          <w:tcPr>
            <w:tcW w:w="134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10.11†</w:t>
            </w:r>
          </w:p>
        </w:tc>
        <w:tc>
          <w:tcPr>
            <w:tcW w:w="20" w:type="dxa"/>
            <w:vAlign w:val="bottom"/>
          </w:tcPr>
          <w:p>
            <w:pPr>
              <w:spacing w:after="0"/>
              <w:rPr>
                <w:sz w:val="15"/>
                <w:szCs w:val="15"/>
                <w:color w:val="auto"/>
              </w:rPr>
            </w:pPr>
          </w:p>
        </w:tc>
        <w:tc>
          <w:tcPr>
            <w:tcW w:w="9860" w:type="dxa"/>
            <w:vAlign w:val="bottom"/>
            <w:gridSpan w:val="39"/>
          </w:tcPr>
          <w:p>
            <w:pPr>
              <w:spacing w:after="0" w:line="179" w:lineRule="exact"/>
              <w:rPr>
                <w:rFonts w:ascii="Times New Roman" w:cs="Times New Roman" w:eastAsia="Times New Roman" w:hAnsi="Times New Roman"/>
                <w:sz w:val="16"/>
                <w:szCs w:val="16"/>
                <w:color w:val="0000FF"/>
                <w:w w:val="98"/>
              </w:rPr>
            </w:pPr>
            <w:hyperlink r:id="rId157">
              <w:r>
                <w:rPr>
                  <w:rFonts w:ascii="Times New Roman" w:cs="Times New Roman" w:eastAsia="Times New Roman" w:hAnsi="Times New Roman"/>
                  <w:sz w:val="16"/>
                  <w:szCs w:val="16"/>
                  <w:color w:val="0000FF"/>
                  <w:w w:val="98"/>
                </w:rPr>
                <w:t>First Amendment to Loan and Security Agreement, dated as of May 2, 2023, by and among MarketWise, LLC, as borrower, the guarantors party thereto, the</w:t>
              </w:r>
            </w:hyperlink>
          </w:p>
        </w:tc>
      </w:tr>
      <w:tr>
        <w:trPr>
          <w:trHeight w:val="132"/>
        </w:trPr>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0" w:type="dxa"/>
            <w:vAlign w:val="bottom"/>
            <w:tcBorders>
              <w:top w:val="single" w:sz="8" w:color="0000FF"/>
            </w:tcBorders>
            <w:gridSpan w:val="36"/>
          </w:tcPr>
          <w:p>
            <w:pPr>
              <w:spacing w:after="0" w:line="132" w:lineRule="exact"/>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lenders from time to time party thereto, HSBC Bank USA, National Association, as administrative agent, collateral agent, joint lead arranger, and joint</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44"/>
        </w:trPr>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0" w:type="dxa"/>
            <w:vAlign w:val="bottom"/>
            <w:tcBorders>
              <w:top w:val="single" w:sz="8" w:color="0000FF"/>
              <w:bottom w:val="single" w:sz="8" w:color="0000FF"/>
            </w:tcBorders>
            <w:gridSpan w:val="22"/>
          </w:tcPr>
          <w:p>
            <w:pPr>
              <w:spacing w:after="0" w:line="144" w:lineRule="exact"/>
              <w:rPr>
                <w:rFonts w:ascii="Times New Roman" w:cs="Times New Roman" w:eastAsia="Times New Roman" w:hAnsi="Times New Roman"/>
                <w:sz w:val="16"/>
                <w:szCs w:val="16"/>
                <w:color w:val="0000FF"/>
                <w:w w:val="96"/>
              </w:rPr>
            </w:pPr>
            <w:hyperlink r:id="rId157">
              <w:r>
                <w:rPr>
                  <w:rFonts w:ascii="Times New Roman" w:cs="Times New Roman" w:eastAsia="Times New Roman" w:hAnsi="Times New Roman"/>
                  <w:sz w:val="16"/>
                  <w:szCs w:val="16"/>
                  <w:color w:val="0000FF"/>
                  <w:w w:val="96"/>
                </w:rPr>
                <w:t>bookrunner, and BMO Capital Markets Corp., as joint lead arranger and joint bookrunner (incorporated by reference to Exhibit 10.3 to the Registrant’s</w:t>
              </w:r>
            </w:hyperlink>
          </w:p>
        </w:tc>
        <w:tc>
          <w:tcPr>
            <w:tcW w:w="20" w:type="dxa"/>
            <w:vAlign w:val="bottom"/>
            <w:tcBorders>
              <w:bottom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gridSpan w:val="6"/>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32"/>
        </w:trPr>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20" w:type="dxa"/>
            <w:vAlign w:val="bottom"/>
            <w:gridSpan w:val="23"/>
          </w:tcPr>
          <w:p>
            <w:pPr>
              <w:spacing w:after="0" w:line="132" w:lineRule="exact"/>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Periodic Report on Form 10-Q, filed with the SEC on August 10, 2023).</w:t>
              </w:r>
            </w:hyperlink>
          </w:p>
        </w:tc>
        <w:tc>
          <w:tcPr>
            <w:tcW w:w="40" w:type="dxa"/>
            <w:vAlign w:val="bottom"/>
          </w:tcPr>
          <w:p>
            <w:pPr>
              <w:spacing w:after="0"/>
              <w:rPr>
                <w:sz w:val="11"/>
                <w:szCs w:val="11"/>
                <w:color w:val="auto"/>
              </w:rPr>
            </w:pPr>
          </w:p>
        </w:tc>
        <w:tc>
          <w:tcPr>
            <w:tcW w:w="200" w:type="dxa"/>
            <w:vAlign w:val="bottom"/>
            <w:gridSpan w:val="6"/>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r>
      <w:tr>
        <w:trPr>
          <w:trHeight w:val="20"/>
        </w:trPr>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0" w:type="dxa"/>
            <w:vAlign w:val="bottom"/>
            <w:gridSpan w:val="7"/>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79"/>
        </w:trPr>
        <w:tc>
          <w:tcPr>
            <w:tcW w:w="134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10.12</w:t>
            </w:r>
          </w:p>
        </w:tc>
        <w:tc>
          <w:tcPr>
            <w:tcW w:w="20" w:type="dxa"/>
            <w:vAlign w:val="bottom"/>
          </w:tcPr>
          <w:p>
            <w:pPr>
              <w:spacing w:after="0"/>
              <w:rPr>
                <w:sz w:val="15"/>
                <w:szCs w:val="15"/>
                <w:color w:val="auto"/>
              </w:rPr>
            </w:pPr>
          </w:p>
        </w:tc>
        <w:tc>
          <w:tcPr>
            <w:tcW w:w="9860" w:type="dxa"/>
            <w:vAlign w:val="bottom"/>
            <w:gridSpan w:val="39"/>
          </w:tcPr>
          <w:p>
            <w:pPr>
              <w:spacing w:after="0" w:line="179" w:lineRule="exact"/>
              <w:rPr>
                <w:rFonts w:ascii="Times New Roman" w:cs="Times New Roman" w:eastAsia="Times New Roman" w:hAnsi="Times New Roman"/>
                <w:sz w:val="16"/>
                <w:szCs w:val="16"/>
                <w:color w:val="0000FF"/>
                <w:w w:val="99"/>
              </w:rPr>
            </w:pPr>
            <w:hyperlink r:id="rId158">
              <w:r>
                <w:rPr>
                  <w:rFonts w:ascii="Times New Roman" w:cs="Times New Roman" w:eastAsia="Times New Roman" w:hAnsi="Times New Roman"/>
                  <w:sz w:val="16"/>
                  <w:szCs w:val="16"/>
                  <w:color w:val="0000FF"/>
                  <w:w w:val="99"/>
                </w:rPr>
                <w:t>Guaranty, dated as of October 29, 2021, by the guarantors identified therein in favor of HSBC Bank USA, National Association, as agent. (incorporated by</w:t>
              </w:r>
            </w:hyperlink>
          </w:p>
        </w:tc>
      </w:tr>
      <w:tr>
        <w:trPr>
          <w:trHeight w:val="132"/>
        </w:trPr>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80" w:type="dxa"/>
            <w:vAlign w:val="bottom"/>
            <w:tcBorders>
              <w:top w:val="single" w:sz="8" w:color="0000FF"/>
              <w:bottom w:val="single" w:sz="8" w:color="0000FF"/>
            </w:tcBorders>
            <w:gridSpan w:val="15"/>
          </w:tcPr>
          <w:p>
            <w:pPr>
              <w:spacing w:after="0" w:line="132" w:lineRule="exact"/>
              <w:rPr>
                <w:rFonts w:ascii="Times New Roman" w:cs="Times New Roman" w:eastAsia="Times New Roman" w:hAnsi="Times New Roman"/>
                <w:sz w:val="14"/>
                <w:szCs w:val="14"/>
                <w:color w:val="0000FF"/>
              </w:rPr>
            </w:pPr>
            <w:hyperlink r:id="rId158">
              <w:r>
                <w:rPr>
                  <w:rFonts w:ascii="Times New Roman" w:cs="Times New Roman" w:eastAsia="Times New Roman" w:hAnsi="Times New Roman"/>
                  <w:sz w:val="14"/>
                  <w:szCs w:val="14"/>
                  <w:color w:val="0000FF"/>
                </w:rPr>
                <w:t>reference to Exhibit 10.2 to the Registrant’s Current Report on Form 8-K, filed with the SEC on November 1, 2021).</w:t>
              </w:r>
            </w:hyperlink>
          </w:p>
        </w:tc>
        <w:tc>
          <w:tcPr>
            <w:tcW w:w="2380" w:type="dxa"/>
            <w:vAlign w:val="bottom"/>
            <w:tcBorders>
              <w:top w:val="single" w:sz="8" w:color="0000FF"/>
            </w:tcBorders>
            <w:gridSpan w:val="15"/>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90"/>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10.13+</w:t>
            </w:r>
          </w:p>
        </w:tc>
        <w:tc>
          <w:tcPr>
            <w:tcW w:w="20" w:type="dxa"/>
            <w:vAlign w:val="bottom"/>
          </w:tcPr>
          <w:p>
            <w:pPr>
              <w:spacing w:after="0"/>
              <w:rPr>
                <w:sz w:val="16"/>
                <w:szCs w:val="16"/>
                <w:color w:val="auto"/>
              </w:rPr>
            </w:pPr>
          </w:p>
        </w:tc>
        <w:tc>
          <w:tcPr>
            <w:tcW w:w="9860" w:type="dxa"/>
            <w:vAlign w:val="bottom"/>
            <w:gridSpan w:val="39"/>
          </w:tcPr>
          <w:p>
            <w:pPr>
              <w:spacing w:after="0"/>
              <w:rPr>
                <w:rFonts w:ascii="Times New Roman" w:cs="Times New Roman" w:eastAsia="Times New Roman" w:hAnsi="Times New Roman"/>
                <w:sz w:val="16"/>
                <w:szCs w:val="16"/>
                <w:color w:val="0000FF"/>
                <w:w w:val="98"/>
              </w:rPr>
            </w:pPr>
            <w:hyperlink r:id="rId159">
              <w:r>
                <w:rPr>
                  <w:rFonts w:ascii="Times New Roman" w:cs="Times New Roman" w:eastAsia="Times New Roman" w:hAnsi="Times New Roman"/>
                  <w:sz w:val="16"/>
                  <w:szCs w:val="16"/>
                  <w:color w:val="0000FF"/>
                  <w:w w:val="98"/>
                </w:rPr>
                <w:t>Offer Letter, effective as of December 27, 2022, by and between MarketWise, Inc. and Dr. Stephen Sjuggerud. (incorporated by reference to Exhibit 10.1 to</w:t>
              </w:r>
            </w:hyperlink>
          </w:p>
        </w:tc>
      </w:tr>
      <w:tr>
        <w:trPr>
          <w:trHeight w:val="132"/>
        </w:trPr>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80" w:type="dxa"/>
            <w:vAlign w:val="bottom"/>
            <w:tcBorders>
              <w:top w:val="single" w:sz="8" w:color="0000FF"/>
              <w:bottom w:val="single" w:sz="8" w:color="0000FF"/>
            </w:tcBorders>
            <w:gridSpan w:val="13"/>
          </w:tcPr>
          <w:p>
            <w:pPr>
              <w:spacing w:after="0" w:line="132" w:lineRule="exact"/>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the Registrant’s Current Report on Form 8-K/A filed with the SEC on January 3, 2023).</w:t>
              </w:r>
            </w:hyperlink>
          </w:p>
        </w:tc>
        <w:tc>
          <w:tcPr>
            <w:tcW w:w="4260" w:type="dxa"/>
            <w:vAlign w:val="bottom"/>
            <w:tcBorders>
              <w:top w:val="single" w:sz="8" w:color="0000FF"/>
            </w:tcBorders>
            <w:gridSpan w:val="20"/>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r>
      <w:tr>
        <w:trPr>
          <w:trHeight w:val="190"/>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10.14+</w:t>
            </w:r>
          </w:p>
        </w:tc>
        <w:tc>
          <w:tcPr>
            <w:tcW w:w="20" w:type="dxa"/>
            <w:vAlign w:val="bottom"/>
          </w:tcPr>
          <w:p>
            <w:pPr>
              <w:spacing w:after="0"/>
              <w:rPr>
                <w:sz w:val="16"/>
                <w:szCs w:val="16"/>
                <w:color w:val="auto"/>
              </w:rPr>
            </w:pPr>
          </w:p>
        </w:tc>
        <w:tc>
          <w:tcPr>
            <w:tcW w:w="9860" w:type="dxa"/>
            <w:vAlign w:val="bottom"/>
            <w:gridSpan w:val="39"/>
          </w:tcPr>
          <w:p>
            <w:pPr>
              <w:spacing w:after="0"/>
              <w:rPr>
                <w:rFonts w:ascii="Times New Roman" w:cs="Times New Roman" w:eastAsia="Times New Roman" w:hAnsi="Times New Roman"/>
                <w:sz w:val="16"/>
                <w:szCs w:val="16"/>
                <w:color w:val="0000FF"/>
                <w:w w:val="97"/>
              </w:rPr>
            </w:pPr>
            <w:hyperlink r:id="rId160">
              <w:r>
                <w:rPr>
                  <w:rFonts w:ascii="Times New Roman" w:cs="Times New Roman" w:eastAsia="Times New Roman" w:hAnsi="Times New Roman"/>
                  <w:sz w:val="16"/>
                  <w:szCs w:val="16"/>
                  <w:color w:val="0000FF"/>
                  <w:w w:val="97"/>
                </w:rPr>
                <w:t>MarketWise, Inc. Executive Severance Plan, effective as of December 16, 2022 (incorporated by reference to Exhibit 10.1 to the Registrant’s Current Report</w:t>
              </w:r>
            </w:hyperlink>
          </w:p>
        </w:tc>
      </w:tr>
      <w:tr>
        <w:trPr>
          <w:trHeight w:val="132"/>
        </w:trPr>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20" w:type="dxa"/>
            <w:vAlign w:val="bottom"/>
            <w:tcBorders>
              <w:top w:val="single" w:sz="8" w:color="0000FF"/>
            </w:tcBorders>
            <w:gridSpan w:val="37"/>
          </w:tcPr>
          <w:p>
            <w:pPr>
              <w:spacing w:after="0" w:line="132" w:lineRule="exact"/>
              <w:rPr>
                <w:rFonts w:ascii="Times New Roman" w:cs="Times New Roman" w:eastAsia="Times New Roman" w:hAnsi="Times New Roman"/>
                <w:sz w:val="14"/>
                <w:szCs w:val="14"/>
                <w:color w:val="0000FF"/>
              </w:rPr>
            </w:pPr>
            <w:hyperlink r:id="rId160">
              <w:r>
                <w:rPr>
                  <w:rFonts w:ascii="Times New Roman" w:cs="Times New Roman" w:eastAsia="Times New Roman" w:hAnsi="Times New Roman"/>
                  <w:sz w:val="14"/>
                  <w:szCs w:val="14"/>
                  <w:color w:val="0000FF"/>
                </w:rPr>
                <w:t>on Form 8-K, filed with the SEC on January 13, 2023)</w:t>
              </w:r>
            </w:hyperlink>
          </w:p>
        </w:tc>
        <w:tc>
          <w:tcPr>
            <w:tcW w:w="40" w:type="dxa"/>
            <w:vAlign w:val="bottom"/>
            <w:gridSpan w:val="2"/>
          </w:tcPr>
          <w:p>
            <w:pPr>
              <w:spacing w:after="0"/>
              <w:rPr>
                <w:sz w:val="11"/>
                <w:szCs w:val="11"/>
                <w:color w:val="auto"/>
              </w:rPr>
            </w:pPr>
          </w:p>
        </w:tc>
      </w:tr>
      <w:tr>
        <w:trPr>
          <w:trHeight w:val="20"/>
        </w:trPr>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0" w:type="dxa"/>
            <w:vAlign w:val="bottom"/>
            <w:gridSpan w:val="7"/>
            <w:shd w:val="clear" w:color="auto" w:fill="0000FF"/>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190"/>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10.15+</w:t>
            </w:r>
          </w:p>
        </w:tc>
        <w:tc>
          <w:tcPr>
            <w:tcW w:w="20" w:type="dxa"/>
            <w:vAlign w:val="bottom"/>
          </w:tcPr>
          <w:p>
            <w:pPr>
              <w:spacing w:after="0"/>
              <w:rPr>
                <w:sz w:val="16"/>
                <w:szCs w:val="16"/>
                <w:color w:val="auto"/>
              </w:rPr>
            </w:pPr>
          </w:p>
        </w:tc>
        <w:tc>
          <w:tcPr>
            <w:tcW w:w="9860" w:type="dxa"/>
            <w:vAlign w:val="bottom"/>
            <w:gridSpan w:val="39"/>
          </w:tcPr>
          <w:p>
            <w:pPr>
              <w:spacing w:after="0"/>
              <w:rPr>
                <w:rFonts w:ascii="Times New Roman" w:cs="Times New Roman" w:eastAsia="Times New Roman" w:hAnsi="Times New Roman"/>
                <w:sz w:val="16"/>
                <w:szCs w:val="16"/>
                <w:color w:val="0000FF"/>
                <w:w w:val="98"/>
              </w:rPr>
            </w:pPr>
            <w:hyperlink r:id="rId161">
              <w:r>
                <w:rPr>
                  <w:rFonts w:ascii="Times New Roman" w:cs="Times New Roman" w:eastAsia="Times New Roman" w:hAnsi="Times New Roman"/>
                  <w:sz w:val="16"/>
                  <w:szCs w:val="16"/>
                  <w:color w:val="0000FF"/>
                  <w:w w:val="98"/>
                </w:rPr>
                <w:t>Letter Agreement, dated as of February 14, 2023, by and between MarketWise, Inc. and Amber Lee Mason (incorporated by reference to Exhibit 10.1 to the</w:t>
              </w:r>
            </w:hyperlink>
          </w:p>
        </w:tc>
      </w:tr>
      <w:tr>
        <w:trPr>
          <w:trHeight w:val="132"/>
        </w:trPr>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760" w:type="dxa"/>
            <w:vAlign w:val="bottom"/>
            <w:tcBorders>
              <w:top w:val="single" w:sz="8" w:color="0000FF"/>
            </w:tcBorders>
            <w:gridSpan w:val="34"/>
          </w:tcPr>
          <w:p>
            <w:pPr>
              <w:spacing w:after="0" w:line="132" w:lineRule="exact"/>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Registrant’s Current Report on Form 8-K, filed with the SEC on February 15, 2023).</w:t>
              </w:r>
            </w:hyperlink>
          </w:p>
        </w:tc>
        <w:tc>
          <w:tcPr>
            <w:tcW w:w="100" w:type="dxa"/>
            <w:vAlign w:val="bottom"/>
            <w:gridSpan w:val="5"/>
          </w:tcPr>
          <w:p>
            <w:pPr>
              <w:spacing w:after="0"/>
              <w:rPr>
                <w:sz w:val="11"/>
                <w:szCs w:val="11"/>
                <w:color w:val="auto"/>
              </w:rPr>
            </w:pPr>
          </w:p>
        </w:tc>
      </w:tr>
      <w:tr>
        <w:trPr>
          <w:trHeight w:val="20"/>
        </w:trPr>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80" w:type="dxa"/>
            <w:vAlign w:val="bottom"/>
            <w:gridSpan w:val="11"/>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180" w:type="dxa"/>
            <w:vAlign w:val="bottom"/>
            <w:gridSpan w:val="8"/>
          </w:tcPr>
          <w:p>
            <w:pPr>
              <w:spacing w:after="0" w:line="20" w:lineRule="exact"/>
              <w:rPr>
                <w:sz w:val="1"/>
                <w:szCs w:val="1"/>
                <w:color w:val="auto"/>
              </w:rPr>
            </w:pPr>
          </w:p>
        </w:tc>
      </w:tr>
      <w:tr>
        <w:trPr>
          <w:trHeight w:val="190"/>
        </w:trPr>
        <w:tc>
          <w:tcPr>
            <w:tcW w:w="1340" w:type="dxa"/>
            <w:vAlign w:val="bottom"/>
          </w:tcPr>
          <w:p>
            <w:pPr>
              <w:spacing w:after="0"/>
              <w:rPr>
                <w:sz w:val="20"/>
                <w:szCs w:val="20"/>
                <w:color w:val="auto"/>
              </w:rPr>
            </w:pPr>
            <w:r>
              <w:rPr>
                <w:rFonts w:ascii="Times New Roman" w:cs="Times New Roman" w:eastAsia="Times New Roman" w:hAnsi="Times New Roman"/>
                <w:sz w:val="16"/>
                <w:szCs w:val="16"/>
                <w:color w:val="auto"/>
              </w:rPr>
              <w:t>10.16†</w:t>
            </w:r>
          </w:p>
        </w:tc>
        <w:tc>
          <w:tcPr>
            <w:tcW w:w="9880" w:type="dxa"/>
            <w:vAlign w:val="bottom"/>
            <w:gridSpan w:val="40"/>
          </w:tcPr>
          <w:p>
            <w:pPr>
              <w:spacing w:after="0"/>
              <w:rPr>
                <w:rFonts w:ascii="Times New Roman" w:cs="Times New Roman" w:eastAsia="Times New Roman" w:hAnsi="Times New Roman"/>
                <w:sz w:val="16"/>
                <w:szCs w:val="16"/>
                <w:color w:val="0000FF"/>
                <w:w w:val="98"/>
              </w:rPr>
            </w:pPr>
            <w:hyperlink r:id="rId162">
              <w:r>
                <w:rPr>
                  <w:rFonts w:ascii="Times New Roman" w:cs="Times New Roman" w:eastAsia="Times New Roman" w:hAnsi="Times New Roman"/>
                  <w:sz w:val="16"/>
                  <w:szCs w:val="16"/>
                  <w:color w:val="0000FF"/>
                  <w:w w:val="98"/>
                </w:rPr>
                <w:t>Voting Agreement, dated as of April 17, 2023, by and between MarketWise, Inc., Monument &amp; Cathedral Holdings, LLC and the other persons and entities</w:t>
              </w:r>
            </w:hyperlink>
          </w:p>
        </w:tc>
      </w:tr>
      <w:tr>
        <w:trPr>
          <w:trHeight w:val="132"/>
        </w:trPr>
        <w:tc>
          <w:tcPr>
            <w:tcW w:w="1340" w:type="dxa"/>
            <w:vAlign w:val="bottom"/>
          </w:tcPr>
          <w:p>
            <w:pPr>
              <w:spacing w:after="0"/>
              <w:rPr>
                <w:sz w:val="11"/>
                <w:szCs w:val="11"/>
                <w:color w:val="auto"/>
              </w:rPr>
            </w:pPr>
          </w:p>
        </w:tc>
        <w:tc>
          <w:tcPr>
            <w:tcW w:w="9700" w:type="dxa"/>
            <w:vAlign w:val="bottom"/>
            <w:tcBorders>
              <w:top w:val="single" w:sz="8" w:color="0000FF"/>
            </w:tcBorders>
            <w:gridSpan w:val="32"/>
          </w:tcPr>
          <w:p>
            <w:pPr>
              <w:spacing w:after="0" w:line="132" w:lineRule="exact"/>
              <w:rPr>
                <w:rFonts w:ascii="Times New Roman" w:cs="Times New Roman" w:eastAsia="Times New Roman" w:hAnsi="Times New Roman"/>
                <w:sz w:val="14"/>
                <w:szCs w:val="14"/>
                <w:color w:val="0000FF"/>
              </w:rPr>
            </w:pPr>
            <w:hyperlink r:id="rId162">
              <w:r>
                <w:rPr>
                  <w:rFonts w:ascii="Times New Roman" w:cs="Times New Roman" w:eastAsia="Times New Roman" w:hAnsi="Times New Roman"/>
                  <w:sz w:val="14"/>
                  <w:szCs w:val="14"/>
                  <w:color w:val="0000FF"/>
                </w:rPr>
                <w:t>listed on Schedule A thereto (incorporated by reference to Exhibit 10.1 to the Registrant’s Current Report on Form 8-K, filed with the SEC on April 21,</w:t>
              </w:r>
            </w:hyperlink>
          </w:p>
        </w:tc>
        <w:tc>
          <w:tcPr>
            <w:tcW w:w="180" w:type="dxa"/>
            <w:vAlign w:val="bottom"/>
            <w:gridSpan w:val="8"/>
          </w:tcPr>
          <w:p>
            <w:pPr>
              <w:spacing w:after="0"/>
              <w:rPr>
                <w:sz w:val="11"/>
                <w:szCs w:val="11"/>
                <w:color w:val="auto"/>
              </w:rPr>
            </w:pPr>
          </w:p>
        </w:tc>
      </w:tr>
      <w:tr>
        <w:trPr>
          <w:trHeight w:val="144"/>
        </w:trPr>
        <w:tc>
          <w:tcPr>
            <w:tcW w:w="1340" w:type="dxa"/>
            <w:vAlign w:val="bottom"/>
          </w:tcPr>
          <w:p>
            <w:pPr>
              <w:spacing w:after="0"/>
              <w:rPr>
                <w:sz w:val="12"/>
                <w:szCs w:val="12"/>
                <w:color w:val="auto"/>
              </w:rPr>
            </w:pPr>
          </w:p>
        </w:tc>
        <w:tc>
          <w:tcPr>
            <w:tcW w:w="420" w:type="dxa"/>
            <w:vAlign w:val="bottom"/>
            <w:tcBorders>
              <w:top w:val="single" w:sz="8" w:color="0000FF"/>
              <w:bottom w:val="single" w:sz="8" w:color="0000FF"/>
            </w:tcBorders>
            <w:gridSpan w:val="2"/>
          </w:tcPr>
          <w:p>
            <w:pPr>
              <w:spacing w:after="0" w:line="144" w:lineRule="exact"/>
              <w:rPr>
                <w:rFonts w:ascii="Times New Roman" w:cs="Times New Roman" w:eastAsia="Times New Roman" w:hAnsi="Times New Roman"/>
                <w:sz w:val="16"/>
                <w:szCs w:val="16"/>
                <w:color w:val="0000FF"/>
                <w:w w:val="96"/>
              </w:rPr>
            </w:pPr>
            <w:hyperlink r:id="rId162">
              <w:r>
                <w:rPr>
                  <w:rFonts w:ascii="Times New Roman" w:cs="Times New Roman" w:eastAsia="Times New Roman" w:hAnsi="Times New Roman"/>
                  <w:sz w:val="16"/>
                  <w:szCs w:val="16"/>
                  <w:color w:val="0000FF"/>
                  <w:w w:val="96"/>
                </w:rPr>
                <w:t>2023).</w:t>
              </w:r>
            </w:hyperlink>
          </w:p>
        </w:tc>
        <w:tc>
          <w:tcPr>
            <w:tcW w:w="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6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1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5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42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9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9"/>
        </w:trPr>
        <w:tc>
          <w:tcPr>
            <w:tcW w:w="134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10.17†</w:t>
            </w:r>
          </w:p>
        </w:tc>
        <w:tc>
          <w:tcPr>
            <w:tcW w:w="9880" w:type="dxa"/>
            <w:vAlign w:val="bottom"/>
            <w:gridSpan w:val="40"/>
          </w:tcPr>
          <w:p>
            <w:pPr>
              <w:spacing w:after="0" w:line="179" w:lineRule="exact"/>
              <w:rPr>
                <w:rFonts w:ascii="Times New Roman" w:cs="Times New Roman" w:eastAsia="Times New Roman" w:hAnsi="Times New Roman"/>
                <w:sz w:val="16"/>
                <w:szCs w:val="16"/>
                <w:color w:val="0000FF"/>
              </w:rPr>
            </w:pPr>
            <w:hyperlink r:id="rId163">
              <w:r>
                <w:rPr>
                  <w:rFonts w:ascii="Times New Roman" w:cs="Times New Roman" w:eastAsia="Times New Roman" w:hAnsi="Times New Roman"/>
                  <w:sz w:val="16"/>
                  <w:szCs w:val="16"/>
                  <w:color w:val="0000FF"/>
                </w:rPr>
                <w:t>Settlement Agreement, dated as of April 28, 2023, by and between MarketWise, Inc., F. Porter Stansberry and Stokes Holdings, LLC (incorporated by</w:t>
              </w:r>
            </w:hyperlink>
          </w:p>
        </w:tc>
      </w:tr>
      <w:tr>
        <w:trPr>
          <w:trHeight w:val="132"/>
        </w:trPr>
        <w:tc>
          <w:tcPr>
            <w:tcW w:w="1340" w:type="dxa"/>
            <w:vAlign w:val="bottom"/>
          </w:tcPr>
          <w:p>
            <w:pPr>
              <w:spacing w:after="0"/>
              <w:rPr>
                <w:sz w:val="11"/>
                <w:szCs w:val="11"/>
                <w:color w:val="auto"/>
              </w:rPr>
            </w:pPr>
          </w:p>
        </w:tc>
        <w:tc>
          <w:tcPr>
            <w:tcW w:w="6920" w:type="dxa"/>
            <w:vAlign w:val="bottom"/>
            <w:tcBorders>
              <w:top w:val="single" w:sz="8" w:color="0000FF"/>
              <w:bottom w:val="single" w:sz="8" w:color="0000FF"/>
            </w:tcBorders>
            <w:gridSpan w:val="15"/>
          </w:tcPr>
          <w:p>
            <w:pPr>
              <w:spacing w:after="0" w:line="132" w:lineRule="exact"/>
              <w:rPr>
                <w:rFonts w:ascii="Times New Roman" w:cs="Times New Roman" w:eastAsia="Times New Roman" w:hAnsi="Times New Roman"/>
                <w:sz w:val="14"/>
                <w:szCs w:val="14"/>
                <w:color w:val="0000FF"/>
              </w:rPr>
            </w:pPr>
            <w:hyperlink r:id="rId163">
              <w:r>
                <w:rPr>
                  <w:rFonts w:ascii="Times New Roman" w:cs="Times New Roman" w:eastAsia="Times New Roman" w:hAnsi="Times New Roman"/>
                  <w:sz w:val="14"/>
                  <w:szCs w:val="14"/>
                  <w:color w:val="0000FF"/>
                </w:rPr>
                <w:t>reference to Exhibit 10.1 to the Registrant’s Current Report on Form 8-K, filed with the SEC on May 2, 2023).</w:t>
              </w:r>
            </w:hyperlink>
          </w:p>
        </w:tc>
        <w:tc>
          <w:tcPr>
            <w:tcW w:w="2460" w:type="dxa"/>
            <w:vAlign w:val="bottom"/>
            <w:tcBorders>
              <w:top w:val="single" w:sz="8" w:color="0000FF"/>
            </w:tcBorders>
            <w:gridSpan w:val="7"/>
          </w:tcPr>
          <w:p>
            <w:pPr>
              <w:spacing w:after="0"/>
              <w:rPr>
                <w:sz w:val="11"/>
                <w:szCs w:val="11"/>
                <w:color w:val="auto"/>
              </w:rPr>
            </w:pPr>
          </w:p>
        </w:tc>
        <w:tc>
          <w:tcPr>
            <w:tcW w:w="500" w:type="dxa"/>
            <w:vAlign w:val="bottom"/>
            <w:gridSpan w:val="18"/>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148590</wp:posOffset>
            </wp:positionV>
            <wp:extent cx="7176135" cy="400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4">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160"/>
          </w:cols>
          <w:pgMar w:left="360" w:top="1406" w:right="37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84"/>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10.18†+</w:t>
            </w:r>
          </w:p>
        </w:tc>
        <w:tc>
          <w:tcPr>
            <w:tcW w:w="9880" w:type="dxa"/>
            <w:vAlign w:val="bottom"/>
            <w:gridSpan w:val="36"/>
          </w:tcPr>
          <w:p>
            <w:pPr>
              <w:spacing w:after="0"/>
              <w:rPr>
                <w:rFonts w:ascii="Times New Roman" w:cs="Times New Roman" w:eastAsia="Times New Roman" w:hAnsi="Times New Roman"/>
                <w:sz w:val="16"/>
                <w:szCs w:val="16"/>
                <w:color w:val="0000FF"/>
                <w:w w:val="98"/>
              </w:rPr>
            </w:pPr>
            <w:hyperlink r:id="rId165">
              <w:r>
                <w:rPr>
                  <w:rFonts w:ascii="Times New Roman" w:cs="Times New Roman" w:eastAsia="Times New Roman" w:hAnsi="Times New Roman"/>
                  <w:sz w:val="16"/>
                  <w:szCs w:val="16"/>
                  <w:color w:val="0000FF"/>
                  <w:w w:val="98"/>
                </w:rPr>
                <w:t>Letter Agreement, dated as of July 6, 2023, by and between MarketWise, Inc. and Erik Mickels (incorporated by reference to Exhibit 10.1 to the Registrant’s</w:t>
              </w:r>
            </w:hyperlink>
          </w:p>
        </w:tc>
      </w:tr>
      <w:tr>
        <w:trPr>
          <w:trHeight w:val="132"/>
        </w:trPr>
        <w:tc>
          <w:tcPr>
            <w:tcW w:w="1360" w:type="dxa"/>
            <w:vAlign w:val="bottom"/>
          </w:tcPr>
          <w:p>
            <w:pPr>
              <w:spacing w:after="0"/>
              <w:rPr>
                <w:sz w:val="11"/>
                <w:szCs w:val="11"/>
                <w:color w:val="auto"/>
              </w:rPr>
            </w:pPr>
          </w:p>
        </w:tc>
        <w:tc>
          <w:tcPr>
            <w:tcW w:w="9800" w:type="dxa"/>
            <w:vAlign w:val="bottom"/>
            <w:tcBorders>
              <w:top w:val="single" w:sz="8" w:color="0000FF"/>
            </w:tcBorders>
            <w:gridSpan w:val="32"/>
          </w:tcPr>
          <w:p>
            <w:pPr>
              <w:spacing w:after="0" w:line="132" w:lineRule="exact"/>
              <w:rPr>
                <w:rFonts w:ascii="Times New Roman" w:cs="Times New Roman" w:eastAsia="Times New Roman" w:hAnsi="Times New Roman"/>
                <w:sz w:val="14"/>
                <w:szCs w:val="14"/>
                <w:color w:val="0000FF"/>
              </w:rPr>
            </w:pPr>
            <w:hyperlink r:id="rId165">
              <w:r>
                <w:rPr>
                  <w:rFonts w:ascii="Times New Roman" w:cs="Times New Roman" w:eastAsia="Times New Roman" w:hAnsi="Times New Roman"/>
                  <w:sz w:val="14"/>
                  <w:szCs w:val="14"/>
                  <w:color w:val="0000FF"/>
                </w:rPr>
                <w:t>Current Report on Form 8-K, filed with the SEC on July 6, 2023).</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360" w:type="dxa"/>
            <w:vAlign w:val="bottom"/>
            <w:tcBorders>
              <w:right w:val="single" w:sz="8" w:color="0000FF"/>
            </w:tcBorders>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10.19</w:t>
            </w:r>
          </w:p>
        </w:tc>
        <w:tc>
          <w:tcPr>
            <w:tcW w:w="9880" w:type="dxa"/>
            <w:vAlign w:val="bottom"/>
            <w:gridSpan w:val="36"/>
          </w:tcPr>
          <w:p>
            <w:pPr>
              <w:spacing w:after="0"/>
              <w:rPr>
                <w:rFonts w:ascii="Times New Roman" w:cs="Times New Roman" w:eastAsia="Times New Roman" w:hAnsi="Times New Roman"/>
                <w:sz w:val="16"/>
                <w:szCs w:val="16"/>
                <w:color w:val="0000FF"/>
                <w:w w:val="99"/>
              </w:rPr>
            </w:pPr>
            <w:hyperlink r:id="rId166">
              <w:r>
                <w:rPr>
                  <w:rFonts w:ascii="Times New Roman" w:cs="Times New Roman" w:eastAsia="Times New Roman" w:hAnsi="Times New Roman"/>
                  <w:sz w:val="16"/>
                  <w:szCs w:val="16"/>
                  <w:color w:val="0000FF"/>
                  <w:w w:val="99"/>
                </w:rPr>
                <w:t>Agreement, dated as of September 8, 2023, by and between MarketWise, Inc., F. Porter Stansberry and Stokes Holding, LLC (incorporated by reference to</w:t>
              </w:r>
            </w:hyperlink>
          </w:p>
        </w:tc>
      </w:tr>
      <w:tr>
        <w:trPr>
          <w:trHeight w:val="132"/>
        </w:trPr>
        <w:tc>
          <w:tcPr>
            <w:tcW w:w="1360" w:type="dxa"/>
            <w:vAlign w:val="bottom"/>
          </w:tcPr>
          <w:p>
            <w:pPr>
              <w:spacing w:after="0"/>
              <w:rPr>
                <w:sz w:val="11"/>
                <w:szCs w:val="11"/>
                <w:color w:val="auto"/>
              </w:rPr>
            </w:pPr>
          </w:p>
        </w:tc>
        <w:tc>
          <w:tcPr>
            <w:tcW w:w="6500" w:type="dxa"/>
            <w:vAlign w:val="bottom"/>
            <w:tcBorders>
              <w:top w:val="single" w:sz="8" w:color="0000FF"/>
              <w:bottom w:val="single" w:sz="8" w:color="0000FF"/>
            </w:tcBorders>
            <w:gridSpan w:val="17"/>
          </w:tcPr>
          <w:p>
            <w:pPr>
              <w:spacing w:after="0" w:line="132" w:lineRule="exact"/>
              <w:rPr>
                <w:rFonts w:ascii="Times New Roman" w:cs="Times New Roman" w:eastAsia="Times New Roman" w:hAnsi="Times New Roman"/>
                <w:sz w:val="14"/>
                <w:szCs w:val="14"/>
                <w:color w:val="0000FF"/>
              </w:rPr>
            </w:pPr>
            <w:hyperlink r:id="rId166">
              <w:r>
                <w:rPr>
                  <w:rFonts w:ascii="Times New Roman" w:cs="Times New Roman" w:eastAsia="Times New Roman" w:hAnsi="Times New Roman"/>
                  <w:sz w:val="14"/>
                  <w:szCs w:val="14"/>
                  <w:color w:val="0000FF"/>
                </w:rPr>
                <w:t>Exhibit 10.1 to the Registrant’s Current Report on Form 8-K, filed with the SEC on September 8, 2023).</w:t>
              </w:r>
            </w:hyperlink>
          </w:p>
        </w:tc>
        <w:tc>
          <w:tcPr>
            <w:tcW w:w="3140" w:type="dxa"/>
            <w:vAlign w:val="bottom"/>
            <w:tcBorders>
              <w:top w:val="single" w:sz="8" w:color="0000FF"/>
            </w:tcBorders>
            <w:gridSpan w:val="10"/>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90"/>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10.20+</w:t>
            </w:r>
          </w:p>
        </w:tc>
        <w:tc>
          <w:tcPr>
            <w:tcW w:w="9880" w:type="dxa"/>
            <w:vAlign w:val="bottom"/>
            <w:gridSpan w:val="36"/>
          </w:tcPr>
          <w:p>
            <w:pPr>
              <w:spacing w:after="0"/>
              <w:rPr>
                <w:rFonts w:ascii="Times New Roman" w:cs="Times New Roman" w:eastAsia="Times New Roman" w:hAnsi="Times New Roman"/>
                <w:sz w:val="16"/>
                <w:szCs w:val="16"/>
                <w:color w:val="0000FF"/>
              </w:rPr>
            </w:pPr>
            <w:hyperlink r:id="rId167">
              <w:r>
                <w:rPr>
                  <w:rFonts w:ascii="Times New Roman" w:cs="Times New Roman" w:eastAsia="Times New Roman" w:hAnsi="Times New Roman"/>
                  <w:sz w:val="16"/>
                  <w:szCs w:val="16"/>
                  <w:color w:val="0000FF"/>
                </w:rPr>
                <w:t>Letter Agreement, dated October 16, 2023, by and between the Company and Marco Ferri (incorporated by reference to Exhibit 10.1 to the Registrant’s</w:t>
              </w:r>
            </w:hyperlink>
          </w:p>
        </w:tc>
      </w:tr>
      <w:tr>
        <w:trPr>
          <w:trHeight w:val="132"/>
        </w:trPr>
        <w:tc>
          <w:tcPr>
            <w:tcW w:w="1360" w:type="dxa"/>
            <w:vAlign w:val="bottom"/>
          </w:tcPr>
          <w:p>
            <w:pPr>
              <w:spacing w:after="0"/>
              <w:rPr>
                <w:sz w:val="11"/>
                <w:szCs w:val="11"/>
                <w:color w:val="auto"/>
              </w:rPr>
            </w:pPr>
          </w:p>
        </w:tc>
        <w:tc>
          <w:tcPr>
            <w:tcW w:w="9440" w:type="dxa"/>
            <w:vAlign w:val="bottom"/>
            <w:tcBorders>
              <w:top w:val="single" w:sz="8" w:color="0000FF"/>
            </w:tcBorders>
            <w:gridSpan w:val="21"/>
          </w:tcPr>
          <w:p>
            <w:pPr>
              <w:spacing w:after="0" w:line="132" w:lineRule="exact"/>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Current Report on Form 8-K, filed with the SEC on October 19, 2023).</w:t>
              </w:r>
            </w:hyperlink>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360" w:type="dxa"/>
            <w:vAlign w:val="bottom"/>
            <w:tcBorders>
              <w:right w:val="single" w:sz="8" w:color="0000FF"/>
            </w:tcBorders>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10.21+</w:t>
            </w:r>
          </w:p>
        </w:tc>
        <w:tc>
          <w:tcPr>
            <w:tcW w:w="9880" w:type="dxa"/>
            <w:vAlign w:val="bottom"/>
            <w:gridSpan w:val="36"/>
          </w:tcPr>
          <w:p>
            <w:pPr>
              <w:spacing w:after="0"/>
              <w:rPr>
                <w:rFonts w:ascii="Times New Roman" w:cs="Times New Roman" w:eastAsia="Times New Roman" w:hAnsi="Times New Roman"/>
                <w:sz w:val="16"/>
                <w:szCs w:val="16"/>
                <w:color w:val="0000FF"/>
                <w:w w:val="97"/>
              </w:rPr>
            </w:pPr>
            <w:hyperlink r:id="rId168">
              <w:r>
                <w:rPr>
                  <w:rFonts w:ascii="Times New Roman" w:cs="Times New Roman" w:eastAsia="Times New Roman" w:hAnsi="Times New Roman"/>
                  <w:sz w:val="16"/>
                  <w:szCs w:val="16"/>
                  <w:color w:val="0000FF"/>
                  <w:w w:val="97"/>
                </w:rPr>
                <w:t>Consulting Agreement, dated October 16, 2023, by and among the Company, Marco Ferri and Marco Ferri, P.A. (incorporated by reference to Exhibit 10.2 to</w:t>
              </w:r>
            </w:hyperlink>
          </w:p>
        </w:tc>
      </w:tr>
      <w:tr>
        <w:trPr>
          <w:trHeight w:val="132"/>
        </w:trPr>
        <w:tc>
          <w:tcPr>
            <w:tcW w:w="1360" w:type="dxa"/>
            <w:vAlign w:val="bottom"/>
          </w:tcPr>
          <w:p>
            <w:pPr>
              <w:spacing w:after="0"/>
              <w:rPr>
                <w:sz w:val="11"/>
                <w:szCs w:val="11"/>
                <w:color w:val="auto"/>
              </w:rPr>
            </w:pPr>
          </w:p>
        </w:tc>
        <w:tc>
          <w:tcPr>
            <w:tcW w:w="5440" w:type="dxa"/>
            <w:vAlign w:val="bottom"/>
            <w:tcBorders>
              <w:top w:val="single" w:sz="8" w:color="0000FF"/>
              <w:bottom w:val="single" w:sz="8" w:color="0000FF"/>
            </w:tcBorders>
            <w:gridSpan w:val="14"/>
          </w:tcPr>
          <w:p>
            <w:pPr>
              <w:spacing w:after="0" w:line="132" w:lineRule="exact"/>
              <w:rPr>
                <w:rFonts w:ascii="Times New Roman" w:cs="Times New Roman" w:eastAsia="Times New Roman" w:hAnsi="Times New Roman"/>
                <w:sz w:val="14"/>
                <w:szCs w:val="14"/>
                <w:color w:val="0000FF"/>
              </w:rPr>
            </w:pPr>
            <w:hyperlink r:id="rId168">
              <w:r>
                <w:rPr>
                  <w:rFonts w:ascii="Times New Roman" w:cs="Times New Roman" w:eastAsia="Times New Roman" w:hAnsi="Times New Roman"/>
                  <w:sz w:val="14"/>
                  <w:szCs w:val="14"/>
                  <w:color w:val="0000FF"/>
                </w:rPr>
                <w:t>the Registrant’s Current Report on Form 8-K, filed with the SEC on October 19, 2023).</w:t>
              </w:r>
            </w:hyperlink>
          </w:p>
        </w:tc>
        <w:tc>
          <w:tcPr>
            <w:tcW w:w="4400" w:type="dxa"/>
            <w:vAlign w:val="bottom"/>
            <w:tcBorders>
              <w:top w:val="single" w:sz="8" w:color="0000FF"/>
            </w:tcBorders>
            <w:gridSpan w:val="20"/>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90"/>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10.22+</w:t>
            </w:r>
          </w:p>
        </w:tc>
        <w:tc>
          <w:tcPr>
            <w:tcW w:w="9880" w:type="dxa"/>
            <w:vAlign w:val="bottom"/>
            <w:gridSpan w:val="36"/>
          </w:tcPr>
          <w:p>
            <w:pPr>
              <w:spacing w:after="0"/>
              <w:rPr>
                <w:rFonts w:ascii="Times New Roman" w:cs="Times New Roman" w:eastAsia="Times New Roman" w:hAnsi="Times New Roman"/>
                <w:sz w:val="16"/>
                <w:szCs w:val="16"/>
                <w:color w:val="0000FF"/>
              </w:rPr>
            </w:pPr>
            <w:hyperlink r:id="rId169">
              <w:r>
                <w:rPr>
                  <w:rFonts w:ascii="Times New Roman" w:cs="Times New Roman" w:eastAsia="Times New Roman" w:hAnsi="Times New Roman"/>
                  <w:sz w:val="16"/>
                  <w:szCs w:val="16"/>
                  <w:color w:val="0000FF"/>
                </w:rPr>
                <w:t>Letter Agreement, dated October 20, 2023, by and between the Company and F. Porter Stansberry (incorporated by reference to Exhibit 10.1 to the</w:t>
              </w:r>
            </w:hyperlink>
          </w:p>
        </w:tc>
      </w:tr>
      <w:tr>
        <w:trPr>
          <w:trHeight w:val="132"/>
        </w:trPr>
        <w:tc>
          <w:tcPr>
            <w:tcW w:w="1360" w:type="dxa"/>
            <w:vAlign w:val="bottom"/>
          </w:tcPr>
          <w:p>
            <w:pPr>
              <w:spacing w:after="0"/>
              <w:rPr>
                <w:sz w:val="11"/>
                <w:szCs w:val="11"/>
                <w:color w:val="auto"/>
              </w:rPr>
            </w:pPr>
          </w:p>
        </w:tc>
        <w:tc>
          <w:tcPr>
            <w:tcW w:w="9160" w:type="dxa"/>
            <w:vAlign w:val="bottom"/>
            <w:tcBorders>
              <w:top w:val="single" w:sz="8" w:color="0000FF"/>
            </w:tcBorders>
            <w:gridSpan w:val="18"/>
          </w:tcPr>
          <w:p>
            <w:pPr>
              <w:spacing w:after="0" w:line="132" w:lineRule="exact"/>
              <w:rPr>
                <w:rFonts w:ascii="Times New Roman" w:cs="Times New Roman" w:eastAsia="Times New Roman" w:hAnsi="Times New Roman"/>
                <w:sz w:val="14"/>
                <w:szCs w:val="14"/>
                <w:color w:val="0000FF"/>
              </w:rPr>
            </w:pPr>
            <w:hyperlink r:id="rId169">
              <w:r>
                <w:rPr>
                  <w:rFonts w:ascii="Times New Roman" w:cs="Times New Roman" w:eastAsia="Times New Roman" w:hAnsi="Times New Roman"/>
                  <w:sz w:val="14"/>
                  <w:szCs w:val="14"/>
                  <w:color w:val="0000FF"/>
                </w:rPr>
                <w:t>Registrant’s Current Report on Form 8-K, filed with the SEC on October 23, 2023).</w:t>
              </w:r>
            </w:hyperlink>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360" w:type="dxa"/>
            <w:vAlign w:val="bottom"/>
            <w:tcBorders>
              <w:right w:val="single" w:sz="8" w:color="0000FF"/>
            </w:tcBorders>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10.23+</w:t>
            </w:r>
          </w:p>
        </w:tc>
        <w:tc>
          <w:tcPr>
            <w:tcW w:w="9880" w:type="dxa"/>
            <w:vAlign w:val="bottom"/>
            <w:gridSpan w:val="36"/>
          </w:tcPr>
          <w:p>
            <w:pPr>
              <w:spacing w:after="0"/>
              <w:rPr>
                <w:rFonts w:ascii="Times New Roman" w:cs="Times New Roman" w:eastAsia="Times New Roman" w:hAnsi="Times New Roman"/>
                <w:sz w:val="16"/>
                <w:szCs w:val="16"/>
                <w:color w:val="0000FF"/>
                <w:w w:val="99"/>
              </w:rPr>
            </w:pPr>
            <w:hyperlink r:id="rId170">
              <w:r>
                <w:rPr>
                  <w:rFonts w:ascii="Times New Roman" w:cs="Times New Roman" w:eastAsia="Times New Roman" w:hAnsi="Times New Roman"/>
                  <w:sz w:val="16"/>
                  <w:szCs w:val="16"/>
                  <w:color w:val="0000FF"/>
                  <w:w w:val="99"/>
                </w:rPr>
                <w:t>Letter Agreement, dated October 30, 2023, by and between the Company and Amber Mason (incorporated by reference to Exhibit 10.1 to the Registrant’s</w:t>
              </w:r>
            </w:hyperlink>
          </w:p>
        </w:tc>
      </w:tr>
      <w:tr>
        <w:trPr>
          <w:trHeight w:val="132"/>
        </w:trPr>
        <w:tc>
          <w:tcPr>
            <w:tcW w:w="1360" w:type="dxa"/>
            <w:vAlign w:val="bottom"/>
          </w:tcPr>
          <w:p>
            <w:pPr>
              <w:spacing w:after="0"/>
              <w:rPr>
                <w:sz w:val="11"/>
                <w:szCs w:val="11"/>
                <w:color w:val="auto"/>
              </w:rPr>
            </w:pPr>
          </w:p>
        </w:tc>
        <w:tc>
          <w:tcPr>
            <w:tcW w:w="9600" w:type="dxa"/>
            <w:vAlign w:val="bottom"/>
            <w:tcBorders>
              <w:top w:val="single" w:sz="8" w:color="0000FF"/>
            </w:tcBorders>
            <w:gridSpan w:val="25"/>
          </w:tcPr>
          <w:p>
            <w:pPr>
              <w:spacing w:after="0" w:line="132" w:lineRule="exact"/>
              <w:rPr>
                <w:rFonts w:ascii="Times New Roman" w:cs="Times New Roman" w:eastAsia="Times New Roman" w:hAnsi="Times New Roman"/>
                <w:sz w:val="14"/>
                <w:szCs w:val="14"/>
                <w:color w:val="0000FF"/>
              </w:rPr>
            </w:pPr>
            <w:hyperlink r:id="rId170">
              <w:r>
                <w:rPr>
                  <w:rFonts w:ascii="Times New Roman" w:cs="Times New Roman" w:eastAsia="Times New Roman" w:hAnsi="Times New Roman"/>
                  <w:sz w:val="14"/>
                  <w:szCs w:val="14"/>
                  <w:color w:val="0000FF"/>
                </w:rPr>
                <w:t>Current Report on Form 8-K, filed with the SEC on November 1, 2023).</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360" w:type="dxa"/>
            <w:vAlign w:val="bottom"/>
            <w:tcBorders>
              <w:right w:val="single" w:sz="8" w:color="0000FF"/>
            </w:tcBorders>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10.24+</w:t>
            </w:r>
          </w:p>
        </w:tc>
        <w:tc>
          <w:tcPr>
            <w:tcW w:w="9880" w:type="dxa"/>
            <w:vAlign w:val="bottom"/>
            <w:gridSpan w:val="36"/>
          </w:tcPr>
          <w:p>
            <w:pPr>
              <w:spacing w:after="0"/>
              <w:rPr>
                <w:rFonts w:ascii="Times New Roman" w:cs="Times New Roman" w:eastAsia="Times New Roman" w:hAnsi="Times New Roman"/>
                <w:sz w:val="16"/>
                <w:szCs w:val="16"/>
                <w:color w:val="0000FF"/>
                <w:w w:val="98"/>
              </w:rPr>
            </w:pPr>
            <w:hyperlink r:id="rId171">
              <w:r>
                <w:rPr>
                  <w:rFonts w:ascii="Times New Roman" w:cs="Times New Roman" w:eastAsia="Times New Roman" w:hAnsi="Times New Roman"/>
                  <w:sz w:val="16"/>
                  <w:szCs w:val="16"/>
                  <w:color w:val="0000FF"/>
                  <w:w w:val="98"/>
                </w:rPr>
                <w:t>Form of Restricted Stock Unit Grant Notice and Restricted Stock Unit Agreement (Employees) (incorporated by reference to Exhibit 10.3 to the Registrant’s</w:t>
              </w:r>
            </w:hyperlink>
          </w:p>
        </w:tc>
      </w:tr>
      <w:tr>
        <w:trPr>
          <w:trHeight w:val="132"/>
        </w:trPr>
        <w:tc>
          <w:tcPr>
            <w:tcW w:w="1360" w:type="dxa"/>
            <w:vAlign w:val="bottom"/>
          </w:tcPr>
          <w:p>
            <w:pPr>
              <w:spacing w:after="0"/>
              <w:rPr>
                <w:sz w:val="11"/>
                <w:szCs w:val="11"/>
                <w:color w:val="auto"/>
              </w:rPr>
            </w:pPr>
          </w:p>
        </w:tc>
        <w:tc>
          <w:tcPr>
            <w:tcW w:w="9780" w:type="dxa"/>
            <w:vAlign w:val="bottom"/>
            <w:tcBorders>
              <w:top w:val="single" w:sz="8" w:color="0000FF"/>
            </w:tcBorders>
            <w:gridSpan w:val="31"/>
          </w:tcPr>
          <w:p>
            <w:pPr>
              <w:spacing w:after="0" w:line="132" w:lineRule="exact"/>
              <w:rPr>
                <w:rFonts w:ascii="Times New Roman" w:cs="Times New Roman" w:eastAsia="Times New Roman" w:hAnsi="Times New Roman"/>
                <w:sz w:val="14"/>
                <w:szCs w:val="14"/>
                <w:color w:val="0000FF"/>
              </w:rPr>
            </w:pPr>
            <w:hyperlink r:id="rId171">
              <w:r>
                <w:rPr>
                  <w:rFonts w:ascii="Times New Roman" w:cs="Times New Roman" w:eastAsia="Times New Roman" w:hAnsi="Times New Roman"/>
                  <w:sz w:val="14"/>
                  <w:szCs w:val="14"/>
                  <w:color w:val="0000FF"/>
                </w:rPr>
                <w:t>Periodic Report on Form 10-Q, filed with the SEC on November 9, 2023).</w:t>
              </w:r>
            </w:hyperlink>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360" w:type="dxa"/>
            <w:vAlign w:val="bottom"/>
            <w:tcBorders>
              <w:right w:val="single" w:sz="8" w:color="0000FF"/>
            </w:tcBorders>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38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10.25+</w:t>
            </w:r>
          </w:p>
        </w:tc>
        <w:tc>
          <w:tcPr>
            <w:tcW w:w="9880" w:type="dxa"/>
            <w:vAlign w:val="bottom"/>
            <w:gridSpan w:val="36"/>
          </w:tcPr>
          <w:p>
            <w:pPr>
              <w:spacing w:after="0"/>
              <w:rPr>
                <w:rFonts w:ascii="Times New Roman" w:cs="Times New Roman" w:eastAsia="Times New Roman" w:hAnsi="Times New Roman"/>
                <w:sz w:val="16"/>
                <w:szCs w:val="16"/>
                <w:color w:val="0000FF"/>
                <w:w w:val="99"/>
              </w:rPr>
            </w:pPr>
            <w:hyperlink r:id="rId172">
              <w:r>
                <w:rPr>
                  <w:rFonts w:ascii="Times New Roman" w:cs="Times New Roman" w:eastAsia="Times New Roman" w:hAnsi="Times New Roman"/>
                  <w:sz w:val="16"/>
                  <w:szCs w:val="16"/>
                  <w:color w:val="0000FF"/>
                  <w:w w:val="99"/>
                </w:rPr>
                <w:t>Form of Restricted Stock Unit Grant Notice and Restricted Stock Unit Agreement (Non-Employee Directors) (incorporated by reference to Exhibit 10.4 to</w:t>
              </w:r>
            </w:hyperlink>
          </w:p>
        </w:tc>
      </w:tr>
      <w:tr>
        <w:trPr>
          <w:trHeight w:val="132"/>
        </w:trPr>
        <w:tc>
          <w:tcPr>
            <w:tcW w:w="1360" w:type="dxa"/>
            <w:vAlign w:val="bottom"/>
          </w:tcPr>
          <w:p>
            <w:pPr>
              <w:spacing w:after="0"/>
              <w:rPr>
                <w:sz w:val="11"/>
                <w:szCs w:val="11"/>
                <w:color w:val="auto"/>
              </w:rPr>
            </w:pPr>
          </w:p>
        </w:tc>
        <w:tc>
          <w:tcPr>
            <w:tcW w:w="5640" w:type="dxa"/>
            <w:vAlign w:val="bottom"/>
            <w:tcBorders>
              <w:top w:val="single" w:sz="8" w:color="0000FF"/>
              <w:bottom w:val="single" w:sz="8" w:color="0000FF"/>
            </w:tcBorders>
            <w:gridSpan w:val="15"/>
          </w:tcPr>
          <w:p>
            <w:pPr>
              <w:spacing w:after="0" w:line="132" w:lineRule="exact"/>
              <w:rPr>
                <w:rFonts w:ascii="Times New Roman" w:cs="Times New Roman" w:eastAsia="Times New Roman" w:hAnsi="Times New Roman"/>
                <w:sz w:val="14"/>
                <w:szCs w:val="14"/>
                <w:color w:val="0000FF"/>
              </w:rPr>
            </w:pPr>
            <w:hyperlink r:id="rId172">
              <w:r>
                <w:rPr>
                  <w:rFonts w:ascii="Times New Roman" w:cs="Times New Roman" w:eastAsia="Times New Roman" w:hAnsi="Times New Roman"/>
                  <w:sz w:val="14"/>
                  <w:szCs w:val="14"/>
                  <w:color w:val="0000FF"/>
                </w:rPr>
                <w:t>the Registrant’s Periodic Report on Form 10-Q, filed with the SEC on November 9, 2023).</w:t>
              </w:r>
            </w:hyperlink>
          </w:p>
        </w:tc>
        <w:tc>
          <w:tcPr>
            <w:tcW w:w="4020" w:type="dxa"/>
            <w:vAlign w:val="bottom"/>
            <w:tcBorders>
              <w:top w:val="single" w:sz="8" w:color="0000FF"/>
            </w:tcBorders>
            <w:gridSpan w:val="1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90"/>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10.26+</w:t>
            </w:r>
          </w:p>
        </w:tc>
        <w:tc>
          <w:tcPr>
            <w:tcW w:w="9880" w:type="dxa"/>
            <w:vAlign w:val="bottom"/>
            <w:gridSpan w:val="36"/>
          </w:tcPr>
          <w:p>
            <w:pPr>
              <w:spacing w:after="0"/>
              <w:rPr>
                <w:rFonts w:ascii="Times New Roman" w:cs="Times New Roman" w:eastAsia="Times New Roman" w:hAnsi="Times New Roman"/>
                <w:sz w:val="16"/>
                <w:szCs w:val="16"/>
                <w:color w:val="0000FF"/>
              </w:rPr>
            </w:pPr>
            <w:hyperlink r:id="rId173">
              <w:r>
                <w:rPr>
                  <w:rFonts w:ascii="Times New Roman" w:cs="Times New Roman" w:eastAsia="Times New Roman" w:hAnsi="Times New Roman"/>
                  <w:sz w:val="16"/>
                  <w:szCs w:val="16"/>
                  <w:color w:val="0000FF"/>
                </w:rPr>
                <w:t>Form of Restricted Stock Grant Notice and Restricted Stock Agreement (incorporated by reference to Exhibit 10.5 to the Registrant’s Periodic Report on</w:t>
              </w:r>
            </w:hyperlink>
          </w:p>
        </w:tc>
      </w:tr>
      <w:tr>
        <w:trPr>
          <w:trHeight w:val="132"/>
        </w:trPr>
        <w:tc>
          <w:tcPr>
            <w:tcW w:w="1360" w:type="dxa"/>
            <w:vAlign w:val="bottom"/>
          </w:tcPr>
          <w:p>
            <w:pPr>
              <w:spacing w:after="0"/>
              <w:rPr>
                <w:sz w:val="11"/>
                <w:szCs w:val="11"/>
                <w:color w:val="auto"/>
              </w:rPr>
            </w:pPr>
          </w:p>
        </w:tc>
        <w:tc>
          <w:tcPr>
            <w:tcW w:w="9520" w:type="dxa"/>
            <w:vAlign w:val="bottom"/>
            <w:tcBorders>
              <w:top w:val="single" w:sz="8" w:color="0000FF"/>
            </w:tcBorders>
            <w:gridSpan w:val="23"/>
          </w:tcPr>
          <w:p>
            <w:pPr>
              <w:spacing w:after="0" w:line="132" w:lineRule="exact"/>
              <w:rPr>
                <w:rFonts w:ascii="Times New Roman" w:cs="Times New Roman" w:eastAsia="Times New Roman" w:hAnsi="Times New Roman"/>
                <w:sz w:val="14"/>
                <w:szCs w:val="14"/>
                <w:color w:val="0000FF"/>
              </w:rPr>
            </w:pPr>
            <w:hyperlink r:id="rId173">
              <w:r>
                <w:rPr>
                  <w:rFonts w:ascii="Times New Roman" w:cs="Times New Roman" w:eastAsia="Times New Roman" w:hAnsi="Times New Roman"/>
                  <w:sz w:val="14"/>
                  <w:szCs w:val="14"/>
                  <w:color w:val="0000FF"/>
                </w:rPr>
                <w:t>Form 10-Q, filed with the SEC on November 9, 2023).</w:t>
              </w:r>
            </w:hyperlink>
          </w:p>
        </w:tc>
        <w:tc>
          <w:tcPr>
            <w:tcW w:w="2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gridSpan w:val="3"/>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20"/>
        </w:trPr>
        <w:tc>
          <w:tcPr>
            <w:tcW w:w="1360" w:type="dxa"/>
            <w:vAlign w:val="bottom"/>
            <w:tcBorders>
              <w:right w:val="single" w:sz="8" w:color="0000FF"/>
            </w:tcBorders>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0"/>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10.27+</w:t>
            </w:r>
          </w:p>
        </w:tc>
        <w:tc>
          <w:tcPr>
            <w:tcW w:w="9880" w:type="dxa"/>
            <w:vAlign w:val="bottom"/>
            <w:gridSpan w:val="36"/>
          </w:tcPr>
          <w:p>
            <w:pPr>
              <w:spacing w:after="0"/>
              <w:rPr>
                <w:rFonts w:ascii="Times New Roman" w:cs="Times New Roman" w:eastAsia="Times New Roman" w:hAnsi="Times New Roman"/>
                <w:sz w:val="16"/>
                <w:szCs w:val="16"/>
                <w:color w:val="0000FF"/>
                <w:w w:val="98"/>
              </w:rPr>
            </w:pPr>
            <w:hyperlink r:id="rId174">
              <w:r>
                <w:rPr>
                  <w:rFonts w:ascii="Times New Roman" w:cs="Times New Roman" w:eastAsia="Times New Roman" w:hAnsi="Times New Roman"/>
                  <w:sz w:val="16"/>
                  <w:szCs w:val="16"/>
                  <w:color w:val="0000FF"/>
                  <w:w w:val="98"/>
                </w:rPr>
                <w:t>MarketWise, Inc. Form of Stock Appreciation Right Grant Notice and Stock Appreciation Right Agreement (incorporated by reference to Exhibit 99.4 to the</w:t>
              </w:r>
            </w:hyperlink>
          </w:p>
        </w:tc>
      </w:tr>
      <w:tr>
        <w:trPr>
          <w:trHeight w:val="132"/>
        </w:trPr>
        <w:tc>
          <w:tcPr>
            <w:tcW w:w="1360" w:type="dxa"/>
            <w:vAlign w:val="bottom"/>
          </w:tcPr>
          <w:p>
            <w:pPr>
              <w:spacing w:after="0"/>
              <w:rPr>
                <w:sz w:val="11"/>
                <w:szCs w:val="11"/>
                <w:color w:val="auto"/>
              </w:rPr>
            </w:pPr>
          </w:p>
        </w:tc>
        <w:tc>
          <w:tcPr>
            <w:tcW w:w="5840" w:type="dxa"/>
            <w:vAlign w:val="bottom"/>
            <w:tcBorders>
              <w:top w:val="single" w:sz="8" w:color="0000FF"/>
              <w:bottom w:val="single" w:sz="8" w:color="0000FF"/>
            </w:tcBorders>
            <w:gridSpan w:val="16"/>
          </w:tcPr>
          <w:p>
            <w:pPr>
              <w:spacing w:after="0" w:line="132" w:lineRule="exact"/>
              <w:rPr>
                <w:rFonts w:ascii="Times New Roman" w:cs="Times New Roman" w:eastAsia="Times New Roman" w:hAnsi="Times New Roman"/>
                <w:sz w:val="14"/>
                <w:szCs w:val="14"/>
                <w:color w:val="0000FF"/>
              </w:rPr>
            </w:pPr>
            <w:hyperlink r:id="rId174">
              <w:r>
                <w:rPr>
                  <w:rFonts w:ascii="Times New Roman" w:cs="Times New Roman" w:eastAsia="Times New Roman" w:hAnsi="Times New Roman"/>
                  <w:sz w:val="14"/>
                  <w:szCs w:val="14"/>
                  <w:color w:val="0000FF"/>
                </w:rPr>
                <w:t>Registrant’s Registration Statement on Form S-8, filed with the SEC on September 27, 2021).</w:t>
              </w:r>
            </w:hyperlink>
          </w:p>
        </w:tc>
        <w:tc>
          <w:tcPr>
            <w:tcW w:w="3980" w:type="dxa"/>
            <w:vAlign w:val="bottom"/>
            <w:tcBorders>
              <w:top w:val="single" w:sz="8" w:color="0000FF"/>
            </w:tcBorders>
            <w:gridSpan w:val="17"/>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90"/>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10.28+</w:t>
            </w:r>
          </w:p>
        </w:tc>
        <w:tc>
          <w:tcPr>
            <w:tcW w:w="9880" w:type="dxa"/>
            <w:vAlign w:val="bottom"/>
            <w:gridSpan w:val="36"/>
          </w:tcPr>
          <w:p>
            <w:pPr>
              <w:spacing w:after="0"/>
              <w:rPr>
                <w:rFonts w:ascii="Times New Roman" w:cs="Times New Roman" w:eastAsia="Times New Roman" w:hAnsi="Times New Roman"/>
                <w:sz w:val="16"/>
                <w:szCs w:val="16"/>
                <w:color w:val="0000FF"/>
                <w:w w:val="97"/>
              </w:rPr>
            </w:pPr>
            <w:hyperlink r:id="rId175">
              <w:r>
                <w:rPr>
                  <w:rFonts w:ascii="Times New Roman" w:cs="Times New Roman" w:eastAsia="Times New Roman" w:hAnsi="Times New Roman"/>
                  <w:sz w:val="16"/>
                  <w:szCs w:val="16"/>
                  <w:color w:val="0000FF"/>
                  <w:w w:val="97"/>
                </w:rPr>
                <w:t>MarketWise, Inc. Form of Stock Option Grant Notice and Stock Option Agreement (incorporated by reference to Exhibit 99.6 to the Registrant’s Registration</w:t>
              </w:r>
            </w:hyperlink>
          </w:p>
        </w:tc>
      </w:tr>
      <w:tr>
        <w:trPr>
          <w:trHeight w:val="132"/>
        </w:trPr>
        <w:tc>
          <w:tcPr>
            <w:tcW w:w="1360" w:type="dxa"/>
            <w:vAlign w:val="bottom"/>
          </w:tcPr>
          <w:p>
            <w:pPr>
              <w:spacing w:after="0"/>
              <w:rPr>
                <w:sz w:val="11"/>
                <w:szCs w:val="11"/>
                <w:color w:val="auto"/>
              </w:rPr>
            </w:pPr>
          </w:p>
        </w:tc>
        <w:tc>
          <w:tcPr>
            <w:tcW w:w="9860" w:type="dxa"/>
            <w:vAlign w:val="bottom"/>
            <w:tcBorders>
              <w:top w:val="single" w:sz="8" w:color="0000FF"/>
            </w:tcBorders>
            <w:gridSpan w:val="35"/>
          </w:tcPr>
          <w:p>
            <w:pPr>
              <w:spacing w:after="0" w:line="132" w:lineRule="exact"/>
              <w:rPr>
                <w:rFonts w:ascii="Times New Roman" w:cs="Times New Roman" w:eastAsia="Times New Roman" w:hAnsi="Times New Roman"/>
                <w:sz w:val="14"/>
                <w:szCs w:val="14"/>
                <w:color w:val="0000FF"/>
              </w:rPr>
            </w:pPr>
            <w:hyperlink r:id="rId175">
              <w:r>
                <w:rPr>
                  <w:rFonts w:ascii="Times New Roman" w:cs="Times New Roman" w:eastAsia="Times New Roman" w:hAnsi="Times New Roman"/>
                  <w:sz w:val="14"/>
                  <w:szCs w:val="14"/>
                  <w:color w:val="0000FF"/>
                </w:rPr>
                <w:t>Statement on Form S-8, filed with the SEC on September 27, 2021).</w:t>
              </w:r>
            </w:hyperlink>
          </w:p>
        </w:tc>
        <w:tc>
          <w:tcPr>
            <w:tcW w:w="20" w:type="dxa"/>
            <w:vAlign w:val="bottom"/>
          </w:tcPr>
          <w:p>
            <w:pPr>
              <w:spacing w:after="0"/>
              <w:rPr>
                <w:sz w:val="11"/>
                <w:szCs w:val="11"/>
                <w:color w:val="auto"/>
              </w:rPr>
            </w:pPr>
          </w:p>
        </w:tc>
      </w:tr>
      <w:tr>
        <w:trPr>
          <w:trHeight w:val="20"/>
        </w:trPr>
        <w:tc>
          <w:tcPr>
            <w:tcW w:w="1360" w:type="dxa"/>
            <w:vAlign w:val="bottom"/>
            <w:tcBorders>
              <w:right w:val="single" w:sz="8" w:color="0000FF"/>
            </w:tcBorders>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r>
      <w:tr>
        <w:trPr>
          <w:trHeight w:val="190"/>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10.29+</w:t>
            </w:r>
          </w:p>
        </w:tc>
        <w:tc>
          <w:tcPr>
            <w:tcW w:w="9880" w:type="dxa"/>
            <w:vAlign w:val="bottom"/>
            <w:gridSpan w:val="36"/>
          </w:tcPr>
          <w:p>
            <w:pPr>
              <w:spacing w:after="0"/>
              <w:rPr>
                <w:rFonts w:ascii="Times New Roman" w:cs="Times New Roman" w:eastAsia="Times New Roman" w:hAnsi="Times New Roman"/>
                <w:sz w:val="16"/>
                <w:szCs w:val="16"/>
                <w:color w:val="0000FF"/>
              </w:rPr>
            </w:pPr>
            <w:hyperlink r:id="rId176">
              <w:r>
                <w:rPr>
                  <w:rFonts w:ascii="Times New Roman" w:cs="Times New Roman" w:eastAsia="Times New Roman" w:hAnsi="Times New Roman"/>
                  <w:sz w:val="16"/>
                  <w:szCs w:val="16"/>
                  <w:color w:val="0000FF"/>
                </w:rPr>
                <w:t>MarketWise, Inc. Form of Restricted Stock Unit Grant Notice and Restricted Stock Unit Agreement (incorporated by reference to Exhibit 99.3 to the</w:t>
              </w:r>
            </w:hyperlink>
          </w:p>
        </w:tc>
      </w:tr>
      <w:tr>
        <w:trPr>
          <w:trHeight w:val="132"/>
        </w:trPr>
        <w:tc>
          <w:tcPr>
            <w:tcW w:w="1360" w:type="dxa"/>
            <w:vAlign w:val="bottom"/>
          </w:tcPr>
          <w:p>
            <w:pPr>
              <w:spacing w:after="0"/>
              <w:rPr>
                <w:sz w:val="11"/>
                <w:szCs w:val="11"/>
                <w:color w:val="auto"/>
              </w:rPr>
            </w:pPr>
          </w:p>
        </w:tc>
        <w:tc>
          <w:tcPr>
            <w:tcW w:w="5840" w:type="dxa"/>
            <w:vAlign w:val="bottom"/>
            <w:tcBorders>
              <w:top w:val="single" w:sz="8" w:color="0000FF"/>
              <w:bottom w:val="single" w:sz="8" w:color="0000FF"/>
            </w:tcBorders>
            <w:gridSpan w:val="16"/>
          </w:tcPr>
          <w:p>
            <w:pPr>
              <w:spacing w:after="0" w:line="132" w:lineRule="exact"/>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Registrant’s Registration Statement on Form S-8, filed with the SEC on September 27, 2021).</w:t>
              </w:r>
            </w:hyperlink>
          </w:p>
        </w:tc>
        <w:tc>
          <w:tcPr>
            <w:tcW w:w="3440" w:type="dxa"/>
            <w:vAlign w:val="bottom"/>
            <w:tcBorders>
              <w:top w:val="single" w:sz="8" w:color="0000FF"/>
            </w:tcBorders>
            <w:gridSpan w:val="3"/>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gridSpan w:val="6"/>
          </w:tcPr>
          <w:p>
            <w:pPr>
              <w:spacing w:after="0"/>
              <w:rPr>
                <w:sz w:val="11"/>
                <w:szCs w:val="11"/>
                <w:color w:val="auto"/>
              </w:rPr>
            </w:pPr>
          </w:p>
        </w:tc>
      </w:tr>
      <w:tr>
        <w:trPr>
          <w:trHeight w:val="190"/>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10.30+</w:t>
            </w:r>
          </w:p>
        </w:tc>
        <w:tc>
          <w:tcPr>
            <w:tcW w:w="9880" w:type="dxa"/>
            <w:vAlign w:val="bottom"/>
            <w:gridSpan w:val="36"/>
          </w:tcPr>
          <w:p>
            <w:pPr>
              <w:spacing w:after="0"/>
              <w:rPr>
                <w:rFonts w:ascii="Times New Roman" w:cs="Times New Roman" w:eastAsia="Times New Roman" w:hAnsi="Times New Roman"/>
                <w:sz w:val="16"/>
                <w:szCs w:val="16"/>
                <w:color w:val="0000FF"/>
              </w:rPr>
            </w:pPr>
            <w:hyperlink r:id="rId177">
              <w:r>
                <w:rPr>
                  <w:rFonts w:ascii="Times New Roman" w:cs="Times New Roman" w:eastAsia="Times New Roman" w:hAnsi="Times New Roman"/>
                  <w:sz w:val="16"/>
                  <w:szCs w:val="16"/>
                  <w:color w:val="0000FF"/>
                </w:rPr>
                <w:t>MarketWise, Inc. Form of Restricted Stock Grant Notice and Restricted Stock Agreement (incorporated by reference to Exhibit 99.5 to the Registrant’s</w:t>
              </w:r>
            </w:hyperlink>
          </w:p>
        </w:tc>
      </w:tr>
      <w:tr>
        <w:trPr>
          <w:trHeight w:val="132"/>
        </w:trPr>
        <w:tc>
          <w:tcPr>
            <w:tcW w:w="1360" w:type="dxa"/>
            <w:vAlign w:val="bottom"/>
          </w:tcPr>
          <w:p>
            <w:pPr>
              <w:spacing w:after="0"/>
              <w:rPr>
                <w:sz w:val="11"/>
                <w:szCs w:val="11"/>
                <w:color w:val="auto"/>
              </w:rPr>
            </w:pPr>
          </w:p>
        </w:tc>
        <w:tc>
          <w:tcPr>
            <w:tcW w:w="9420" w:type="dxa"/>
            <w:vAlign w:val="bottom"/>
            <w:tcBorders>
              <w:top w:val="single" w:sz="8" w:color="0000FF"/>
            </w:tcBorders>
            <w:gridSpan w:val="20"/>
          </w:tcPr>
          <w:p>
            <w:pPr>
              <w:spacing w:after="0" w:line="132" w:lineRule="exact"/>
              <w:rPr>
                <w:rFonts w:ascii="Times New Roman" w:cs="Times New Roman" w:eastAsia="Times New Roman" w:hAnsi="Times New Roman"/>
                <w:sz w:val="14"/>
                <w:szCs w:val="14"/>
                <w:color w:val="0000FF"/>
              </w:rPr>
            </w:pPr>
            <w:hyperlink r:id="rId177">
              <w:r>
                <w:rPr>
                  <w:rFonts w:ascii="Times New Roman" w:cs="Times New Roman" w:eastAsia="Times New Roman" w:hAnsi="Times New Roman"/>
                  <w:sz w:val="14"/>
                  <w:szCs w:val="14"/>
                  <w:color w:val="0000FF"/>
                </w:rPr>
                <w:t>Registration Statement on Form S-8, filed with the SEC on September 27, 2021).</w:t>
              </w:r>
            </w:hyperlink>
          </w:p>
        </w:tc>
        <w:tc>
          <w:tcPr>
            <w:tcW w:w="60" w:type="dxa"/>
            <w:vAlign w:val="bottom"/>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8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gridSpan w:val="6"/>
          </w:tcPr>
          <w:p>
            <w:pPr>
              <w:spacing w:after="0"/>
              <w:rPr>
                <w:sz w:val="11"/>
                <w:szCs w:val="11"/>
                <w:color w:val="auto"/>
              </w:rPr>
            </w:pPr>
          </w:p>
        </w:tc>
      </w:tr>
      <w:tr>
        <w:trPr>
          <w:trHeight w:val="20"/>
        </w:trPr>
        <w:tc>
          <w:tcPr>
            <w:tcW w:w="1360" w:type="dxa"/>
            <w:vAlign w:val="bottom"/>
            <w:tcBorders>
              <w:right w:val="single" w:sz="8" w:color="0000FF"/>
            </w:tcBorders>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20" w:type="dxa"/>
            <w:vAlign w:val="bottom"/>
            <w:tcBorders>
              <w:right w:val="single" w:sz="8" w:color="0000FF"/>
            </w:tcBorders>
            <w:gridSpan w:val="6"/>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40" w:type="dxa"/>
            <w:vAlign w:val="bottom"/>
            <w:gridSpan w:val="1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r>
      <w:tr>
        <w:trPr>
          <w:trHeight w:val="190"/>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10.31+</w:t>
            </w:r>
          </w:p>
        </w:tc>
        <w:tc>
          <w:tcPr>
            <w:tcW w:w="9880" w:type="dxa"/>
            <w:vAlign w:val="bottom"/>
            <w:gridSpan w:val="36"/>
          </w:tcPr>
          <w:p>
            <w:pPr>
              <w:spacing w:after="0"/>
              <w:rPr>
                <w:rFonts w:ascii="Times New Roman" w:cs="Times New Roman" w:eastAsia="Times New Roman" w:hAnsi="Times New Roman"/>
                <w:sz w:val="16"/>
                <w:szCs w:val="16"/>
                <w:color w:val="0000FF"/>
                <w:w w:val="99"/>
              </w:rPr>
            </w:pPr>
            <w:hyperlink r:id="rId178">
              <w:r>
                <w:rPr>
                  <w:rFonts w:ascii="Times New Roman" w:cs="Times New Roman" w:eastAsia="Times New Roman" w:hAnsi="Times New Roman"/>
                  <w:sz w:val="16"/>
                  <w:szCs w:val="16"/>
                  <w:color w:val="0000FF"/>
                  <w:w w:val="99"/>
                </w:rPr>
                <w:t>Letter Agreement, dated November 10, 2023, by and between the Company and Chad Curlett (incorporated by reference to Exhibit 10.1 to the Registrant’s</w:t>
              </w:r>
            </w:hyperlink>
          </w:p>
        </w:tc>
      </w:tr>
      <w:tr>
        <w:trPr>
          <w:trHeight w:val="132"/>
        </w:trPr>
        <w:tc>
          <w:tcPr>
            <w:tcW w:w="1360" w:type="dxa"/>
            <w:vAlign w:val="bottom"/>
          </w:tcPr>
          <w:p>
            <w:pPr>
              <w:spacing w:after="0"/>
              <w:rPr>
                <w:sz w:val="11"/>
                <w:szCs w:val="11"/>
                <w:color w:val="auto"/>
              </w:rPr>
            </w:pPr>
          </w:p>
        </w:tc>
        <w:tc>
          <w:tcPr>
            <w:tcW w:w="9700" w:type="dxa"/>
            <w:vAlign w:val="bottom"/>
            <w:tcBorders>
              <w:top w:val="single" w:sz="8" w:color="0000FF"/>
            </w:tcBorders>
            <w:gridSpan w:val="30"/>
          </w:tcPr>
          <w:p>
            <w:pPr>
              <w:spacing w:after="0" w:line="132" w:lineRule="exact"/>
              <w:rPr>
                <w:rFonts w:ascii="Times New Roman" w:cs="Times New Roman" w:eastAsia="Times New Roman" w:hAnsi="Times New Roman"/>
                <w:sz w:val="14"/>
                <w:szCs w:val="14"/>
                <w:color w:val="0000FF"/>
              </w:rPr>
            </w:pPr>
            <w:hyperlink r:id="rId178">
              <w:r>
                <w:rPr>
                  <w:rFonts w:ascii="Times New Roman" w:cs="Times New Roman" w:eastAsia="Times New Roman" w:hAnsi="Times New Roman"/>
                  <w:sz w:val="14"/>
                  <w:szCs w:val="14"/>
                  <w:color w:val="0000FF"/>
                </w:rPr>
                <w:t>Current Report on Form 8-K, filed with the SEC on November 16, 2023).</w:t>
              </w:r>
            </w:hyperlink>
          </w:p>
        </w:tc>
        <w:tc>
          <w:tcPr>
            <w:tcW w:w="180" w:type="dxa"/>
            <w:vAlign w:val="bottom"/>
            <w:gridSpan w:val="6"/>
          </w:tcPr>
          <w:p>
            <w:pPr>
              <w:spacing w:after="0"/>
              <w:rPr>
                <w:sz w:val="11"/>
                <w:szCs w:val="11"/>
                <w:color w:val="auto"/>
              </w:rPr>
            </w:pPr>
          </w:p>
        </w:tc>
      </w:tr>
      <w:tr>
        <w:trPr>
          <w:trHeight w:val="190"/>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10.32</w:t>
            </w:r>
          </w:p>
        </w:tc>
        <w:tc>
          <w:tcPr>
            <w:tcW w:w="25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6"/>
              </w:rPr>
              <w:t>MarketWise, Inc. Insider Trading Policy</w:t>
            </w:r>
          </w:p>
        </w:tc>
        <w:tc>
          <w:tcPr>
            <w:tcW w:w="2100" w:type="dxa"/>
            <w:vAlign w:val="bottom"/>
            <w:tcBorders>
              <w:top w:val="single" w:sz="8" w:color="0000FF"/>
            </w:tcBorders>
            <w:gridSpan w:val="7"/>
          </w:tcPr>
          <w:p>
            <w:pPr>
              <w:spacing w:after="0"/>
              <w:rPr>
                <w:sz w:val="16"/>
                <w:szCs w:val="16"/>
                <w:color w:val="auto"/>
              </w:rPr>
            </w:pPr>
          </w:p>
        </w:tc>
        <w:tc>
          <w:tcPr>
            <w:tcW w:w="5260" w:type="dxa"/>
            <w:vAlign w:val="bottom"/>
            <w:gridSpan w:val="26"/>
          </w:tcPr>
          <w:p>
            <w:pPr>
              <w:spacing w:after="0"/>
              <w:rPr>
                <w:sz w:val="16"/>
                <w:szCs w:val="16"/>
                <w:color w:val="auto"/>
              </w:rPr>
            </w:pPr>
          </w:p>
        </w:tc>
      </w:tr>
      <w:tr>
        <w:trPr>
          <w:trHeight w:val="179"/>
        </w:trPr>
        <w:tc>
          <w:tcPr>
            <w:tcW w:w="136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21.1</w:t>
            </w:r>
          </w:p>
        </w:tc>
        <w:tc>
          <w:tcPr>
            <w:tcW w:w="9880" w:type="dxa"/>
            <w:vAlign w:val="bottom"/>
            <w:gridSpan w:val="36"/>
          </w:tcPr>
          <w:p>
            <w:pPr>
              <w:spacing w:after="0" w:line="179" w:lineRule="exact"/>
              <w:rPr>
                <w:sz w:val="20"/>
                <w:szCs w:val="20"/>
                <w:color w:val="auto"/>
              </w:rPr>
            </w:pPr>
            <w:r>
              <w:rPr>
                <w:rFonts w:ascii="Times New Roman" w:cs="Times New Roman" w:eastAsia="Times New Roman" w:hAnsi="Times New Roman"/>
                <w:sz w:val="16"/>
                <w:szCs w:val="16"/>
                <w:color w:val="0000FF"/>
              </w:rPr>
              <w:t>List of Subsidiaries of MarketWise, Inc.</w:t>
            </w:r>
          </w:p>
        </w:tc>
      </w:tr>
      <w:tr>
        <w:trPr>
          <w:trHeight w:val="179"/>
        </w:trPr>
        <w:tc>
          <w:tcPr>
            <w:tcW w:w="136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23.1</w:t>
            </w:r>
          </w:p>
        </w:tc>
        <w:tc>
          <w:tcPr>
            <w:tcW w:w="2080" w:type="dxa"/>
            <w:vAlign w:val="bottom"/>
            <w:tcBorders>
              <w:top w:val="single" w:sz="8" w:color="0000FF"/>
              <w:bottom w:val="single" w:sz="8" w:color="0000FF"/>
            </w:tcBorders>
          </w:tcPr>
          <w:p>
            <w:pPr>
              <w:spacing w:after="0" w:line="179" w:lineRule="exact"/>
              <w:rPr>
                <w:sz w:val="20"/>
                <w:szCs w:val="20"/>
                <w:color w:val="auto"/>
              </w:rPr>
            </w:pPr>
            <w:r>
              <w:rPr>
                <w:rFonts w:ascii="Times New Roman" w:cs="Times New Roman" w:eastAsia="Times New Roman" w:hAnsi="Times New Roman"/>
                <w:sz w:val="16"/>
                <w:szCs w:val="16"/>
                <w:color w:val="0000FF"/>
                <w:w w:val="96"/>
              </w:rPr>
              <w:t>Consents of Experts and Counsel</w:t>
            </w:r>
          </w:p>
        </w:tc>
        <w:tc>
          <w:tcPr>
            <w:tcW w:w="420" w:type="dxa"/>
            <w:vAlign w:val="bottom"/>
            <w:tcBorders>
              <w:top w:val="single" w:sz="8" w:color="0000FF"/>
            </w:tcBorders>
          </w:tcPr>
          <w:p>
            <w:pPr>
              <w:spacing w:after="0"/>
              <w:rPr>
                <w:sz w:val="15"/>
                <w:szCs w:val="15"/>
                <w:color w:val="auto"/>
              </w:rPr>
            </w:pPr>
          </w:p>
        </w:tc>
        <w:tc>
          <w:tcPr>
            <w:tcW w:w="7380" w:type="dxa"/>
            <w:vAlign w:val="bottom"/>
            <w:gridSpan w:val="34"/>
          </w:tcPr>
          <w:p>
            <w:pPr>
              <w:spacing w:after="0"/>
              <w:rPr>
                <w:sz w:val="15"/>
                <w:szCs w:val="15"/>
                <w:color w:val="auto"/>
              </w:rPr>
            </w:pPr>
          </w:p>
        </w:tc>
      </w:tr>
      <w:tr>
        <w:trPr>
          <w:trHeight w:val="179"/>
        </w:trPr>
        <w:tc>
          <w:tcPr>
            <w:tcW w:w="136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31.1</w:t>
            </w:r>
          </w:p>
        </w:tc>
        <w:tc>
          <w:tcPr>
            <w:tcW w:w="9880" w:type="dxa"/>
            <w:vAlign w:val="bottom"/>
            <w:gridSpan w:val="36"/>
          </w:tcPr>
          <w:p>
            <w:pPr>
              <w:spacing w:after="0" w:line="179" w:lineRule="exact"/>
              <w:rPr>
                <w:sz w:val="20"/>
                <w:szCs w:val="20"/>
                <w:color w:val="auto"/>
              </w:rPr>
            </w:pPr>
            <w:r>
              <w:rPr>
                <w:rFonts w:ascii="Times New Roman" w:cs="Times New Roman" w:eastAsia="Times New Roman" w:hAnsi="Times New Roman"/>
                <w:sz w:val="16"/>
                <w:szCs w:val="16"/>
                <w:color w:val="0000FF"/>
                <w:w w:val="99"/>
              </w:rPr>
              <w:t>Certification of Principal Executive Officer Pursuant to Rules 13a-14(a) and 15d-14(a) under the Securities Exchange Act of 1934, as Adopted Pursuant to</w:t>
            </w:r>
          </w:p>
        </w:tc>
      </w:tr>
      <w:tr>
        <w:trPr>
          <w:trHeight w:val="132"/>
        </w:trPr>
        <w:tc>
          <w:tcPr>
            <w:tcW w:w="1360" w:type="dxa"/>
            <w:vAlign w:val="bottom"/>
          </w:tcPr>
          <w:p>
            <w:pPr>
              <w:spacing w:after="0"/>
              <w:rPr>
                <w:sz w:val="11"/>
                <w:szCs w:val="11"/>
                <w:color w:val="auto"/>
              </w:rPr>
            </w:pPr>
          </w:p>
        </w:tc>
        <w:tc>
          <w:tcPr>
            <w:tcW w:w="3000" w:type="dxa"/>
            <w:vAlign w:val="bottom"/>
            <w:tcBorders>
              <w:top w:val="single" w:sz="8" w:color="0000FF"/>
              <w:bottom w:val="single" w:sz="8" w:color="0000FF"/>
            </w:tcBorders>
            <w:gridSpan w:val="4"/>
          </w:tcPr>
          <w:p>
            <w:pPr>
              <w:spacing w:after="0" w:line="132" w:lineRule="exact"/>
              <w:rPr>
                <w:sz w:val="20"/>
                <w:szCs w:val="20"/>
                <w:color w:val="auto"/>
              </w:rPr>
            </w:pPr>
            <w:r>
              <w:rPr>
                <w:rFonts w:ascii="Times New Roman" w:cs="Times New Roman" w:eastAsia="Times New Roman" w:hAnsi="Times New Roman"/>
                <w:sz w:val="14"/>
                <w:szCs w:val="14"/>
                <w:color w:val="0000FF"/>
              </w:rPr>
              <w:t>Section 302 of the Sarbanes-Oxley Act of 2002.</w:t>
            </w:r>
          </w:p>
        </w:tc>
        <w:tc>
          <w:tcPr>
            <w:tcW w:w="6680" w:type="dxa"/>
            <w:vAlign w:val="bottom"/>
            <w:tcBorders>
              <w:top w:val="single" w:sz="8" w:color="0000FF"/>
            </w:tcBorders>
            <w:gridSpan w:val="25"/>
          </w:tcPr>
          <w:p>
            <w:pPr>
              <w:spacing w:after="0"/>
              <w:rPr>
                <w:sz w:val="11"/>
                <w:szCs w:val="11"/>
                <w:color w:val="auto"/>
              </w:rPr>
            </w:pPr>
          </w:p>
        </w:tc>
        <w:tc>
          <w:tcPr>
            <w:tcW w:w="200" w:type="dxa"/>
            <w:vAlign w:val="bottom"/>
            <w:gridSpan w:val="7"/>
          </w:tcPr>
          <w:p>
            <w:pPr>
              <w:spacing w:after="0"/>
              <w:rPr>
                <w:sz w:val="11"/>
                <w:szCs w:val="11"/>
                <w:color w:val="auto"/>
              </w:rPr>
            </w:pPr>
          </w:p>
        </w:tc>
      </w:tr>
      <w:tr>
        <w:trPr>
          <w:trHeight w:val="190"/>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9880" w:type="dxa"/>
            <w:vAlign w:val="bottom"/>
            <w:gridSpan w:val="36"/>
          </w:tcPr>
          <w:p>
            <w:pPr>
              <w:spacing w:after="0"/>
              <w:rPr>
                <w:sz w:val="20"/>
                <w:szCs w:val="20"/>
                <w:color w:val="auto"/>
              </w:rPr>
            </w:pPr>
            <w:r>
              <w:rPr>
                <w:rFonts w:ascii="Times New Roman" w:cs="Times New Roman" w:eastAsia="Times New Roman" w:hAnsi="Times New Roman"/>
                <w:sz w:val="16"/>
                <w:szCs w:val="16"/>
                <w:color w:val="0000FF"/>
                <w:w w:val="99"/>
              </w:rPr>
              <w:t>Certification of Principal Financial Officer Pursuant to Rules 13a-14(a) and 15d-14(a) under the Securities Exchange Act of 1934, as Adopted Pursuant to</w:t>
            </w:r>
          </w:p>
        </w:tc>
      </w:tr>
      <w:tr>
        <w:trPr>
          <w:trHeight w:val="132"/>
        </w:trPr>
        <w:tc>
          <w:tcPr>
            <w:tcW w:w="1360" w:type="dxa"/>
            <w:vAlign w:val="bottom"/>
          </w:tcPr>
          <w:p>
            <w:pPr>
              <w:spacing w:after="0"/>
              <w:rPr>
                <w:sz w:val="11"/>
                <w:szCs w:val="11"/>
                <w:color w:val="auto"/>
              </w:rPr>
            </w:pPr>
          </w:p>
        </w:tc>
        <w:tc>
          <w:tcPr>
            <w:tcW w:w="3000" w:type="dxa"/>
            <w:vAlign w:val="bottom"/>
            <w:tcBorders>
              <w:top w:val="single" w:sz="8" w:color="0000FF"/>
              <w:bottom w:val="single" w:sz="8" w:color="0000FF"/>
            </w:tcBorders>
            <w:gridSpan w:val="4"/>
          </w:tcPr>
          <w:p>
            <w:pPr>
              <w:spacing w:after="0" w:line="132" w:lineRule="exact"/>
              <w:rPr>
                <w:sz w:val="20"/>
                <w:szCs w:val="20"/>
                <w:color w:val="auto"/>
              </w:rPr>
            </w:pPr>
            <w:r>
              <w:rPr>
                <w:rFonts w:ascii="Times New Roman" w:cs="Times New Roman" w:eastAsia="Times New Roman" w:hAnsi="Times New Roman"/>
                <w:sz w:val="14"/>
                <w:szCs w:val="14"/>
                <w:color w:val="0000FF"/>
              </w:rPr>
              <w:t>Section 302 of the Sarbanes-Oxley Act of 2002.</w:t>
            </w:r>
          </w:p>
        </w:tc>
        <w:tc>
          <w:tcPr>
            <w:tcW w:w="6620" w:type="dxa"/>
            <w:vAlign w:val="bottom"/>
            <w:tcBorders>
              <w:top w:val="single" w:sz="8" w:color="0000FF"/>
            </w:tcBorders>
            <w:gridSpan w:val="22"/>
          </w:tcPr>
          <w:p>
            <w:pPr>
              <w:spacing w:after="0"/>
              <w:rPr>
                <w:sz w:val="11"/>
                <w:szCs w:val="11"/>
                <w:color w:val="auto"/>
              </w:rPr>
            </w:pPr>
          </w:p>
        </w:tc>
        <w:tc>
          <w:tcPr>
            <w:tcW w:w="260" w:type="dxa"/>
            <w:vAlign w:val="bottom"/>
            <w:gridSpan w:val="10"/>
          </w:tcPr>
          <w:p>
            <w:pPr>
              <w:spacing w:after="0"/>
              <w:rPr>
                <w:sz w:val="11"/>
                <w:szCs w:val="11"/>
                <w:color w:val="auto"/>
              </w:rPr>
            </w:pPr>
          </w:p>
        </w:tc>
      </w:tr>
      <w:tr>
        <w:trPr>
          <w:trHeight w:val="190"/>
        </w:trPr>
        <w:tc>
          <w:tcPr>
            <w:tcW w:w="136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954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6"/>
                <w:szCs w:val="16"/>
                <w:color w:val="0000FF"/>
                <w:w w:val="97"/>
              </w:rPr>
              <w:t>Certification of Principal Executive Officer Pursuant to 18 U.S.C. Section 1350, as Adopted Pursuant to Section 906 of the Sarbanes-Oxley Act of 2002.</w:t>
            </w:r>
          </w:p>
        </w:tc>
        <w:tc>
          <w:tcPr>
            <w:tcW w:w="340" w:type="dxa"/>
            <w:vAlign w:val="bottom"/>
            <w:gridSpan w:val="12"/>
          </w:tcPr>
          <w:p>
            <w:pPr>
              <w:spacing w:after="0"/>
              <w:rPr>
                <w:sz w:val="16"/>
                <w:szCs w:val="16"/>
                <w:color w:val="auto"/>
              </w:rPr>
            </w:pPr>
          </w:p>
        </w:tc>
      </w:tr>
      <w:tr>
        <w:trPr>
          <w:trHeight w:val="179"/>
        </w:trPr>
        <w:tc>
          <w:tcPr>
            <w:tcW w:w="136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32.2</w:t>
            </w:r>
          </w:p>
        </w:tc>
        <w:tc>
          <w:tcPr>
            <w:tcW w:w="9880" w:type="dxa"/>
            <w:vAlign w:val="bottom"/>
            <w:gridSpan w:val="36"/>
          </w:tcPr>
          <w:p>
            <w:pPr>
              <w:spacing w:after="0" w:line="179" w:lineRule="exact"/>
              <w:rPr>
                <w:sz w:val="20"/>
                <w:szCs w:val="20"/>
                <w:color w:val="auto"/>
              </w:rPr>
            </w:pPr>
            <w:r>
              <w:rPr>
                <w:rFonts w:ascii="Times New Roman" w:cs="Times New Roman" w:eastAsia="Times New Roman" w:hAnsi="Times New Roman"/>
                <w:sz w:val="16"/>
                <w:szCs w:val="16"/>
                <w:color w:val="0000FF"/>
              </w:rPr>
              <w:t>Certification of Principal Financial Officer Pursuant to 18 U.S.C. Section 1350, as Adopted Pursuant to Section 906 of the Sarbanes-Oxley Act of 2002.</w:t>
            </w:r>
          </w:p>
        </w:tc>
      </w:tr>
      <w:tr>
        <w:trPr>
          <w:trHeight w:val="179"/>
        </w:trPr>
        <w:tc>
          <w:tcPr>
            <w:tcW w:w="136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97.1+</w:t>
            </w:r>
          </w:p>
        </w:tc>
        <w:tc>
          <w:tcPr>
            <w:tcW w:w="9480" w:type="dxa"/>
            <w:vAlign w:val="bottom"/>
            <w:tcBorders>
              <w:top w:val="single" w:sz="8" w:color="0000FF"/>
            </w:tcBorders>
            <w:gridSpan w:val="22"/>
          </w:tcPr>
          <w:p>
            <w:pPr>
              <w:spacing w:after="0" w:line="179" w:lineRule="exact"/>
              <w:rPr>
                <w:sz w:val="20"/>
                <w:szCs w:val="20"/>
                <w:color w:val="auto"/>
              </w:rPr>
            </w:pPr>
            <w:r>
              <w:rPr>
                <w:rFonts w:ascii="Times New Roman" w:cs="Times New Roman" w:eastAsia="Times New Roman" w:hAnsi="Times New Roman"/>
                <w:sz w:val="16"/>
                <w:szCs w:val="16"/>
                <w:color w:val="0000FF"/>
              </w:rPr>
              <w:t>MarketWise, Inc. Policy for Recovery of Erroneously Awarded Compensation.</w:t>
            </w:r>
          </w:p>
        </w:tc>
        <w:tc>
          <w:tcPr>
            <w:tcW w:w="400" w:type="dxa"/>
            <w:vAlign w:val="bottom"/>
            <w:gridSpan w:val="14"/>
          </w:tcPr>
          <w:p>
            <w:pPr>
              <w:spacing w:after="0"/>
              <w:rPr>
                <w:sz w:val="15"/>
                <w:szCs w:val="15"/>
                <w:color w:val="auto"/>
              </w:rPr>
            </w:pPr>
          </w:p>
        </w:tc>
      </w:tr>
      <w:tr>
        <w:trPr>
          <w:trHeight w:val="20"/>
        </w:trPr>
        <w:tc>
          <w:tcPr>
            <w:tcW w:w="1360" w:type="dxa"/>
            <w:vAlign w:val="bottom"/>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148590</wp:posOffset>
            </wp:positionV>
            <wp:extent cx="7176135" cy="400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9">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180"/>
          </w:cols>
          <w:pgMar w:left="360" w:top="1405" w:right="359" w:bottom="1440" w:gutter="0" w:footer="0" w:header="0"/>
        </w:sectPr>
      </w:pPr>
    </w:p>
    <w:bookmarkStart w:id="120" w:name="page121"/>
    <w:bookmarkEnd w:id="120"/>
    <w:tbl>
      <w:tblPr>
        <w:tblLayout w:type="fixed"/>
        <w:tblInd w:w="46" w:type="dxa"/>
        <w:tblCellMar>
          <w:top w:w="0" w:type="dxa"/>
          <w:left w:w="0" w:type="dxa"/>
          <w:bottom w:w="0" w:type="dxa"/>
          <w:right w:w="0" w:type="dxa"/>
        </w:tblCellMar>
      </w:tblPr>
      <w:tr>
        <w:trPr>
          <w:trHeight w:val="199"/>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4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XBRL Instance Document</w:t>
            </w:r>
          </w:p>
        </w:tc>
      </w:tr>
      <w:tr>
        <w:trPr>
          <w:trHeight w:val="199"/>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4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199"/>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4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199"/>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4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199"/>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42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203"/>
        </w:trPr>
        <w:tc>
          <w:tcPr>
            <w:tcW w:w="98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4280" w:type="dxa"/>
            <w:vAlign w:val="bottom"/>
          </w:tcPr>
          <w:p>
            <w:pPr>
              <w:ind w:left="380"/>
              <w:spacing w:after="0"/>
              <w:rPr>
                <w:sz w:val="20"/>
                <w:szCs w:val="20"/>
                <w:color w:val="auto"/>
              </w:rPr>
            </w:pPr>
            <w:r>
              <w:rPr>
                <w:rFonts w:ascii="Times New Roman" w:cs="Times New Roman" w:eastAsia="Times New Roman" w:hAnsi="Times New Roman"/>
                <w:sz w:val="16"/>
                <w:szCs w:val="16"/>
                <w:color w:val="auto"/>
                <w:w w:val="96"/>
              </w:rPr>
              <w:t>XBRL Taxonomy Extension Presentation Linkbase Document</w:t>
            </w:r>
          </w:p>
        </w:tc>
      </w:tr>
    </w:tbl>
    <w:p>
      <w:pPr>
        <w:ind w:left="1406" w:hanging="1368"/>
        <w:spacing w:after="0"/>
        <w:tabs>
          <w:tab w:leader="none" w:pos="1406" w:val="left"/>
        </w:tabs>
        <w:numPr>
          <w:ilvl w:val="1"/>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w:t>
      </w:r>
    </w:p>
    <w:p>
      <w:pPr>
        <w:spacing w:after="0" w:line="174" w:lineRule="exact"/>
        <w:rPr>
          <w:rFonts w:ascii="Times New Roman" w:cs="Times New Roman" w:eastAsia="Times New Roman" w:hAnsi="Times New Roman"/>
          <w:sz w:val="16"/>
          <w:szCs w:val="16"/>
          <w:color w:val="auto"/>
        </w:rPr>
      </w:pPr>
    </w:p>
    <w:p>
      <w:pPr>
        <w:ind w:left="426" w:hanging="426"/>
        <w:spacing w:after="0" w:line="268" w:lineRule="auto"/>
        <w:tabs>
          <w:tab w:leader="none" w:pos="236"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annexes, schedules, and certain exhibits to this exhibit have been omitted pursuant to Item 601(a)(5) of Regulation S-K. The Registrant hereby agrees to furnish supplementally a copy of any omitted annex, schedule, or exhibit to the SEC upon request.</w:t>
      </w:r>
    </w:p>
    <w:p>
      <w:pPr>
        <w:spacing w:after="0" w:line="104" w:lineRule="exact"/>
        <w:rPr>
          <w:sz w:val="20"/>
          <w:szCs w:val="20"/>
          <w:color w:val="auto"/>
        </w:rPr>
      </w:pPr>
    </w:p>
    <w:p>
      <w:pPr>
        <w:ind w:left="6"/>
        <w:spacing w:after="0"/>
        <w:tabs>
          <w:tab w:leader="none" w:pos="226"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4"/>
          <w:szCs w:val="14"/>
          <w:color w:val="auto"/>
        </w:rPr>
        <w:t>Indicates a management contract or compensatory plan.</w:t>
      </w:r>
    </w:p>
    <w:p>
      <w:pPr>
        <w:spacing w:after="0" w:line="200" w:lineRule="exact"/>
        <w:rPr>
          <w:sz w:val="20"/>
          <w:szCs w:val="20"/>
          <w:color w:val="auto"/>
        </w:rPr>
      </w:pPr>
    </w:p>
    <w:p>
      <w:pPr>
        <w:spacing w:after="0" w:line="29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Item 16. Form 10-K Summary.</w:t>
      </w:r>
    </w:p>
    <w:p>
      <w:pPr>
        <w:spacing w:after="0" w:line="14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06"/>
        <w:spacing w:after="0"/>
        <w:rPr>
          <w:sz w:val="20"/>
          <w:szCs w:val="20"/>
          <w:color w:val="auto"/>
        </w:rPr>
      </w:pPr>
      <w:r>
        <w:rPr>
          <w:rFonts w:ascii="Times New Roman" w:cs="Times New Roman" w:eastAsia="Times New Roman" w:hAnsi="Times New Roman"/>
          <w:sz w:val="16"/>
          <w:szCs w:val="16"/>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148590</wp:posOffset>
            </wp:positionV>
            <wp:extent cx="7176135" cy="400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0">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0486"/>
          </w:cols>
          <w:pgMar w:left="314" w:top="1421" w:right="1099" w:bottom="1440" w:gutter="0" w:footer="0" w:header="0"/>
        </w:sectPr>
      </w:pPr>
    </w:p>
    <w:bookmarkStart w:id="121" w:name="page122"/>
    <w:bookmarkEnd w:id="121"/>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5"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as amended, the registrant has duly caused this annual report to be signed on its behalf by the undersigned hereunto duly authorized.</w:t>
      </w:r>
    </w:p>
    <w:p>
      <w:pPr>
        <w:spacing w:after="0" w:line="13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7"/>
          <w:szCs w:val="17"/>
          <w:b w:val="1"/>
          <w:bCs w:val="1"/>
          <w:color w:val="auto"/>
        </w:rPr>
        <w:t>MARKETWISE, INC.</w:t>
      </w:r>
    </w:p>
    <w:p>
      <w:pPr>
        <w:spacing w:after="0" w:line="264" w:lineRule="exact"/>
        <w:rPr>
          <w:sz w:val="20"/>
          <w:szCs w:val="20"/>
          <w:color w:val="auto"/>
        </w:rPr>
      </w:pPr>
    </w:p>
    <w:p>
      <w:pPr>
        <w:ind w:left="20"/>
        <w:spacing w:after="0"/>
        <w:tabs>
          <w:tab w:leader="none" w:pos="5940" w:val="left"/>
        </w:tabs>
        <w:rPr>
          <w:sz w:val="20"/>
          <w:szCs w:val="20"/>
          <w:color w:val="auto"/>
        </w:rPr>
      </w:pPr>
      <w:r>
        <w:rPr>
          <w:rFonts w:ascii="Times New Roman" w:cs="Times New Roman" w:eastAsia="Times New Roman" w:hAnsi="Times New Roman"/>
          <w:sz w:val="16"/>
          <w:szCs w:val="16"/>
          <w:color w:val="auto"/>
        </w:rPr>
        <w:t>Date: March 7, 2024</w:t>
      </w:r>
      <w:r>
        <w:rPr>
          <w:sz w:val="20"/>
          <w:szCs w:val="20"/>
          <w:color w:val="auto"/>
        </w:rPr>
        <w:tab/>
      </w:r>
      <w:r>
        <w:rPr>
          <w:rFonts w:ascii="Times New Roman" w:cs="Times New Roman" w:eastAsia="Times New Roman" w:hAnsi="Times New Roman"/>
          <w:sz w:val="16"/>
          <w:szCs w:val="16"/>
          <w:color w:val="auto"/>
        </w:rPr>
        <w:t>By:</w:t>
      </w:r>
    </w:p>
    <w:p>
      <w:pPr>
        <w:spacing w:after="0" w:line="9"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6"/>
          <w:szCs w:val="16"/>
          <w:color w:val="auto"/>
        </w:rPr>
        <w:t>/s/ Porter Stansberry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4302760</wp:posOffset>
            </wp:positionH>
            <wp:positionV relativeFrom="paragraph">
              <wp:posOffset>1270</wp:posOffset>
            </wp:positionV>
            <wp:extent cx="2844165"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1">
                      <a:extLst>
                        <a:ext uri="{28A0092B-C50C-407E-A947-70E740481C1C}"/>
                      </a:extLst>
                    </a:blip>
                    <a:srcRect/>
                    <a:stretch>
                      <a:fillRect/>
                    </a:stretch>
                  </pic:blipFill>
                  <pic:spPr bwMode="auto">
                    <a:xfrm>
                      <a:off x="0" y="0"/>
                      <a:ext cx="2844165" cy="7620"/>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6"/>
          <w:szCs w:val="16"/>
          <w:color w:val="auto"/>
        </w:rPr>
        <w:t>Name:</w:t>
      </w:r>
    </w:p>
    <w:p>
      <w:pPr>
        <w:ind w:left="6800"/>
        <w:spacing w:after="0"/>
        <w:rPr>
          <w:sz w:val="20"/>
          <w:szCs w:val="20"/>
          <w:color w:val="auto"/>
        </w:rPr>
      </w:pPr>
      <w:r>
        <w:rPr>
          <w:rFonts w:ascii="Times New Roman" w:cs="Times New Roman" w:eastAsia="Times New Roman" w:hAnsi="Times New Roman"/>
          <w:sz w:val="16"/>
          <w:szCs w:val="16"/>
          <w:color w:val="auto"/>
        </w:rPr>
        <w:t>Porter Stansberry</w:t>
      </w:r>
    </w:p>
    <w:p>
      <w:pPr>
        <w:spacing w:after="0" w:line="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Title:</w:t>
      </w:r>
    </w:p>
    <w:p>
      <w:pPr>
        <w:ind w:left="680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0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By:</w:t>
      </w:r>
    </w:p>
    <w:p>
      <w:pPr>
        <w:ind w:left="6800"/>
        <w:spacing w:after="0"/>
        <w:rPr>
          <w:sz w:val="20"/>
          <w:szCs w:val="20"/>
          <w:color w:val="auto"/>
        </w:rPr>
      </w:pPr>
      <w:r>
        <w:rPr>
          <w:rFonts w:ascii="Times New Roman" w:cs="Times New Roman" w:eastAsia="Times New Roman" w:hAnsi="Times New Roman"/>
          <w:sz w:val="16"/>
          <w:szCs w:val="16"/>
          <w:color w:val="auto"/>
        </w:rPr>
        <w:t>/s/ Erik Mickels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4302760</wp:posOffset>
            </wp:positionH>
            <wp:positionV relativeFrom="paragraph">
              <wp:posOffset>1270</wp:posOffset>
            </wp:positionV>
            <wp:extent cx="2844165"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2">
                      <a:extLst>
                        <a:ext uri="{28A0092B-C50C-407E-A947-70E740481C1C}"/>
                      </a:extLst>
                    </a:blip>
                    <a:srcRect/>
                    <a:stretch>
                      <a:fillRect/>
                    </a:stretch>
                  </pic:blipFill>
                  <pic:spPr bwMode="auto">
                    <a:xfrm>
                      <a:off x="0" y="0"/>
                      <a:ext cx="2844165" cy="7620"/>
                    </a:xfrm>
                    <a:prstGeom prst="rect">
                      <a:avLst/>
                    </a:prstGeom>
                    <a:noFill/>
                  </pic:spPr>
                </pic:pic>
              </a:graphicData>
            </a:graphic>
          </wp:anchor>
        </w:drawing>
      </w:r>
    </w:p>
    <w:p>
      <w:pPr>
        <w:ind w:left="5960"/>
        <w:spacing w:after="0"/>
        <w:rPr>
          <w:sz w:val="20"/>
          <w:szCs w:val="20"/>
          <w:color w:val="auto"/>
        </w:rPr>
      </w:pPr>
      <w:r>
        <w:rPr>
          <w:rFonts w:ascii="Times New Roman" w:cs="Times New Roman" w:eastAsia="Times New Roman" w:hAnsi="Times New Roman"/>
          <w:sz w:val="16"/>
          <w:szCs w:val="16"/>
          <w:color w:val="auto"/>
        </w:rPr>
        <w:t>Name:</w:t>
      </w:r>
    </w:p>
    <w:p>
      <w:pPr>
        <w:ind w:left="6800"/>
        <w:spacing w:after="0"/>
        <w:rPr>
          <w:sz w:val="20"/>
          <w:szCs w:val="20"/>
          <w:color w:val="auto"/>
        </w:rPr>
      </w:pPr>
      <w:r>
        <w:rPr>
          <w:rFonts w:ascii="Times New Roman" w:cs="Times New Roman" w:eastAsia="Times New Roman" w:hAnsi="Times New Roman"/>
          <w:sz w:val="16"/>
          <w:szCs w:val="16"/>
          <w:color w:val="auto"/>
        </w:rPr>
        <w:t>Erik Mickels</w:t>
      </w:r>
    </w:p>
    <w:p>
      <w:pPr>
        <w:spacing w:after="0" w:line="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6"/>
          <w:szCs w:val="16"/>
          <w:color w:val="auto"/>
        </w:rPr>
        <w:t>Title:</w:t>
      </w:r>
    </w:p>
    <w:p>
      <w:pPr>
        <w:ind w:left="680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POWER OF ATTORNEY</w:t>
      </w:r>
    </w:p>
    <w:p>
      <w:pPr>
        <w:spacing w:after="0" w:line="14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6"/>
          <w:szCs w:val="16"/>
          <w:color w:val="auto"/>
        </w:rPr>
        <w:t>KNOW ALL PERSONS BY THESE PRESENTS, that each person whose signature appears below constitutes and appoints Porter Stansberry and Erik Mickels, and each of them, with full power to act without the other, such person’s true and lawful attorneys-in-fact and agents, with full power of substitution and resubstitution, for him or her and in his or her name, place and stead, in any and all capacities, to sign this Form 10-K and any and all amendments thereto, and to file the same, with exhibits and schedules thereto, and other documents in connection therewith, with the Securities and Exchange Commission, granting unto said attorneys-in-fact and agents, and each of them, full power and authority to do and perform each and every act and thing necessary or desirable to be done in and about the premises,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1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this report has been signed below by the following persons on behalf of the registrant and in the capacities and on the dates indicated.</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148590</wp:posOffset>
            </wp:positionV>
            <wp:extent cx="7176135" cy="400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3">
                      <a:extLst>
                        <a:ext uri="{28A0092B-C50C-407E-A947-70E740481C1C}"/>
                      </a:extLst>
                    </a:blip>
                    <a:srcRect/>
                    <a:stretch>
                      <a:fillRect/>
                    </a:stretch>
                  </pic:blipFill>
                  <pic:spPr bwMode="auto">
                    <a:xfrm>
                      <a:off x="0" y="0"/>
                      <a:ext cx="7176135" cy="4000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122" w:name="page123"/>
    <w:bookmarkEnd w:id="122"/>
    <w:p>
      <w:pPr>
        <w:jc w:val="center"/>
        <w:ind w:right="1500"/>
        <w:spacing w:after="0"/>
        <w:rPr>
          <w:sz w:val="20"/>
          <w:szCs w:val="20"/>
          <w:color w:val="auto"/>
        </w:rPr>
      </w:pPr>
      <w:r>
        <w:rPr>
          <w:rFonts w:ascii="Times New Roman" w:cs="Times New Roman" w:eastAsia="Times New Roman" w:hAnsi="Times New Roman"/>
          <w:sz w:val="12"/>
          <w:szCs w:val="12"/>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30480</wp:posOffset>
            </wp:positionV>
            <wp:extent cx="274764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4">
                      <a:extLst>
                        <a:ext uri="{28A0092B-C50C-407E-A947-70E740481C1C}"/>
                      </a:extLst>
                    </a:blip>
                    <a:srcRect/>
                    <a:stretch>
                      <a:fillRect/>
                    </a:stretch>
                  </pic:blipFill>
                  <pic:spPr bwMode="auto">
                    <a:xfrm>
                      <a:off x="0" y="0"/>
                      <a:ext cx="2747645" cy="7620"/>
                    </a:xfrm>
                    <a:prstGeom prst="rect">
                      <a:avLst/>
                    </a:prstGeom>
                    <a:noFill/>
                  </pic:spPr>
                </pic:pic>
              </a:graphicData>
            </a:graphic>
          </wp:anchor>
        </w:drawing>
      </w:r>
    </w:p>
    <w:p>
      <w:pPr>
        <w:spacing w:after="0" w:line="81"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14"/>
          <w:szCs w:val="14"/>
          <w:color w:val="auto"/>
        </w:rPr>
        <w:t>/s/ Porter Stansberry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41910</wp:posOffset>
            </wp:positionV>
            <wp:extent cx="2747645"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5">
                      <a:extLst>
                        <a:ext uri="{28A0092B-C50C-407E-A947-70E740481C1C}"/>
                      </a:extLst>
                    </a:blip>
                    <a:srcRect/>
                    <a:stretch>
                      <a:fillRect/>
                    </a:stretch>
                  </pic:blipFill>
                  <pic:spPr bwMode="auto">
                    <a:xfrm>
                      <a:off x="0" y="0"/>
                      <a:ext cx="2747645" cy="7620"/>
                    </a:xfrm>
                    <a:prstGeom prst="rect">
                      <a:avLst/>
                    </a:prstGeom>
                    <a:noFill/>
                  </pic:spPr>
                </pic:pic>
              </a:graphicData>
            </a:graphic>
          </wp:anchor>
        </w:drawing>
      </w:r>
    </w:p>
    <w:p>
      <w:pPr>
        <w:spacing w:after="0" w:line="65"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16"/>
          <w:szCs w:val="16"/>
          <w:color w:val="auto"/>
        </w:rPr>
        <w:t>Porter Stansberry</w:t>
      </w:r>
    </w:p>
    <w:p>
      <w:pPr>
        <w:spacing w:after="0" w:line="272"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16"/>
          <w:szCs w:val="16"/>
          <w:color w:val="auto"/>
        </w:rPr>
        <w:t>/s/ Erik Mickels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27305</wp:posOffset>
            </wp:positionV>
            <wp:extent cx="2747645"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6">
                      <a:extLst>
                        <a:ext uri="{28A0092B-C50C-407E-A947-70E740481C1C}"/>
                      </a:extLst>
                    </a:blip>
                    <a:srcRect/>
                    <a:stretch>
                      <a:fillRect/>
                    </a:stretch>
                  </pic:blipFill>
                  <pic:spPr bwMode="auto">
                    <a:xfrm>
                      <a:off x="0" y="0"/>
                      <a:ext cx="2747645" cy="7620"/>
                    </a:xfrm>
                    <a:prstGeom prst="rect">
                      <a:avLst/>
                    </a:prstGeom>
                    <a:noFill/>
                  </pic:spPr>
                </pic:pic>
              </a:graphicData>
            </a:graphic>
          </wp:anchor>
        </w:drawing>
      </w:r>
    </w:p>
    <w:p>
      <w:pPr>
        <w:spacing w:after="0" w:line="42"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16"/>
          <w:szCs w:val="16"/>
          <w:color w:val="auto"/>
        </w:rPr>
        <w:t>Erik Mickels</w:t>
      </w:r>
    </w:p>
    <w:p>
      <w:pPr>
        <w:spacing w:after="0" w:line="272"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16"/>
          <w:szCs w:val="16"/>
          <w:color w:val="auto"/>
        </w:rPr>
        <w:t>/s/ Dr. David Eifrig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27305</wp:posOffset>
            </wp:positionV>
            <wp:extent cx="2747645"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7">
                      <a:extLst>
                        <a:ext uri="{28A0092B-C50C-407E-A947-70E740481C1C}"/>
                      </a:extLst>
                    </a:blip>
                    <a:srcRect/>
                    <a:stretch>
                      <a:fillRect/>
                    </a:stretch>
                  </pic:blipFill>
                  <pic:spPr bwMode="auto">
                    <a:xfrm>
                      <a:off x="0" y="0"/>
                      <a:ext cx="2747645" cy="7620"/>
                    </a:xfrm>
                    <a:prstGeom prst="rect">
                      <a:avLst/>
                    </a:prstGeom>
                    <a:noFill/>
                  </pic:spPr>
                </pic:pic>
              </a:graphicData>
            </a:graphic>
          </wp:anchor>
        </w:drawing>
      </w:r>
    </w:p>
    <w:p>
      <w:pPr>
        <w:spacing w:after="0" w:line="42"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16"/>
          <w:szCs w:val="16"/>
          <w:color w:val="auto"/>
        </w:rPr>
        <w:t>Dr. David Eifrig</w:t>
      </w:r>
    </w:p>
    <w:p>
      <w:pPr>
        <w:spacing w:after="0" w:line="272"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16"/>
          <w:szCs w:val="16"/>
          <w:color w:val="auto"/>
        </w:rPr>
        <w:t>/s/ Michael Palmer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27305</wp:posOffset>
            </wp:positionV>
            <wp:extent cx="274764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8">
                      <a:extLst>
                        <a:ext uri="{28A0092B-C50C-407E-A947-70E740481C1C}"/>
                      </a:extLst>
                    </a:blip>
                    <a:srcRect/>
                    <a:stretch>
                      <a:fillRect/>
                    </a:stretch>
                  </pic:blipFill>
                  <pic:spPr bwMode="auto">
                    <a:xfrm>
                      <a:off x="0" y="0"/>
                      <a:ext cx="2747645" cy="7620"/>
                    </a:xfrm>
                    <a:prstGeom prst="rect">
                      <a:avLst/>
                    </a:prstGeom>
                    <a:noFill/>
                  </pic:spPr>
                </pic:pic>
              </a:graphicData>
            </a:graphic>
          </wp:anchor>
        </w:drawing>
      </w:r>
    </w:p>
    <w:p>
      <w:pPr>
        <w:spacing w:after="0" w:line="42"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16"/>
          <w:szCs w:val="16"/>
          <w:color w:val="auto"/>
        </w:rPr>
        <w:t>Michael Palmer</w:t>
      </w:r>
    </w:p>
    <w:p>
      <w:pPr>
        <w:spacing w:after="0" w:line="272"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16"/>
          <w:szCs w:val="16"/>
          <w:color w:val="auto"/>
        </w:rPr>
        <w:t>/s/ Van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27305</wp:posOffset>
            </wp:positionV>
            <wp:extent cx="2747645"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9">
                      <a:extLst>
                        <a:ext uri="{28A0092B-C50C-407E-A947-70E740481C1C}"/>
                      </a:extLst>
                    </a:blip>
                    <a:srcRect/>
                    <a:stretch>
                      <a:fillRect/>
                    </a:stretch>
                  </pic:blipFill>
                  <pic:spPr bwMode="auto">
                    <a:xfrm>
                      <a:off x="0" y="0"/>
                      <a:ext cx="2747645" cy="7620"/>
                    </a:xfrm>
                    <a:prstGeom prst="rect">
                      <a:avLst/>
                    </a:prstGeom>
                    <a:noFill/>
                  </pic:spPr>
                </pic:pic>
              </a:graphicData>
            </a:graphic>
          </wp:anchor>
        </w:drawing>
      </w:r>
    </w:p>
    <w:p>
      <w:pPr>
        <w:spacing w:after="0" w:line="42"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16"/>
          <w:szCs w:val="16"/>
          <w:color w:val="auto"/>
        </w:rPr>
        <w:t>Van Simmons</w:t>
      </w:r>
    </w:p>
    <w:p>
      <w:pPr>
        <w:spacing w:after="0" w:line="272"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16"/>
          <w:szCs w:val="16"/>
          <w:color w:val="auto"/>
        </w:rPr>
        <w:t>/s/ Matthew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27305</wp:posOffset>
            </wp:positionV>
            <wp:extent cx="274764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0">
                      <a:extLst>
                        <a:ext uri="{28A0092B-C50C-407E-A947-70E740481C1C}"/>
                      </a:extLst>
                    </a:blip>
                    <a:srcRect/>
                    <a:stretch>
                      <a:fillRect/>
                    </a:stretch>
                  </pic:blipFill>
                  <pic:spPr bwMode="auto">
                    <a:xfrm>
                      <a:off x="0" y="0"/>
                      <a:ext cx="2747645" cy="7620"/>
                    </a:xfrm>
                    <a:prstGeom prst="rect">
                      <a:avLst/>
                    </a:prstGeom>
                    <a:noFill/>
                  </pic:spPr>
                </pic:pic>
              </a:graphicData>
            </a:graphic>
          </wp:anchor>
        </w:drawing>
      </w:r>
    </w:p>
    <w:p>
      <w:pPr>
        <w:spacing w:after="0" w:line="42"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16"/>
          <w:szCs w:val="16"/>
          <w:color w:val="auto"/>
        </w:rPr>
        <w:t>Matthew Smith</w:t>
      </w:r>
    </w:p>
    <w:p>
      <w:pPr>
        <w:spacing w:after="0" w:line="272"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16"/>
          <w:szCs w:val="16"/>
          <w:color w:val="auto"/>
        </w:rPr>
        <w:t>/s/ Glenn Tongue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27305</wp:posOffset>
            </wp:positionV>
            <wp:extent cx="2747645"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1">
                      <a:extLst>
                        <a:ext uri="{28A0092B-C50C-407E-A947-70E740481C1C}"/>
                      </a:extLst>
                    </a:blip>
                    <a:srcRect/>
                    <a:stretch>
                      <a:fillRect/>
                    </a:stretch>
                  </pic:blipFill>
                  <pic:spPr bwMode="auto">
                    <a:xfrm>
                      <a:off x="0" y="0"/>
                      <a:ext cx="2747645" cy="7620"/>
                    </a:xfrm>
                    <a:prstGeom prst="rect">
                      <a:avLst/>
                    </a:prstGeom>
                    <a:noFill/>
                  </pic:spPr>
                </pic:pic>
              </a:graphicData>
            </a:graphic>
          </wp:anchor>
        </w:drawing>
      </w:r>
    </w:p>
    <w:p>
      <w:pPr>
        <w:spacing w:after="0" w:line="42"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16"/>
          <w:szCs w:val="16"/>
          <w:color w:val="auto"/>
        </w:rPr>
        <w:t>Glenn Tongue</w:t>
      </w:r>
    </w:p>
    <w:p>
      <w:pPr>
        <w:spacing w:after="0" w:line="272"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16"/>
          <w:szCs w:val="16"/>
          <w:color w:val="auto"/>
        </w:rPr>
        <w:t>/s/ Matthew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27305</wp:posOffset>
            </wp:positionV>
            <wp:extent cx="2747645"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2">
                      <a:extLst>
                        <a:ext uri="{28A0092B-C50C-407E-A947-70E740481C1C}"/>
                      </a:extLst>
                    </a:blip>
                    <a:srcRect/>
                    <a:stretch>
                      <a:fillRect/>
                    </a:stretch>
                  </pic:blipFill>
                  <pic:spPr bwMode="auto">
                    <a:xfrm>
                      <a:off x="0" y="0"/>
                      <a:ext cx="2747645" cy="7620"/>
                    </a:xfrm>
                    <a:prstGeom prst="rect">
                      <a:avLst/>
                    </a:prstGeom>
                    <a:noFill/>
                  </pic:spPr>
                </pic:pic>
              </a:graphicData>
            </a:graphic>
          </wp:anchor>
        </w:drawing>
      </w:r>
    </w:p>
    <w:p>
      <w:pPr>
        <w:spacing w:after="0" w:line="42"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16"/>
          <w:szCs w:val="16"/>
          <w:color w:val="auto"/>
        </w:rPr>
        <w:t>Matthew Turner</w:t>
      </w:r>
    </w:p>
    <w:p>
      <w:pPr>
        <w:spacing w:after="0" w:line="20" w:lineRule="exact"/>
        <w:rPr>
          <w:sz w:val="20"/>
          <w:szCs w:val="20"/>
          <w:color w:val="auto"/>
        </w:rPr>
      </w:pPr>
      <w:r>
        <w:rPr>
          <w:sz w:val="20"/>
          <w:szCs w:val="20"/>
          <w:color w:val="auto"/>
        </w:rPr>
        <w:br w:type="column"/>
      </w:r>
    </w:p>
    <w:p>
      <w:pPr>
        <w:jc w:val="center"/>
        <w:ind w:right="880"/>
        <w:spacing w:after="0"/>
        <w:rPr>
          <w:sz w:val="20"/>
          <w:szCs w:val="20"/>
          <w:color w:val="auto"/>
        </w:rPr>
      </w:pPr>
      <w:r>
        <w:rPr>
          <w:rFonts w:ascii="Times New Roman" w:cs="Times New Roman" w:eastAsia="Times New Roman" w:hAnsi="Times New Roman"/>
          <w:sz w:val="12"/>
          <w:szCs w:val="12"/>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30480</wp:posOffset>
            </wp:positionV>
            <wp:extent cx="3029585"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3">
                      <a:extLst>
                        <a:ext uri="{28A0092B-C50C-407E-A947-70E740481C1C}"/>
                      </a:extLst>
                    </a:blip>
                    <a:srcRect/>
                    <a:stretch>
                      <a:fillRect/>
                    </a:stretch>
                  </pic:blipFill>
                  <pic:spPr bwMode="auto">
                    <a:xfrm>
                      <a:off x="0" y="0"/>
                      <a:ext cx="3029585" cy="7620"/>
                    </a:xfrm>
                    <a:prstGeom prst="rect">
                      <a:avLst/>
                    </a:prstGeom>
                    <a:noFill/>
                  </pic:spPr>
                </pic:pic>
              </a:graphicData>
            </a:graphic>
          </wp:anchor>
        </w:drawing>
      </w:r>
    </w:p>
    <w:p>
      <w:pPr>
        <w:spacing w:after="0" w:line="1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Chief Executive Officer and Chairman</w:t>
      </w:r>
    </w:p>
    <w:p>
      <w:pPr>
        <w:ind w:left="48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334"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6"/>
          <w:szCs w:val="16"/>
          <w:color w:val="auto"/>
        </w:rPr>
        <w:t>Chief Financial Officer</w:t>
      </w:r>
    </w:p>
    <w:p>
      <w:pPr>
        <w:jc w:val="center"/>
        <w:ind w:right="880"/>
        <w:spacing w:after="0"/>
        <w:rPr>
          <w:sz w:val="20"/>
          <w:szCs w:val="20"/>
          <w:color w:val="auto"/>
        </w:rPr>
      </w:pPr>
      <w:r>
        <w:rPr>
          <w:rFonts w:ascii="Times New Roman" w:cs="Times New Roman" w:eastAsia="Times New Roman" w:hAnsi="Times New Roman"/>
          <w:sz w:val="14"/>
          <w:szCs w:val="14"/>
          <w:color w:val="auto"/>
        </w:rPr>
        <w:t>(Principal Financial and Accounting Officer)</w:t>
      </w:r>
    </w:p>
    <w:p>
      <w:pPr>
        <w:spacing w:after="0" w:line="200" w:lineRule="exact"/>
        <w:rPr>
          <w:sz w:val="20"/>
          <w:szCs w:val="20"/>
          <w:color w:val="auto"/>
        </w:rPr>
      </w:pPr>
    </w:p>
    <w:p>
      <w:pPr>
        <w:spacing w:after="0" w:line="2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3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3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3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3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3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123</w:t>
      </w:r>
    </w:p>
    <w:p>
      <w:pPr>
        <w:spacing w:after="0" w:line="20" w:lineRule="exact"/>
        <w:rPr>
          <w:sz w:val="20"/>
          <w:szCs w:val="20"/>
          <w:color w:val="auto"/>
        </w:rPr>
      </w:pPr>
      <w:r>
        <w:rPr>
          <w:sz w:val="20"/>
          <w:szCs w:val="20"/>
          <w:color w:val="auto"/>
        </w:rPr>
        <w:br w:type="column"/>
      </w:r>
    </w:p>
    <w:p>
      <w:pPr>
        <w:ind w:left="340"/>
        <w:spacing w:after="0"/>
        <w:rPr>
          <w:sz w:val="20"/>
          <w:szCs w:val="20"/>
          <w:color w:val="auto"/>
        </w:rPr>
      </w:pPr>
      <w:r>
        <w:rPr>
          <w:rFonts w:ascii="Times New Roman" w:cs="Times New Roman" w:eastAsia="Times New Roman" w:hAnsi="Times New Roman"/>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30480</wp:posOffset>
            </wp:positionV>
            <wp:extent cx="1240155"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4">
                      <a:extLst>
                        <a:ext uri="{28A0092B-C50C-407E-A947-70E740481C1C}"/>
                      </a:extLst>
                    </a:blip>
                    <a:srcRect/>
                    <a:stretch>
                      <a:fillRect/>
                    </a:stretch>
                  </pic:blipFill>
                  <pic:spPr bwMode="auto">
                    <a:xfrm>
                      <a:off x="0" y="0"/>
                      <a:ext cx="1240155" cy="762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7, 2024</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7, 2024</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7, 2024</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7, 2024</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7, 2024</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7, 2024</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7, 2024</w:t>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March 7, 2024</w:t>
      </w:r>
    </w:p>
    <w:p>
      <w:pPr>
        <w:sectPr>
          <w:pgSz w:w="11900" w:h="16838" w:orient="portrait"/>
          <w:cols w:equalWidth="0" w:num="3">
            <w:col w:w="3580" w:space="720"/>
            <w:col w:w="3680" w:space="720"/>
            <w:col w:w="920"/>
          </w:cols>
          <w:pgMar w:left="1440" w:top="784" w:right="8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6"/>
          <w:szCs w:val="16"/>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MARKETWISE, INC.</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SECURITIES REGISTERED UNDER SECTION 12 OF THE SECURITIES EXCHANGE ACT OF 1934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Class A common stock, par value $0.0001 per share (“Class A Common Stock”) of MarketWise, Inc. (“MarketWise”, “we,” “our,” or “us”) is listed on The Nasdaq Stock</w:t>
      </w:r>
    </w:p>
    <w:p>
      <w:pPr>
        <w:spacing w:after="0" w:line="23" w:lineRule="exact"/>
        <w:rPr>
          <w:sz w:val="20"/>
          <w:szCs w:val="20"/>
          <w:color w:val="auto"/>
        </w:rPr>
      </w:pPr>
    </w:p>
    <w:p>
      <w:pPr>
        <w:jc w:val="both"/>
        <w:ind w:right="20"/>
        <w:spacing w:after="0" w:line="219" w:lineRule="auto"/>
        <w:rPr>
          <w:sz w:val="20"/>
          <w:szCs w:val="20"/>
          <w:color w:val="auto"/>
        </w:rPr>
      </w:pPr>
      <w:r>
        <w:rPr>
          <w:rFonts w:ascii="Times New Roman" w:cs="Times New Roman" w:eastAsia="Times New Roman" w:hAnsi="Times New Roman"/>
          <w:sz w:val="16"/>
          <w:szCs w:val="16"/>
          <w:i w:val="1"/>
          <w:iCs w:val="1"/>
          <w:color w:val="auto"/>
        </w:rPr>
        <w:t>Market LLC (“Nasdaq”) under the symbol “MKTW” and is registered under Section 12 of the Securities Exchange Act of 1934. All outstanding shares of Class A Common Stock are validly issued, fully paid and nonassessable.</w:t>
      </w:r>
    </w:p>
    <w:p>
      <w:pPr>
        <w:spacing w:after="0" w:line="89"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16"/>
          <w:szCs w:val="16"/>
          <w:i w:val="1"/>
          <w:iCs w:val="1"/>
          <w:color w:val="auto"/>
        </w:rPr>
        <w:t>The following description of the terms of our common stock is not complete and is qualified in its entirety by reference to our Certificate of Incorporation (the “Charter”), and our Bylaws (the “Bylaws”), both of which are exhibits to our Annual Reports on Form 10-K.</w:t>
      </w:r>
    </w:p>
    <w:p>
      <w:pPr>
        <w:spacing w:after="0" w:line="8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6"/>
          <w:szCs w:val="16"/>
          <w:i w:val="1"/>
          <w:iCs w:val="1"/>
          <w:color w:val="auto"/>
        </w:rPr>
        <w:t>Our authorized capital stock consists of 950,000,000 shares of Class A Common Stock, 300,000,000 shares of Class B common stock, par value $0.0001 per share (“Class B Common Stock”), and 100,000,000 shares of preferred stock, par value $0.0001 per share.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Voting Rights</w:t>
      </w:r>
    </w:p>
    <w:p>
      <w:pPr>
        <w:spacing w:after="0" w:line="110" w:lineRule="exact"/>
        <w:rPr>
          <w:sz w:val="20"/>
          <w:szCs w:val="20"/>
          <w:color w:val="auto"/>
        </w:rPr>
      </w:pPr>
    </w:p>
    <w:p>
      <w:pPr>
        <w:jc w:val="both"/>
        <w:ind w:right="20"/>
        <w:spacing w:after="0" w:line="217" w:lineRule="auto"/>
        <w:rPr>
          <w:sz w:val="20"/>
          <w:szCs w:val="20"/>
          <w:color w:val="auto"/>
        </w:rPr>
      </w:pPr>
      <w:r>
        <w:rPr>
          <w:rFonts w:ascii="Times New Roman" w:cs="Times New Roman" w:eastAsia="Times New Roman" w:hAnsi="Times New Roman"/>
          <w:sz w:val="16"/>
          <w:szCs w:val="16"/>
          <w:color w:val="auto"/>
        </w:rPr>
        <w:t>Holders of shares of our Class A Common Stock and Class B Common Stock are each entitled to one vote for each share held of record on all matters submitted to a vote of stockholders. Holders of shares of our Class A Common Stock will vote together with holders of our Class B Common Stock as a single class on all matters presented to our</w:t>
      </w:r>
    </w:p>
    <w:p>
      <w:pPr>
        <w:spacing w:after="0" w:line="1" w:lineRule="exact"/>
        <w:rPr>
          <w:sz w:val="20"/>
          <w:szCs w:val="20"/>
          <w:color w:val="auto"/>
        </w:rPr>
      </w:pPr>
    </w:p>
    <w:p>
      <w:pPr>
        <w:ind w:right="1320"/>
        <w:spacing w:after="0" w:line="369" w:lineRule="auto"/>
        <w:rPr>
          <w:sz w:val="20"/>
          <w:szCs w:val="20"/>
          <w:color w:val="auto"/>
        </w:rPr>
      </w:pPr>
      <w:r>
        <w:rPr>
          <w:rFonts w:ascii="Times New Roman" w:cs="Times New Roman" w:eastAsia="Times New Roman" w:hAnsi="Times New Roman"/>
          <w:sz w:val="16"/>
          <w:szCs w:val="16"/>
          <w:color w:val="auto"/>
        </w:rPr>
        <w:t xml:space="preserve">stockholders for their vote or approval, except for certain amendments to the Charter described below or as otherwise required by applicable law or the Charter. </w:t>
      </w:r>
      <w:r>
        <w:rPr>
          <w:rFonts w:ascii="Times New Roman" w:cs="Times New Roman" w:eastAsia="Times New Roman" w:hAnsi="Times New Roman"/>
          <w:sz w:val="16"/>
          <w:szCs w:val="16"/>
          <w:b w:val="1"/>
          <w:bCs w:val="1"/>
          <w:color w:val="auto"/>
        </w:rPr>
        <w:t>Dividend Rights</w:t>
      </w:r>
    </w:p>
    <w:p>
      <w:pPr>
        <w:spacing w:after="0" w:line="1" w:lineRule="exact"/>
        <w:rPr>
          <w:sz w:val="20"/>
          <w:szCs w:val="20"/>
          <w:color w:val="auto"/>
        </w:rPr>
      </w:pPr>
    </w:p>
    <w:p>
      <w:pPr>
        <w:jc w:val="both"/>
        <w:ind w:right="20"/>
        <w:spacing w:after="0" w:line="306" w:lineRule="auto"/>
        <w:rPr>
          <w:sz w:val="20"/>
          <w:szCs w:val="20"/>
          <w:color w:val="auto"/>
        </w:rPr>
      </w:pPr>
      <w:r>
        <w:rPr>
          <w:rFonts w:ascii="Times New Roman" w:cs="Times New Roman" w:eastAsia="Times New Roman" w:hAnsi="Times New Roman"/>
          <w:sz w:val="14"/>
          <w:szCs w:val="14"/>
          <w:color w:val="auto"/>
        </w:rPr>
        <w:t>Holders of shares of our Class A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46"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4"/>
          <w:szCs w:val="14"/>
          <w:color w:val="auto"/>
        </w:rPr>
        <w:t>Declaration and payment of any dividend will be subject to the discretion of our board of directors. The time and amount of dividends will be dependent upon our business prospects, results of operations, financial condition, cash requirements and availability, debt repayment obligations, capital expenditure needs, contractual restrictions, covenants in</w:t>
      </w:r>
    </w:p>
    <w:p>
      <w:pPr>
        <w:spacing w:after="0" w:line="1" w:lineRule="exact"/>
        <w:rPr>
          <w:sz w:val="20"/>
          <w:szCs w:val="20"/>
          <w:color w:val="auto"/>
        </w:rPr>
      </w:pPr>
    </w:p>
    <w:p>
      <w:pPr>
        <w:jc w:val="both"/>
        <w:ind w:right="20"/>
        <w:spacing w:after="0" w:line="219" w:lineRule="auto"/>
        <w:rPr>
          <w:sz w:val="20"/>
          <w:szCs w:val="20"/>
          <w:color w:val="auto"/>
        </w:rPr>
      </w:pPr>
      <w:r>
        <w:rPr>
          <w:rFonts w:ascii="Times New Roman" w:cs="Times New Roman" w:eastAsia="Times New Roman" w:hAnsi="Times New Roman"/>
          <w:sz w:val="16"/>
          <w:szCs w:val="16"/>
          <w:color w:val="auto"/>
        </w:rPr>
        <w:t>the agreements governing our current and future indebtedness, industry trends, the provisions of Delaware law affecting the payment of distributions to stockholders, and any other factors our board of directors may consider relevant. We currently intend to declare and pay cash dividends on our Class A Common Stock on a quarterly basis.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Liquidation Rights</w:t>
      </w:r>
    </w:p>
    <w:p>
      <w:pPr>
        <w:spacing w:after="0" w:line="12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Upon our dissolution or liquidation, after payment in full of all amounts required to be paid to creditors and to the holders of preferred stock having liquidation preferences, if any, the holders of shares of our Class A Common Stock and our Class B Common Stock will be entitled to receive ratable portions of the remaining assets available for distribution; provided, that each holder of shares of our Class B Common Stock shall not be entitled to receive more than $0.0001 per share of our Class B Common Stock owned of record by</w:t>
      </w:r>
    </w:p>
    <w:p>
      <w:pPr>
        <w:spacing w:after="0" w:line="1" w:lineRule="exact"/>
        <w:rPr>
          <w:sz w:val="20"/>
          <w:szCs w:val="20"/>
          <w:color w:val="auto"/>
        </w:rPr>
      </w:pPr>
    </w:p>
    <w:p>
      <w:pPr>
        <w:jc w:val="both"/>
        <w:ind w:right="20"/>
        <w:spacing w:after="0" w:line="219" w:lineRule="auto"/>
        <w:rPr>
          <w:sz w:val="20"/>
          <w:szCs w:val="20"/>
          <w:color w:val="auto"/>
        </w:rPr>
      </w:pPr>
      <w:r>
        <w:rPr>
          <w:rFonts w:ascii="Times New Roman" w:cs="Times New Roman" w:eastAsia="Times New Roman" w:hAnsi="Times New Roman"/>
          <w:sz w:val="16"/>
          <w:szCs w:val="16"/>
          <w:color w:val="auto"/>
        </w:rPr>
        <w:t>such holder on the record date for such distribution and, upon receiving such amount, shall not be entitled to receive any other assets or funds with respect to such shares of our Class B Common Stock.</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Other Matters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Holders of shares of our Class A Common Stock do not have preemptive, subscription, redemption, or conversion rights with respect to such shares of our Class A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will be no redemption or sinking fund provisions applicable to our Class A Common Stock.</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Forum Selection</w:t>
      </w:r>
    </w:p>
    <w:p>
      <w:pPr>
        <w:spacing w:after="0" w:line="122" w:lineRule="exact"/>
        <w:rPr>
          <w:sz w:val="20"/>
          <w:szCs w:val="20"/>
          <w:color w:val="auto"/>
        </w:rPr>
      </w:pPr>
    </w:p>
    <w:p>
      <w:pPr>
        <w:jc w:val="both"/>
        <w:ind w:right="20"/>
        <w:spacing w:after="0" w:line="220" w:lineRule="auto"/>
        <w:rPr>
          <w:sz w:val="20"/>
          <w:szCs w:val="20"/>
          <w:color w:val="auto"/>
        </w:rPr>
      </w:pPr>
      <w:r>
        <w:rPr>
          <w:rFonts w:ascii="Times New Roman" w:cs="Times New Roman" w:eastAsia="Times New Roman" w:hAnsi="Times New Roman"/>
          <w:sz w:val="16"/>
          <w:szCs w:val="16"/>
          <w:color w:val="auto"/>
        </w:rPr>
        <w:t>The Charter provides that (A) (i) any derivative action or proceeding brought on our behalf , (ii) any action asserting a claim of breach of a fiduciary duty owed by any of our current or former director, officer, other employee, or stockholder to us or our stockholders, (iii) any action asserting a claim arising pursuant to any provision of the General Corporation Law of the State of Delaware (the “DGCL”), the Charter, or the Bylaws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60"/>
        <w:spacing w:after="0"/>
        <w:rPr>
          <w:sz w:val="20"/>
          <w:szCs w:val="20"/>
          <w:color w:val="auto"/>
        </w:rPr>
      </w:pPr>
      <w:r>
        <w:rPr>
          <w:rFonts w:ascii="Arial" w:cs="Arial" w:eastAsia="Arial" w:hAnsi="Arial"/>
          <w:sz w:val="12"/>
          <w:szCs w:val="12"/>
          <w:color w:val="auto"/>
        </w:rPr>
        <w:t>Doc. # DC-34283344 v.1</w:t>
      </w:r>
    </w:p>
    <w:p>
      <w:pPr>
        <w:sectPr>
          <w:pgSz w:w="11900" w:h="16838" w:orient="portrait"/>
          <w:cols w:equalWidth="0" w:num="1">
            <w:col w:w="11260"/>
          </w:cols>
          <w:pgMar w:left="320" w:top="110" w:right="31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6"/>
          <w:szCs w:val="16"/>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either may be amended or restated) or as to which the DGCL confers exclusive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4"/>
          <w:szCs w:val="14"/>
          <w:color w:val="auto"/>
        </w:rPr>
        <w:t>of Delaware or, if such court does not have subject matter jurisdiction thereof, the federal district court of the State of Delaware; and (B) the federal district courts of the United States shall be the exclusive forum for the resolution of any complaint asserting a cause of action arising under the Securities Act. Notwithstanding the foregoing, the exclusive forum provision shall not apply to claims seeking to enforce any liability or duty created by the Exchange Act. The Charter also provides that, to the fullest extent permitted by law,</w:t>
      </w:r>
    </w:p>
    <w:p>
      <w:pPr>
        <w:spacing w:after="0" w:line="1"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6"/>
          <w:szCs w:val="16"/>
          <w:color w:val="auto"/>
        </w:rPr>
        <w:t>any person or entity purchasing or otherwise acquiring or holding any interest in shares of our capital stock shall be deemed to have notice of and consented to the foregoing. By agreeing to this provision, however, stockholders will not be deemed to have waived compliance with the federal securities laws and the rules and regulations thereunder.</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Classified Board of Directors</w:t>
      </w:r>
    </w:p>
    <w:p>
      <w:pPr>
        <w:spacing w:after="0" w:line="12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The Charter provides that our board of directors is divided into three classes, with the classes as nearly equal in number as possible and each class serving three-year staggered terms. The Charter also provides that, subject to the rights of the holders of any series of preferred stock then outstanding, for as long as the Charter provides for a classified board of directors, any director, or the entire board of directors, may otherwise be removed only for cause by an affirmative vote of at least a majority of the voting power of all the</w:t>
      </w:r>
    </w:p>
    <w:p>
      <w:pPr>
        <w:spacing w:after="0" w:line="1" w:lineRule="exact"/>
        <w:rPr>
          <w:sz w:val="20"/>
          <w:szCs w:val="20"/>
          <w:color w:val="auto"/>
        </w:rPr>
      </w:pPr>
    </w:p>
    <w:p>
      <w:pPr>
        <w:jc w:val="both"/>
        <w:ind w:right="20"/>
        <w:spacing w:after="0" w:line="219" w:lineRule="auto"/>
        <w:rPr>
          <w:sz w:val="20"/>
          <w:szCs w:val="20"/>
          <w:color w:val="auto"/>
        </w:rPr>
      </w:pPr>
      <w:r>
        <w:rPr>
          <w:rFonts w:ascii="Times New Roman" w:cs="Times New Roman" w:eastAsia="Times New Roman" w:hAnsi="Times New Roman"/>
          <w:sz w:val="16"/>
          <w:szCs w:val="16"/>
          <w:color w:val="auto"/>
        </w:rPr>
        <w:t>outstanding shares of our capital stock entitled to vote generally in the election of directors, at a meeting duly called for that purpose. These provisions may have the effect of deferring, delaying, or discouraging hostile takeovers, or changes in control of us or our management.</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Anti-Takeover Provisions</w:t>
      </w:r>
    </w:p>
    <w:p>
      <w:pPr>
        <w:spacing w:after="0" w:line="12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The Charter and Bylaws contain provisions that may delay, defer or discourage another party from acquiring control of us. We expect that these provisions, which are summarized below, will discourage coercive takeover practices or inadequate takeover bids. These provisions are also designed to encourage persons seeking to acquire control of us to first negotiate our board of directors, which we believe may result in an improvement of the terms of any such acquisition in favor of our stockholders. However, they also give our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board of directors the power to discourage acquisitions that some stockholders may favor.</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Authorized but Unissued Shares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authorized but unissued shares of our common stock and preferred stock are available for future issuance without stockholder approval, subject to any limitations imposed by</w:t>
      </w:r>
    </w:p>
    <w:p>
      <w:pPr>
        <w:spacing w:after="0" w:line="21" w:lineRule="exact"/>
        <w:rPr>
          <w:sz w:val="20"/>
          <w:szCs w:val="20"/>
          <w:color w:val="auto"/>
        </w:rPr>
      </w:pPr>
    </w:p>
    <w:p>
      <w:pPr>
        <w:jc w:val="both"/>
        <w:ind w:right="20"/>
        <w:spacing w:after="0" w:line="212" w:lineRule="auto"/>
        <w:rPr>
          <w:sz w:val="20"/>
          <w:szCs w:val="20"/>
          <w:color w:val="auto"/>
        </w:rPr>
      </w:pPr>
      <w:r>
        <w:rPr>
          <w:rFonts w:ascii="Times New Roman" w:cs="Times New Roman" w:eastAsia="Times New Roman" w:hAnsi="Times New Roman"/>
          <w:sz w:val="16"/>
          <w:szCs w:val="16"/>
          <w:color w:val="auto"/>
        </w:rPr>
        <w:t>Nasdaq rules.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Advance Notice Requirements for Stockholder Proposals and Director Nominations</w:t>
      </w:r>
    </w:p>
    <w:p>
      <w:pPr>
        <w:spacing w:after="0" w:line="110"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6"/>
          <w:szCs w:val="16"/>
          <w:color w:val="auto"/>
        </w:rPr>
        <w:t>The Bylaws provide for an advance notice procedure for stockholder proposals to be brought before an annual meeting of stockholders, including proposed nominations of candidates for election to our board of directors. In order for any matter to be “properly brought” before a meeting, a stockholder will have to comply with advance notice and</w:t>
      </w:r>
    </w:p>
    <w:p>
      <w:pPr>
        <w:spacing w:after="0" w:line="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4"/>
          <w:szCs w:val="14"/>
          <w:color w:val="auto"/>
        </w:rPr>
        <w:t>duration of ownership requirements and provide us with certain information. Stockholders at an annual meeting may only consider proposals or nominations specified in the notice of meeting or brought before the meeting by or at the direction of our board of directors or by a qualified stockholder of record on the record date for the meeting, who is entitled to vote at the meeting and who has delivered timely written notice in proper form to our secretary of the stockholder’s intention to bring such business before the meeting. These</w:t>
      </w:r>
    </w:p>
    <w:p>
      <w:pPr>
        <w:spacing w:after="0" w:line="1" w:lineRule="exact"/>
        <w:rPr>
          <w:sz w:val="20"/>
          <w:szCs w:val="20"/>
          <w:color w:val="auto"/>
        </w:rPr>
      </w:pPr>
    </w:p>
    <w:p>
      <w:pPr>
        <w:ind w:right="60"/>
        <w:spacing w:after="0" w:line="369" w:lineRule="auto"/>
        <w:rPr>
          <w:sz w:val="20"/>
          <w:szCs w:val="20"/>
          <w:color w:val="auto"/>
        </w:rPr>
      </w:pPr>
      <w:r>
        <w:rPr>
          <w:rFonts w:ascii="Times New Roman" w:cs="Times New Roman" w:eastAsia="Times New Roman" w:hAnsi="Times New Roman"/>
          <w:sz w:val="16"/>
          <w:szCs w:val="16"/>
          <w:color w:val="auto"/>
        </w:rPr>
        <w:t xml:space="preserve">provisions could have the effect of delaying stockholder actions that are favored by the holders of a majority of our outstanding voting securities until the next stockholder meeting. </w:t>
      </w:r>
      <w:r>
        <w:rPr>
          <w:rFonts w:ascii="Times New Roman" w:cs="Times New Roman" w:eastAsia="Times New Roman" w:hAnsi="Times New Roman"/>
          <w:sz w:val="16"/>
          <w:szCs w:val="16"/>
          <w:b w:val="1"/>
          <w:bCs w:val="1"/>
          <w:color w:val="auto"/>
        </w:rPr>
        <w:t>Stockholder Action by Written Consent</w:t>
      </w:r>
    </w:p>
    <w:p>
      <w:pPr>
        <w:spacing w:after="0" w:line="1"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6"/>
          <w:szCs w:val="16"/>
          <w:color w:val="auto"/>
        </w:rPr>
        <w:t>Under the terms of the Charter, subject to the terms of any series of preferred stock, any action required or permitted to be taken by the stockholders must be effected at an annual or special meeting of the stockholders and may not be effected by written consent in lieu of a meeting.</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Special Meetings of Stockholders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Bylaws provide that only the chairperson of our board of directors or a majority of our whole board of directors may call special meetings of the stockholders.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Amendment of Certificate of Incorporation or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60"/>
        <w:spacing w:after="0"/>
        <w:rPr>
          <w:sz w:val="20"/>
          <w:szCs w:val="20"/>
          <w:color w:val="auto"/>
        </w:rPr>
      </w:pPr>
      <w:r>
        <w:rPr>
          <w:rFonts w:ascii="Arial" w:cs="Arial" w:eastAsia="Arial" w:hAnsi="Arial"/>
          <w:sz w:val="12"/>
          <w:szCs w:val="12"/>
          <w:color w:val="auto"/>
        </w:rPr>
        <w:t>Doc. # DC-34283344 v.1</w:t>
      </w:r>
    </w:p>
    <w:p>
      <w:pPr>
        <w:sectPr>
          <w:pgSz w:w="11900" w:h="16838" w:orient="portrait"/>
          <w:cols w:equalWidth="0" w:num="1">
            <w:col w:w="11260"/>
          </w:cols>
          <w:pgMar w:left="320" w:top="250" w:right="31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6"/>
          <w:szCs w:val="16"/>
          <w:b w:val="1"/>
          <w:bCs w:val="1"/>
          <w:color w:val="auto"/>
        </w:rPr>
        <w:t>Exhibit 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left="6"/>
        <w:spacing w:after="0" w:line="231" w:lineRule="auto"/>
        <w:rPr>
          <w:sz w:val="20"/>
          <w:szCs w:val="20"/>
          <w:color w:val="auto"/>
        </w:rPr>
      </w:pPr>
      <w:r>
        <w:rPr>
          <w:rFonts w:ascii="Times New Roman" w:cs="Times New Roman" w:eastAsia="Times New Roman" w:hAnsi="Times New Roman"/>
          <w:sz w:val="16"/>
          <w:szCs w:val="16"/>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w:t>
      </w:r>
    </w:p>
    <w:p>
      <w:pPr>
        <w:spacing w:after="0" w:line="10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Section 203 of the DGCL</w:t>
      </w:r>
    </w:p>
    <w:p>
      <w:pPr>
        <w:spacing w:after="0" w:line="110" w:lineRule="exact"/>
        <w:rPr>
          <w:sz w:val="20"/>
          <w:szCs w:val="20"/>
          <w:color w:val="auto"/>
        </w:rPr>
      </w:pPr>
    </w:p>
    <w:p>
      <w:pPr>
        <w:jc w:val="both"/>
        <w:ind w:left="6"/>
        <w:spacing w:after="0" w:line="248" w:lineRule="auto"/>
        <w:rPr>
          <w:sz w:val="20"/>
          <w:szCs w:val="20"/>
          <w:color w:val="auto"/>
        </w:rPr>
      </w:pPr>
      <w:r>
        <w:rPr>
          <w:rFonts w:ascii="Times New Roman" w:cs="Times New Roman" w:eastAsia="Times New Roman" w:hAnsi="Times New Roman"/>
          <w:sz w:val="14"/>
          <w:szCs w:val="14"/>
          <w:color w:val="auto"/>
        </w:rPr>
        <w:t>Section 203 of the DGCL provides that if a person acquires 15% or more of the voting stock of a Delaware corporation, such person becomes an “interested stockholder” and may not engage in certain “business combinations” with such corporation for a period of three years from the time such person acquired 15% or more of such corporation’s voting stock,</w:t>
      </w:r>
    </w:p>
    <w:p>
      <w:pPr>
        <w:ind w:left="6"/>
        <w:spacing w:after="0" w:line="228" w:lineRule="auto"/>
        <w:rPr>
          <w:sz w:val="20"/>
          <w:szCs w:val="20"/>
          <w:color w:val="auto"/>
        </w:rPr>
      </w:pPr>
      <w:r>
        <w:rPr>
          <w:rFonts w:ascii="Times New Roman" w:cs="Times New Roman" w:eastAsia="Times New Roman" w:hAnsi="Times New Roman"/>
          <w:sz w:val="14"/>
          <w:szCs w:val="14"/>
          <w:color w:val="auto"/>
        </w:rPr>
        <w:t>unless: (1) the board of directors of such corporation approves the acquisition of stock or the merger transaction before the time that the person becomes an interested stockholder;</w:t>
      </w:r>
    </w:p>
    <w:p>
      <w:pPr>
        <w:jc w:val="both"/>
        <w:ind w:left="6" w:hanging="6"/>
        <w:spacing w:after="0" w:line="244" w:lineRule="auto"/>
        <w:tabs>
          <w:tab w:leader="none" w:pos="234"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interested stockholder owns at least 85% of the outstanding voting stock of such corporation at the time the merger transaction commences (excluding voting stock owned by directors who are also officers and certain employee stock plans); or (3) the merger transaction is approved by the board of directors and at a meeting of stockholders, not by written consent, by the affirmative vote of two-thirds of the outstanding voting stock not owned by the interested stockholder. A Delaware corporation may elect in its certificate of incorporation or bylaws not to be governed by this particular Delaware law. The Charter does not contain a provision opting out of Section 203 of the DGCL.</w:t>
      </w:r>
    </w:p>
    <w:p>
      <w:pPr>
        <w:spacing w:after="0" w:line="8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Limitations on Liability and Indemnification of Officers and Directors</w:t>
      </w:r>
    </w:p>
    <w:p>
      <w:pPr>
        <w:spacing w:after="0" w:line="122" w:lineRule="exact"/>
        <w:rPr>
          <w:sz w:val="20"/>
          <w:szCs w:val="20"/>
          <w:color w:val="auto"/>
        </w:rPr>
      </w:pPr>
    </w:p>
    <w:p>
      <w:pPr>
        <w:jc w:val="both"/>
        <w:ind w:left="6"/>
        <w:spacing w:after="0" w:line="241" w:lineRule="auto"/>
        <w:rPr>
          <w:sz w:val="20"/>
          <w:szCs w:val="20"/>
          <w:color w:val="auto"/>
        </w:rPr>
      </w:pPr>
      <w:r>
        <w:rPr>
          <w:rFonts w:ascii="Times New Roman" w:cs="Times New Roman" w:eastAsia="Times New Roman" w:hAnsi="Times New Roman"/>
          <w:sz w:val="14"/>
          <w:szCs w:val="14"/>
          <w:color w:val="auto"/>
        </w:rPr>
        <w:t>The Charter and Bylaws provide indemnification and advancement of expenses for our directors and officers to the fullest extent permitted by the DGCL. In addition, as permitted by Delaware law, the Charter includes provisions that eliminate the personal liability of our directors for monetary damages resulting from breaches of certain fiduciary duties as a director. The effect of this provision is to restrict our rights and the rights of our stockholders in derivative suits to recover monetary damages against a director for breach of</w:t>
      </w:r>
    </w:p>
    <w:p>
      <w:pPr>
        <w:spacing w:after="0" w:line="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color w:val="auto"/>
        </w:rPr>
        <w:t>fiduciary duties as a director. These provisions may be held not to be enforceable for violations of the federal securities laws of the United States.</w:t>
      </w:r>
    </w:p>
    <w:p>
      <w:pPr>
        <w:spacing w:after="0" w:line="8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Corporate Opportunity Doctrine</w:t>
      </w:r>
    </w:p>
    <w:p>
      <w:pPr>
        <w:spacing w:after="0" w:line="11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4"/>
          <w:szCs w:val="14"/>
          <w:color w:val="auto"/>
        </w:rPr>
        <w:t>Delaware law permits corporations to adopt provisions renouncing any interest or expectancy in certain opportunities that are presented to the corporation or its officers, directors,</w:t>
      </w:r>
    </w:p>
    <w:p>
      <w:pPr>
        <w:spacing w:after="0" w:line="21" w:lineRule="exact"/>
        <w:rPr>
          <w:sz w:val="20"/>
          <w:szCs w:val="20"/>
          <w:color w:val="auto"/>
        </w:rPr>
      </w:pPr>
    </w:p>
    <w:p>
      <w:pPr>
        <w:jc w:val="both"/>
        <w:ind w:left="6"/>
        <w:spacing w:after="0" w:line="232" w:lineRule="auto"/>
        <w:rPr>
          <w:sz w:val="20"/>
          <w:szCs w:val="20"/>
          <w:color w:val="auto"/>
        </w:rPr>
      </w:pPr>
      <w:r>
        <w:rPr>
          <w:rFonts w:ascii="Times New Roman" w:cs="Times New Roman" w:eastAsia="Times New Roman" w:hAnsi="Times New Roman"/>
          <w:sz w:val="14"/>
          <w:szCs w:val="14"/>
          <w:color w:val="auto"/>
        </w:rPr>
        <w:t>or stockholders. Under the Charter, we will, to the fullest extent permitted by Delaware law, renounce any interest or expectancy that we otherwise would be entitled to have in, all rights to be offered an opportunity to participate in, any business opportunity that from time to time may be presented to the Sponsor or its affiliates (other than MarketWise and its subsidiaries), and any of its or their respective principals, members, directors, partners, stockholders, officers, employees, or other representatives (other than any such person who</w:t>
      </w:r>
    </w:p>
    <w:p>
      <w:pPr>
        <w:spacing w:after="0" w:line="1" w:lineRule="exact"/>
        <w:rPr>
          <w:sz w:val="20"/>
          <w:szCs w:val="20"/>
          <w:color w:val="auto"/>
        </w:rPr>
      </w:pPr>
    </w:p>
    <w:p>
      <w:pPr>
        <w:jc w:val="both"/>
        <w:ind w:left="6"/>
        <w:spacing w:after="0" w:line="232" w:lineRule="auto"/>
        <w:rPr>
          <w:sz w:val="20"/>
          <w:szCs w:val="20"/>
          <w:color w:val="auto"/>
        </w:rPr>
      </w:pPr>
      <w:r>
        <w:rPr>
          <w:rFonts w:ascii="Times New Roman" w:cs="Times New Roman" w:eastAsia="Times New Roman" w:hAnsi="Times New Roman"/>
          <w:sz w:val="14"/>
          <w:szCs w:val="14"/>
          <w:color w:val="auto"/>
        </w:rPr>
        <w:t>is also an officer or employee of MarketWise or its subsidiaries), or any director or stockholder who is not employed by MarketWise or its subsidiaries (each such person, an “exempt person”). The Charter provides that, to the fullest extent permitted by law, no exempt person will have any duty to refrain from (1) engaging in a corporate opportunity in the same or similar lines of business in which MarketWise or its subsidiaries now engage or propose to engage or (2) otherwise competing, directly or indirectly, with MarketWise</w:t>
      </w:r>
    </w:p>
    <w:p>
      <w:pPr>
        <w:spacing w:after="0" w:line="1" w:lineRule="exact"/>
        <w:rPr>
          <w:sz w:val="20"/>
          <w:szCs w:val="20"/>
          <w:color w:val="auto"/>
        </w:rPr>
      </w:pPr>
    </w:p>
    <w:p>
      <w:pPr>
        <w:jc w:val="both"/>
        <w:ind w:left="6"/>
        <w:spacing w:after="0" w:line="232" w:lineRule="auto"/>
        <w:rPr>
          <w:sz w:val="20"/>
          <w:szCs w:val="20"/>
          <w:color w:val="auto"/>
        </w:rPr>
      </w:pPr>
      <w:r>
        <w:rPr>
          <w:rFonts w:ascii="Times New Roman" w:cs="Times New Roman" w:eastAsia="Times New Roman" w:hAnsi="Times New Roman"/>
          <w:sz w:val="14"/>
          <w:szCs w:val="14"/>
          <w:color w:val="auto"/>
        </w:rPr>
        <w:t>or any of its subsidiaries. In addition, to the fullest extent permitted by law, if an exempt person acquires knowledge of a potential transaction or other business opportunity which may be a corporate opportunity for itself or himself or its or his affiliates or for MarketWise or its subsidiaries, such exempt person will have no duty to communicate or offer such transaction or business opportunity to MarketWise or any of its subsidiaries and such exempt person may take any such opportunity for themselves or offer it to another person or</w:t>
      </w:r>
    </w:p>
    <w:p>
      <w:pPr>
        <w:spacing w:after="0" w:line="1" w:lineRule="exact"/>
        <w:rPr>
          <w:sz w:val="20"/>
          <w:szCs w:val="20"/>
          <w:color w:val="auto"/>
        </w:rPr>
      </w:pPr>
    </w:p>
    <w:p>
      <w:pPr>
        <w:jc w:val="both"/>
        <w:ind w:left="6" w:right="20"/>
        <w:spacing w:after="0" w:line="219" w:lineRule="auto"/>
        <w:rPr>
          <w:sz w:val="20"/>
          <w:szCs w:val="20"/>
          <w:color w:val="auto"/>
        </w:rPr>
      </w:pPr>
      <w:r>
        <w:rPr>
          <w:rFonts w:ascii="Times New Roman" w:cs="Times New Roman" w:eastAsia="Times New Roman" w:hAnsi="Times New Roman"/>
          <w:sz w:val="16"/>
          <w:szCs w:val="16"/>
          <w:color w:val="auto"/>
        </w:rPr>
        <w:t>entity. The forgoing provisions shall not apply to an opportunity that was expressly offered to an exempt person solely in their capacity as a director, executive officer, or employee of MarketWise or its subsidiaries.</w:t>
      </w:r>
    </w:p>
    <w:p>
      <w:pPr>
        <w:spacing w:after="0" w:line="8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Dissenters’ Rights of Appraisal and Payment</w:t>
      </w:r>
    </w:p>
    <w:p>
      <w:pPr>
        <w:spacing w:after="0" w:line="122" w:lineRule="exact"/>
        <w:rPr>
          <w:sz w:val="20"/>
          <w:szCs w:val="20"/>
          <w:color w:val="auto"/>
        </w:rPr>
      </w:pPr>
    </w:p>
    <w:p>
      <w:pPr>
        <w:jc w:val="both"/>
        <w:ind w:left="6" w:right="20"/>
        <w:spacing w:after="0" w:line="220" w:lineRule="auto"/>
        <w:rPr>
          <w:sz w:val="20"/>
          <w:szCs w:val="20"/>
          <w:color w:val="auto"/>
        </w:rPr>
      </w:pPr>
      <w:r>
        <w:rPr>
          <w:rFonts w:ascii="Times New Roman" w:cs="Times New Roman" w:eastAsia="Times New Roman" w:hAnsi="Times New Roman"/>
          <w:sz w:val="16"/>
          <w:szCs w:val="16"/>
          <w:color w:val="auto"/>
        </w:rPr>
        <w:t>Under the DGCL, with certain exceptions, our stockholders will have appraisal rights in connection with a merger or consolidation of MarketWise.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0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6"/>
          <w:szCs w:val="16"/>
          <w:b w:val="1"/>
          <w:bCs w:val="1"/>
          <w:color w:val="auto"/>
        </w:rPr>
        <w:t>Stockholders’ Derivative Actions</w:t>
      </w:r>
    </w:p>
    <w:p>
      <w:pPr>
        <w:spacing w:after="0" w:line="108" w:lineRule="exact"/>
        <w:rPr>
          <w:sz w:val="20"/>
          <w:szCs w:val="20"/>
          <w:color w:val="auto"/>
        </w:rPr>
      </w:pPr>
    </w:p>
    <w:p>
      <w:pPr>
        <w:jc w:val="both"/>
        <w:ind w:left="6"/>
        <w:spacing w:after="0" w:line="232" w:lineRule="auto"/>
        <w:rPr>
          <w:sz w:val="20"/>
          <w:szCs w:val="20"/>
          <w:color w:val="auto"/>
        </w:rPr>
      </w:pPr>
      <w:r>
        <w:rPr>
          <w:rFonts w:ascii="Times New Roman" w:cs="Times New Roman" w:eastAsia="Times New Roman" w:hAnsi="Times New Roman"/>
          <w:sz w:val="16"/>
          <w:szCs w:val="16"/>
          <w:color w:val="auto"/>
        </w:rPr>
        <w:t xml:space="preserve">Under the DGCL, any of our stockholders may bring an action in our name to procure a judgment in our favor, also known as a derivative action;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xml:space="preserve"> that the stockholder bringing the action is a holder of our shares at the time of the transaction to which the action relates or such stockholder’s stock thereafter devolved by operation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66"/>
        <w:spacing w:after="0"/>
        <w:rPr>
          <w:sz w:val="20"/>
          <w:szCs w:val="20"/>
          <w:color w:val="auto"/>
        </w:rPr>
      </w:pPr>
      <w:r>
        <w:rPr>
          <w:rFonts w:ascii="Arial" w:cs="Arial" w:eastAsia="Arial" w:hAnsi="Arial"/>
          <w:sz w:val="12"/>
          <w:szCs w:val="12"/>
          <w:color w:val="auto"/>
        </w:rPr>
        <w:t>Doc. # DC-34283344 v.1</w:t>
      </w:r>
    </w:p>
    <w:p>
      <w:pPr>
        <w:sectPr>
          <w:pgSz w:w="11900" w:h="16838" w:orient="portrait"/>
          <w:cols w:equalWidth="0" w:num="1">
            <w:col w:w="11266"/>
          </w:cols>
          <w:pgMar w:left="314" w:top="249" w:right="31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9"/>
          <w:szCs w:val="19"/>
          <w:b w:val="1"/>
          <w:bCs w:val="1"/>
          <w:color w:val="auto"/>
        </w:rPr>
        <w:t>Exhibit 10.32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368300</wp:posOffset>
            </wp:positionV>
            <wp:extent cx="2888615" cy="4381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5">
                      <a:extLst>
                        <a:ext uri="{28A0092B-C50C-407E-A947-70E740481C1C}"/>
                      </a:extLst>
                    </a:blip>
                    <a:srcRect/>
                    <a:stretch>
                      <a:fillRect/>
                    </a:stretch>
                  </pic:blipFill>
                  <pic:spPr bwMode="auto">
                    <a:xfrm>
                      <a:off x="0" y="0"/>
                      <a:ext cx="2888615" cy="438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56"/>
          <w:szCs w:val="56"/>
          <w:b w:val="1"/>
          <w:bCs w:val="1"/>
          <w:color w:val="auto"/>
        </w:rPr>
        <w:t>Insider Trading Policy</w:t>
      </w:r>
    </w:p>
    <w:p>
      <w:pPr>
        <w:spacing w:after="0" w:line="182" w:lineRule="exact"/>
        <w:rPr>
          <w:sz w:val="20"/>
          <w:szCs w:val="20"/>
          <w:color w:val="auto"/>
        </w:rPr>
      </w:pPr>
    </w:p>
    <w:p>
      <w:pPr>
        <w:spacing w:after="0"/>
        <w:rPr>
          <w:sz w:val="20"/>
          <w:szCs w:val="20"/>
          <w:color w:val="auto"/>
        </w:rPr>
      </w:pPr>
      <w:r>
        <w:rPr>
          <w:rFonts w:ascii="Arial" w:cs="Arial" w:eastAsia="Arial" w:hAnsi="Arial"/>
          <w:sz w:val="41"/>
          <w:szCs w:val="41"/>
          <w:color w:val="auto"/>
        </w:rPr>
        <w:t>Effective August 2, 2023</w:t>
      </w:r>
    </w:p>
    <w:p>
      <w:pPr>
        <w:sectPr>
          <w:pgSz w:w="11900" w:h="16838" w:orient="portrait"/>
          <w:cols w:equalWidth="0" w:num="1">
            <w:col w:w="11260"/>
          </w:cols>
          <w:pgMar w:left="320" w:top="522" w:right="319" w:bottom="1440" w:gutter="0" w:footer="0" w:header="0"/>
        </w:sectPr>
      </w:pPr>
    </w:p>
    <w:bookmarkStart w:id="127" w:name="page128"/>
    <w:bookmarkEnd w:id="127"/>
    <w:p>
      <w:pPr>
        <w:ind w:left="9400"/>
        <w:spacing w:after="0"/>
        <w:rPr>
          <w:sz w:val="20"/>
          <w:szCs w:val="20"/>
          <w:color w:val="auto"/>
        </w:rPr>
      </w:pPr>
      <w:r>
        <w:rPr>
          <w:rFonts w:ascii="Arial" w:cs="Arial" w:eastAsia="Arial" w:hAnsi="Arial"/>
          <w:sz w:val="14"/>
          <w:szCs w:val="14"/>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150735"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6">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spacing w:after="0"/>
        <w:rPr>
          <w:sz w:val="20"/>
          <w:szCs w:val="20"/>
          <w:color w:val="auto"/>
        </w:rPr>
      </w:pPr>
      <w:r>
        <w:rPr>
          <w:rFonts w:ascii="Arial" w:cs="Arial" w:eastAsia="Arial" w:hAnsi="Arial"/>
          <w:sz w:val="25"/>
          <w:szCs w:val="25"/>
          <w:b w:val="1"/>
          <w:bCs w:val="1"/>
          <w:color w:val="auto"/>
        </w:rPr>
        <w:t>Introduction</w:t>
      </w:r>
    </w:p>
    <w:p>
      <w:pPr>
        <w:spacing w:after="0" w:line="36"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50735"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7">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5" w:lineRule="exact"/>
        <w:rPr>
          <w:sz w:val="20"/>
          <w:szCs w:val="20"/>
          <w:color w:val="auto"/>
        </w:rPr>
      </w:pPr>
    </w:p>
    <w:p>
      <w:pPr>
        <w:ind w:left="20" w:right="20"/>
        <w:spacing w:after="0" w:line="235" w:lineRule="auto"/>
        <w:rPr>
          <w:sz w:val="20"/>
          <w:szCs w:val="20"/>
          <w:color w:val="auto"/>
        </w:rPr>
      </w:pPr>
      <w:r>
        <w:rPr>
          <w:rFonts w:ascii="Arial" w:cs="Arial" w:eastAsia="Arial" w:hAnsi="Arial"/>
          <w:sz w:val="17"/>
          <w:szCs w:val="17"/>
          <w:color w:val="auto"/>
        </w:rPr>
        <w:t>Insider trading is a serious crime that involves trading in the securities of any company while in possession of material nonpublic information about that company.</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Board of Directors of MarketWise, Inc. has adopted this Insider Trading Policy (this “</w:t>
      </w:r>
      <w:r>
        <w:rPr>
          <w:rFonts w:ascii="Arial" w:cs="Arial" w:eastAsia="Arial" w:hAnsi="Arial"/>
          <w:sz w:val="17"/>
          <w:szCs w:val="17"/>
          <w:b w:val="1"/>
          <w:bCs w:val="1"/>
          <w:i w:val="1"/>
          <w:iCs w:val="1"/>
          <w:color w:val="auto"/>
        </w:rPr>
        <w:t>Policy</w:t>
      </w:r>
      <w:r>
        <w:rPr>
          <w:rFonts w:ascii="Arial" w:cs="Arial" w:eastAsia="Arial" w:hAnsi="Arial"/>
          <w:sz w:val="17"/>
          <w:szCs w:val="17"/>
          <w:color w:val="auto"/>
        </w:rPr>
        <w:t>”) to provide guidelines to all directors, officers,</w:t>
      </w:r>
    </w:p>
    <w:p>
      <w:pPr>
        <w:ind w:left="20" w:right="20"/>
        <w:spacing w:after="0" w:line="208" w:lineRule="auto"/>
        <w:rPr>
          <w:sz w:val="20"/>
          <w:szCs w:val="20"/>
          <w:color w:val="auto"/>
        </w:rPr>
      </w:pPr>
      <w:r>
        <w:rPr>
          <w:rFonts w:ascii="Arial" w:cs="Arial" w:eastAsia="Arial" w:hAnsi="Arial"/>
          <w:sz w:val="17"/>
          <w:szCs w:val="17"/>
          <w:color w:val="auto"/>
        </w:rPr>
        <w:t>employees, and contractors of MarketWise, Inc. and its affiliates (collectively,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xml:space="preserve">”) with respect to </w:t>
      </w:r>
      <w:r>
        <w:rPr>
          <w:rFonts w:ascii="Arial" w:cs="Arial" w:eastAsia="Arial" w:hAnsi="Arial"/>
          <w:sz w:val="17"/>
          <w:szCs w:val="17"/>
          <w:b w:val="1"/>
          <w:bCs w:val="1"/>
          <w:color w:val="auto"/>
        </w:rPr>
        <w:t>trading in MarketWise, Inc.</w:t>
      </w:r>
      <w:r>
        <w:rPr>
          <w:rFonts w:ascii="Arial" w:cs="Arial" w:eastAsia="Arial" w:hAnsi="Arial"/>
          <w:sz w:val="17"/>
          <w:szCs w:val="17"/>
          <w:color w:val="auto"/>
        </w:rPr>
        <w:t xml:space="preserve"> </w:t>
      </w:r>
      <w:r>
        <w:rPr>
          <w:rFonts w:ascii="Arial" w:cs="Arial" w:eastAsia="Arial" w:hAnsi="Arial"/>
          <w:sz w:val="17"/>
          <w:szCs w:val="17"/>
          <w:b w:val="1"/>
          <w:bCs w:val="1"/>
          <w:color w:val="auto"/>
        </w:rPr>
        <w:t>securities, as well as the securities of other publicly traded companies</w:t>
      </w:r>
      <w:r>
        <w:rPr>
          <w:rFonts w:ascii="Arial" w:cs="Arial" w:eastAsia="Arial" w:hAnsi="Arial"/>
          <w:sz w:val="17"/>
          <w:szCs w:val="17"/>
          <w:color w:val="auto"/>
        </w:rPr>
        <w:t>. This Policy outlines your responsibilities to avoid insider trading and</w:t>
      </w:r>
    </w:p>
    <w:p>
      <w:pPr>
        <w:ind w:left="20"/>
        <w:spacing w:after="0"/>
        <w:rPr>
          <w:sz w:val="20"/>
          <w:szCs w:val="20"/>
          <w:color w:val="auto"/>
        </w:rPr>
      </w:pPr>
      <w:r>
        <w:rPr>
          <w:rFonts w:ascii="Arial" w:cs="Arial" w:eastAsia="Arial" w:hAnsi="Arial"/>
          <w:sz w:val="17"/>
          <w:szCs w:val="17"/>
          <w:color w:val="auto"/>
        </w:rPr>
        <w:t>implements certain procedures to help you avoid even the appearance of insider trading.</w:t>
      </w:r>
    </w:p>
    <w:p>
      <w:pPr>
        <w:spacing w:after="0" w:line="46" w:lineRule="exact"/>
        <w:rPr>
          <w:sz w:val="20"/>
          <w:szCs w:val="20"/>
          <w:color w:val="auto"/>
        </w:rPr>
      </w:pPr>
    </w:p>
    <w:p>
      <w:pPr>
        <w:ind w:left="20" w:right="20"/>
        <w:spacing w:after="0" w:line="251" w:lineRule="auto"/>
        <w:rPr>
          <w:sz w:val="20"/>
          <w:szCs w:val="20"/>
          <w:color w:val="auto"/>
        </w:rPr>
      </w:pPr>
      <w:r>
        <w:rPr>
          <w:rFonts w:ascii="Arial" w:cs="Arial" w:eastAsia="Arial" w:hAnsi="Arial"/>
          <w:sz w:val="17"/>
          <w:szCs w:val="17"/>
          <w:color w:val="auto"/>
        </w:rPr>
        <w:t>Insider trading is prohibited by this Policy, and violation of this Policy may result in Company-imposed sanctions, including reduction in compensation or dismissal for cause.</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A good rule of thumb: When in doubt, do not trade.</w:t>
      </w:r>
    </w:p>
    <w:p>
      <w:pPr>
        <w:spacing w:after="0" w:line="37"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Scope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150735"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8">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5" w:lineRule="exact"/>
        <w:rPr>
          <w:sz w:val="20"/>
          <w:szCs w:val="20"/>
          <w:color w:val="auto"/>
        </w:rPr>
      </w:pPr>
    </w:p>
    <w:p>
      <w:pPr>
        <w:spacing w:after="0" w:line="214" w:lineRule="auto"/>
        <w:rPr>
          <w:sz w:val="20"/>
          <w:szCs w:val="20"/>
          <w:color w:val="auto"/>
        </w:rPr>
      </w:pPr>
      <w:r>
        <w:rPr>
          <w:rFonts w:ascii="Arial" w:cs="Arial" w:eastAsia="Arial" w:hAnsi="Arial"/>
          <w:sz w:val="17"/>
          <w:szCs w:val="17"/>
          <w:color w:val="auto"/>
        </w:rPr>
        <w:t>This Policy is applicable to the Company, including its directors, officers, employees, and contractors, as well as their respective immediate family members. As someone subject to this Policy, you are fully responsible for ensuring that you, entities under your influence or control (including any</w:t>
      </w:r>
    </w:p>
    <w:p>
      <w:pPr>
        <w:spacing w:after="0" w:line="216" w:lineRule="auto"/>
        <w:rPr>
          <w:sz w:val="20"/>
          <w:szCs w:val="20"/>
          <w:color w:val="auto"/>
        </w:rPr>
      </w:pPr>
      <w:r>
        <w:rPr>
          <w:rFonts w:ascii="Arial" w:cs="Arial" w:eastAsia="Arial" w:hAnsi="Arial"/>
          <w:sz w:val="17"/>
          <w:szCs w:val="17"/>
          <w:color w:val="auto"/>
        </w:rPr>
        <w:t>corporations, partnerships or trusts), and members of your household comply with this Policy. This includes family members residing with you,</w:t>
      </w:r>
    </w:p>
    <w:p>
      <w:pPr>
        <w:ind w:right="20"/>
        <w:spacing w:after="0" w:line="228" w:lineRule="auto"/>
        <w:rPr>
          <w:sz w:val="20"/>
          <w:szCs w:val="20"/>
          <w:color w:val="auto"/>
        </w:rPr>
      </w:pPr>
      <w:r>
        <w:rPr>
          <w:rFonts w:ascii="Arial" w:cs="Arial" w:eastAsia="Arial" w:hAnsi="Arial"/>
          <w:sz w:val="17"/>
          <w:szCs w:val="17"/>
          <w:color w:val="auto"/>
        </w:rPr>
        <w:t>anyone else living in your household, and any family members not living with you whose transactions in the Company’s securities are directed by you, or subject to your influence and control.</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50735"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9">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10" w:lineRule="exact"/>
        <w:rPr>
          <w:sz w:val="20"/>
          <w:szCs w:val="20"/>
          <w:color w:val="auto"/>
        </w:rPr>
      </w:pPr>
    </w:p>
    <w:p>
      <w:pPr>
        <w:ind w:left="20" w:right="20"/>
        <w:spacing w:after="0" w:line="235" w:lineRule="auto"/>
        <w:rPr>
          <w:sz w:val="20"/>
          <w:szCs w:val="20"/>
          <w:color w:val="auto"/>
        </w:rPr>
      </w:pPr>
      <w:r>
        <w:rPr>
          <w:rFonts w:ascii="Arial" w:cs="Arial" w:eastAsia="Arial" w:hAnsi="Arial"/>
          <w:sz w:val="17"/>
          <w:szCs w:val="17"/>
          <w:color w:val="auto"/>
        </w:rPr>
        <w:t>The head of Compliance is responsible for the administration of this Policy. In the absence of the head of Compliance, responsibility for administering this Policy will rest with the General Counsel or such other employee as may be designated by the head of Compliance.</w:t>
      </w:r>
    </w:p>
    <w:p>
      <w:pPr>
        <w:spacing w:after="0" w:line="44" w:lineRule="exact"/>
        <w:rPr>
          <w:sz w:val="20"/>
          <w:szCs w:val="20"/>
          <w:color w:val="auto"/>
        </w:rPr>
      </w:pPr>
    </w:p>
    <w:p>
      <w:pPr>
        <w:ind w:left="20" w:right="20"/>
        <w:spacing w:after="0" w:line="245" w:lineRule="auto"/>
        <w:rPr>
          <w:sz w:val="20"/>
          <w:szCs w:val="20"/>
          <w:color w:val="auto"/>
        </w:rPr>
      </w:pPr>
      <w:r>
        <w:rPr>
          <w:rFonts w:ascii="Arial" w:cs="Arial" w:eastAsia="Arial" w:hAnsi="Arial"/>
          <w:sz w:val="17"/>
          <w:szCs w:val="17"/>
          <w:color w:val="auto"/>
        </w:rPr>
        <w:t>Actions taken by the Company or any Company personnel do not constitute legal advice nor do they insulate you from the consequences of noncompliance with this Policy or insider trading laws.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22"/>
          <w:szCs w:val="22"/>
          <w:b w:val="1"/>
          <w:bCs w:val="1"/>
          <w:color w:val="auto"/>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wp:posOffset>
            </wp:positionV>
            <wp:extent cx="7150735"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0">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10" w:lineRule="exact"/>
        <w:rPr>
          <w:sz w:val="20"/>
          <w:szCs w:val="20"/>
          <w:color w:val="auto"/>
        </w:rPr>
      </w:pPr>
    </w:p>
    <w:p>
      <w:pPr>
        <w:ind w:left="20" w:right="20"/>
        <w:spacing w:after="0" w:line="214" w:lineRule="auto"/>
        <w:rPr>
          <w:sz w:val="20"/>
          <w:szCs w:val="20"/>
          <w:color w:val="auto"/>
        </w:rPr>
      </w:pPr>
      <w:r>
        <w:rPr>
          <w:rFonts w:ascii="Arial" w:cs="Arial" w:eastAsia="Arial" w:hAnsi="Arial"/>
          <w:sz w:val="17"/>
          <w:szCs w:val="17"/>
          <w:color w:val="auto"/>
        </w:rPr>
        <w:t>Federal and state laws prohibit trading in the securities of a company while in possession of material nonpublic information. These laws also prohibit providing material nonpublic information to others so that they can trade. Violating such laws can result in serious criminal and civil charges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against you and the Company.</w:t>
      </w:r>
    </w:p>
    <w:p>
      <w:pPr>
        <w:spacing w:after="0" w:line="57" w:lineRule="exact"/>
        <w:rPr>
          <w:sz w:val="20"/>
          <w:szCs w:val="20"/>
          <w:color w:val="auto"/>
        </w:rPr>
      </w:pPr>
    </w:p>
    <w:p>
      <w:pPr>
        <w:ind w:left="20" w:right="20"/>
        <w:spacing w:after="0"/>
        <w:rPr>
          <w:sz w:val="20"/>
          <w:szCs w:val="20"/>
          <w:color w:val="auto"/>
        </w:rPr>
      </w:pPr>
      <w:r>
        <w:rPr>
          <w:rFonts w:ascii="Arial" w:cs="Arial" w:eastAsia="Arial" w:hAnsi="Arial"/>
          <w:sz w:val="17"/>
          <w:szCs w:val="17"/>
          <w:color w:val="auto"/>
        </w:rPr>
        <w:t>This Policy extends to all activities within and outside your Company duties. Every officer, director, employee, and contractor must review this Policy.</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17"/>
          <w:szCs w:val="17"/>
          <w:color w:val="auto"/>
        </w:rPr>
        <w:t>Questions regarding the Policy should be directed to the Company’s head of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875665</wp:posOffset>
            </wp:positionV>
            <wp:extent cx="7150735"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1">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0"/>
        <w:spacing w:after="0"/>
        <w:tabs>
          <w:tab w:leader="none" w:pos="10340" w:val="left"/>
        </w:tabs>
        <w:rPr>
          <w:sz w:val="20"/>
          <w:szCs w:val="20"/>
          <w:color w:val="auto"/>
        </w:rPr>
      </w:pPr>
      <w:r>
        <w:rPr>
          <w:rFonts w:ascii="Arial" w:cs="Arial" w:eastAsia="Arial" w:hAnsi="Arial"/>
          <w:sz w:val="12"/>
          <w:szCs w:val="12"/>
          <w:i w:val="1"/>
          <w:iCs w:val="1"/>
          <w:color w:val="auto"/>
        </w:rPr>
        <w:t>CONFIDENTIAL &amp; PROPRIETARY – FOR INTERNAL DISTRIBUTION ONLY</w:t>
      </w:r>
      <w:r>
        <w:rPr>
          <w:sz w:val="20"/>
          <w:szCs w:val="20"/>
          <w:color w:val="auto"/>
        </w:rPr>
        <w:tab/>
      </w:r>
      <w:r>
        <w:rPr>
          <w:rFonts w:ascii="Arial" w:cs="Arial" w:eastAsia="Arial" w:hAnsi="Arial"/>
          <w:sz w:val="12"/>
          <w:szCs w:val="12"/>
          <w:color w:val="auto"/>
        </w:rPr>
        <w:t xml:space="preserve">PAGE 2 OF </w:t>
      </w:r>
      <w:r>
        <w:rPr>
          <w:rFonts w:ascii="Arial" w:cs="Arial" w:eastAsia="Arial" w:hAnsi="Arial"/>
          <w:sz w:val="12"/>
          <w:szCs w:val="12"/>
          <w:u w:val="single" w:color="auto"/>
          <w:color w:val="auto"/>
        </w:rPr>
        <w:t>13</w:t>
      </w:r>
    </w:p>
    <w:p>
      <w:pPr>
        <w:sectPr>
          <w:pgSz w:w="11900" w:h="16838" w:orient="portrait"/>
          <w:cols w:equalWidth="0" w:num="1">
            <w:col w:w="11240"/>
          </w:cols>
          <w:pgMar w:left="320" w:top="162" w:right="339" w:bottom="1440" w:gutter="0" w:footer="0" w:header="0"/>
        </w:sectPr>
      </w:pPr>
    </w:p>
    <w:bookmarkStart w:id="128" w:name="page129"/>
    <w:bookmarkEnd w:id="128"/>
    <w:p>
      <w:pPr>
        <w:ind w:left="9380"/>
        <w:spacing w:after="0"/>
        <w:rPr>
          <w:sz w:val="20"/>
          <w:szCs w:val="20"/>
          <w:color w:val="auto"/>
        </w:rPr>
      </w:pPr>
      <w:r>
        <w:rPr>
          <w:rFonts w:ascii="Arial" w:cs="Arial" w:eastAsia="Arial" w:hAnsi="Arial"/>
          <w:sz w:val="14"/>
          <w:szCs w:val="14"/>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17145</wp:posOffset>
            </wp:positionV>
            <wp:extent cx="7150735"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2">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23495</wp:posOffset>
            </wp:positionV>
            <wp:extent cx="7150735"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3">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7" w:lineRule="exact"/>
        <w:rPr>
          <w:sz w:val="20"/>
          <w:szCs w:val="20"/>
          <w:color w:val="auto"/>
        </w:rPr>
      </w:pPr>
    </w:p>
    <w:p>
      <w:pPr>
        <w:spacing w:after="0" w:line="214" w:lineRule="auto"/>
        <w:rPr>
          <w:sz w:val="20"/>
          <w:szCs w:val="20"/>
          <w:color w:val="auto"/>
        </w:rPr>
      </w:pPr>
      <w:r>
        <w:rPr>
          <w:rFonts w:ascii="Arial" w:cs="Arial" w:eastAsia="Arial" w:hAnsi="Arial"/>
          <w:sz w:val="17"/>
          <w:szCs w:val="17"/>
          <w:b w:val="1"/>
          <w:bCs w:val="1"/>
          <w:i w:val="1"/>
          <w:iCs w:val="1"/>
          <w:color w:val="auto"/>
        </w:rPr>
        <w:t xml:space="preserve">Insiders </w:t>
      </w:r>
      <w:r>
        <w:rPr>
          <w:rFonts w:ascii="Arial" w:cs="Arial" w:eastAsia="Arial" w:hAnsi="Arial"/>
          <w:sz w:val="17"/>
          <w:szCs w:val="17"/>
          <w:color w:val="auto"/>
        </w:rPr>
        <w:t>- Insiders include officers, directors, employees and contractors of a company, or anyone else who has material nonpublic information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about a company. Insiders have independent fiduciary duties to their company and its stockholders not to trade on material nonpublic information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relating to the company’s securities.</w:t>
      </w:r>
    </w:p>
    <w:p>
      <w:pPr>
        <w:spacing w:after="0" w:line="57" w:lineRule="exact"/>
        <w:rPr>
          <w:sz w:val="20"/>
          <w:szCs w:val="20"/>
          <w:color w:val="auto"/>
        </w:rPr>
      </w:pPr>
    </w:p>
    <w:p>
      <w:pPr>
        <w:spacing w:after="0" w:line="218" w:lineRule="auto"/>
        <w:rPr>
          <w:sz w:val="20"/>
          <w:szCs w:val="20"/>
          <w:color w:val="auto"/>
        </w:rPr>
      </w:pPr>
      <w:r>
        <w:rPr>
          <w:rFonts w:ascii="Arial" w:cs="Arial" w:eastAsia="Arial" w:hAnsi="Arial"/>
          <w:sz w:val="17"/>
          <w:szCs w:val="17"/>
          <w:b w:val="1"/>
          <w:bCs w:val="1"/>
          <w:i w:val="1"/>
          <w:iCs w:val="1"/>
          <w:color w:val="auto"/>
        </w:rPr>
        <w:t xml:space="preserve">Insider Trading </w:t>
      </w:r>
      <w:r>
        <w:rPr>
          <w:rFonts w:ascii="Arial" w:cs="Arial" w:eastAsia="Arial" w:hAnsi="Arial"/>
          <w:sz w:val="17"/>
          <w:szCs w:val="17"/>
          <w:color w:val="auto"/>
        </w:rPr>
        <w:t>- Insider trading occurs when any person purchases or sells a security while in possession of material nonpublic information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relating to the security. Insider trading may result in civil penalties, including disgorgement of profits and civil fines or criminal penalties, including</w:t>
      </w:r>
    </w:p>
    <w:p>
      <w:pPr>
        <w:spacing w:after="0"/>
        <w:rPr>
          <w:sz w:val="20"/>
          <w:szCs w:val="20"/>
          <w:color w:val="auto"/>
        </w:rPr>
      </w:pPr>
      <w:r>
        <w:rPr>
          <w:rFonts w:ascii="Arial" w:cs="Arial" w:eastAsia="Arial" w:hAnsi="Arial"/>
          <w:sz w:val="17"/>
          <w:szCs w:val="17"/>
          <w:color w:val="auto"/>
        </w:rPr>
        <w:t>imprisonment and fines of up to $5 million for individuals and $25 million for corporations.</w:t>
      </w:r>
    </w:p>
    <w:p>
      <w:pPr>
        <w:spacing w:after="0" w:line="46" w:lineRule="exact"/>
        <w:rPr>
          <w:sz w:val="20"/>
          <w:szCs w:val="20"/>
          <w:color w:val="auto"/>
        </w:rPr>
      </w:pPr>
    </w:p>
    <w:p>
      <w:pPr>
        <w:spacing w:after="0" w:line="225" w:lineRule="auto"/>
        <w:rPr>
          <w:sz w:val="20"/>
          <w:szCs w:val="20"/>
          <w:color w:val="auto"/>
        </w:rPr>
      </w:pPr>
      <w:r>
        <w:rPr>
          <w:rFonts w:ascii="Arial" w:cs="Arial" w:eastAsia="Arial" w:hAnsi="Arial"/>
          <w:sz w:val="17"/>
          <w:szCs w:val="17"/>
          <w:b w:val="1"/>
          <w:bCs w:val="1"/>
          <w:i w:val="1"/>
          <w:iCs w:val="1"/>
          <w:color w:val="auto"/>
        </w:rPr>
        <w:t xml:space="preserve">Material Information </w:t>
      </w:r>
      <w:r>
        <w:rPr>
          <w:rFonts w:ascii="Arial" w:cs="Arial" w:eastAsia="Arial" w:hAnsi="Arial"/>
          <w:sz w:val="17"/>
          <w:szCs w:val="17"/>
          <w:color w:val="auto"/>
        </w:rPr>
        <w:t>- A fact is considered “material” if there is a substantial likelihood that a reasonable investor would consider it important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making a decision to buy, sell or hold a security, or if the fact is likely to have a significant effect on the market price of the security. The materiality</w:t>
      </w:r>
    </w:p>
    <w:p>
      <w:pPr>
        <w:spacing w:after="0" w:line="208" w:lineRule="auto"/>
        <w:rPr>
          <w:sz w:val="20"/>
          <w:szCs w:val="20"/>
          <w:color w:val="auto"/>
        </w:rPr>
      </w:pPr>
      <w:r>
        <w:rPr>
          <w:rFonts w:ascii="Arial" w:cs="Arial" w:eastAsia="Arial" w:hAnsi="Arial"/>
          <w:sz w:val="17"/>
          <w:szCs w:val="17"/>
          <w:color w:val="auto"/>
        </w:rPr>
        <w:t>of a fact depends upon the circumstances. Material information can be positive or negative and can relate to virtually any aspect of a company’s business or to any type of security, debt or equity. Also, information that something is likely to happen in the future—or even just that it may happen</w:t>
      </w:r>
    </w:p>
    <w:p>
      <w:pPr>
        <w:spacing w:after="0"/>
        <w:rPr>
          <w:sz w:val="20"/>
          <w:szCs w:val="20"/>
          <w:color w:val="auto"/>
        </w:rPr>
      </w:pPr>
      <w:r>
        <w:rPr>
          <w:rFonts w:ascii="Arial" w:cs="Arial" w:eastAsia="Arial" w:hAnsi="Arial"/>
          <w:sz w:val="17"/>
          <w:szCs w:val="17"/>
          <w:color w:val="auto"/>
        </w:rPr>
        <w:t>—could be deemed material.</w:t>
      </w:r>
    </w:p>
    <w:p>
      <w:pPr>
        <w:spacing w:after="0" w:line="57" w:lineRule="exact"/>
        <w:rPr>
          <w:sz w:val="20"/>
          <w:szCs w:val="20"/>
          <w:color w:val="auto"/>
        </w:rPr>
      </w:pPr>
    </w:p>
    <w:p>
      <w:pPr>
        <w:jc w:val="both"/>
        <w:spacing w:after="0" w:line="218" w:lineRule="auto"/>
        <w:rPr>
          <w:sz w:val="20"/>
          <w:szCs w:val="20"/>
          <w:color w:val="auto"/>
        </w:rPr>
      </w:pPr>
      <w:r>
        <w:rPr>
          <w:rFonts w:ascii="Arial" w:cs="Arial" w:eastAsia="Arial" w:hAnsi="Arial"/>
          <w:sz w:val="17"/>
          <w:szCs w:val="17"/>
          <w:b w:val="1"/>
          <w:bCs w:val="1"/>
          <w:i w:val="1"/>
          <w:iCs w:val="1"/>
          <w:color w:val="auto"/>
        </w:rPr>
        <w:t xml:space="preserve">Nonpublic Information </w:t>
      </w:r>
      <w:r>
        <w:rPr>
          <w:rFonts w:ascii="Arial" w:cs="Arial" w:eastAsia="Arial" w:hAnsi="Arial"/>
          <w:sz w:val="17"/>
          <w:szCs w:val="17"/>
          <w:color w:val="auto"/>
        </w:rPr>
        <w:t>- Information is “nonpublic” if it is not available to the general public. In order for information to be considered public, it must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 widely disseminated in a manner making it generally available to investors through newswire services such as Dow Jones, Reuters, Bloomberg,</w:t>
      </w:r>
    </w:p>
    <w:p>
      <w:pPr>
        <w:spacing w:after="0" w:line="215" w:lineRule="auto"/>
        <w:rPr>
          <w:sz w:val="20"/>
          <w:szCs w:val="20"/>
          <w:color w:val="auto"/>
        </w:rPr>
      </w:pPr>
      <w:r>
        <w:rPr>
          <w:rFonts w:ascii="Arial" w:cs="Arial" w:eastAsia="Arial" w:hAnsi="Arial"/>
          <w:sz w:val="17"/>
          <w:szCs w:val="17"/>
          <w:color w:val="auto"/>
        </w:rPr>
        <w:t>Business Wire, The Wall Street Journal, Associated Press or United Press International; a broadcast on widely available radio or television</w:t>
      </w:r>
    </w:p>
    <w:p>
      <w:pPr>
        <w:spacing w:after="0" w:line="208" w:lineRule="auto"/>
        <w:rPr>
          <w:sz w:val="20"/>
          <w:szCs w:val="20"/>
          <w:color w:val="auto"/>
        </w:rPr>
      </w:pPr>
      <w:r>
        <w:rPr>
          <w:rFonts w:ascii="Arial" w:cs="Arial" w:eastAsia="Arial" w:hAnsi="Arial"/>
          <w:sz w:val="17"/>
          <w:szCs w:val="17"/>
          <w:color w:val="auto"/>
        </w:rPr>
        <w:t>programs; publication in a widely available newspaper, magazine, or news website; a Regulation FD-compliant conference call; or public disclosure documents filed with the U.S.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xml:space="preserve">”) that are available on the SEC’s website. </w:t>
      </w:r>
      <w:r>
        <w:rPr>
          <w:rFonts w:ascii="Arial" w:cs="Arial" w:eastAsia="Arial" w:hAnsi="Arial"/>
          <w:sz w:val="17"/>
          <w:szCs w:val="17"/>
          <w:b w:val="1"/>
          <w:bCs w:val="1"/>
          <w:color w:val="auto"/>
        </w:rPr>
        <w:t>Publication of</w:t>
      </w:r>
    </w:p>
    <w:p>
      <w:pPr>
        <w:spacing w:after="0" w:line="244" w:lineRule="auto"/>
        <w:rPr>
          <w:sz w:val="20"/>
          <w:szCs w:val="20"/>
          <w:color w:val="auto"/>
        </w:rPr>
      </w:pPr>
      <w:r>
        <w:rPr>
          <w:rFonts w:ascii="Arial" w:cs="Arial" w:eastAsia="Arial" w:hAnsi="Arial"/>
          <w:sz w:val="17"/>
          <w:szCs w:val="17"/>
          <w:b w:val="1"/>
          <w:bCs w:val="1"/>
          <w:color w:val="auto"/>
        </w:rPr>
        <w:t>information in any Company newsletter, email or other platform that is not accessible by the general public does not constitute wide dissemination, and such information is considered “nonpublic.”</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Purchase and Sale </w:t>
      </w:r>
      <w:r>
        <w:rPr>
          <w:rFonts w:ascii="Arial" w:cs="Arial" w:eastAsia="Arial" w:hAnsi="Arial"/>
          <w:sz w:val="17"/>
          <w:szCs w:val="17"/>
          <w:color w:val="auto"/>
        </w:rPr>
        <w:t>- Purchase and Sale are defined broadly under the federal securities law. “Purchase” includes not only the actual purchase of a</w:t>
      </w:r>
    </w:p>
    <w:p>
      <w:pPr>
        <w:jc w:val="both"/>
        <w:spacing w:after="0" w:line="208" w:lineRule="auto"/>
        <w:rPr>
          <w:sz w:val="20"/>
          <w:szCs w:val="20"/>
          <w:color w:val="auto"/>
        </w:rPr>
      </w:pPr>
      <w:r>
        <w:rPr>
          <w:rFonts w:ascii="Arial" w:cs="Arial" w:eastAsia="Arial" w:hAnsi="Arial"/>
          <w:sz w:val="17"/>
          <w:szCs w:val="17"/>
          <w:color w:val="auto"/>
        </w:rPr>
        <w:t>security, but any contract to purchase or otherwise acquire a security. “Sale” includes not only the actual sale of a security, but any contract to sell or otherwise dispose of a security. These definitions extend to a broad range of transactions, including conventional cash-for-stock transactions,</w:t>
      </w:r>
    </w:p>
    <w:p>
      <w:pPr>
        <w:spacing w:after="0"/>
        <w:rPr>
          <w:sz w:val="20"/>
          <w:szCs w:val="20"/>
          <w:color w:val="auto"/>
        </w:rPr>
      </w:pPr>
      <w:r>
        <w:rPr>
          <w:rFonts w:ascii="Arial" w:cs="Arial" w:eastAsia="Arial" w:hAnsi="Arial"/>
          <w:sz w:val="17"/>
          <w:szCs w:val="17"/>
          <w:color w:val="auto"/>
        </w:rPr>
        <w:t>conversions, the exercise of stock options, and acquisitions and exercises of warrants or puts, calls, or other derivative securities.</w:t>
      </w:r>
    </w:p>
    <w:p>
      <w:pPr>
        <w:spacing w:after="0" w:line="57" w:lineRule="exact"/>
        <w:rPr>
          <w:sz w:val="20"/>
          <w:szCs w:val="20"/>
          <w:color w:val="auto"/>
        </w:rPr>
      </w:pPr>
    </w:p>
    <w:p>
      <w:pPr>
        <w:spacing w:after="0" w:line="238" w:lineRule="auto"/>
        <w:rPr>
          <w:sz w:val="20"/>
          <w:szCs w:val="20"/>
          <w:color w:val="auto"/>
        </w:rPr>
      </w:pPr>
      <w:r>
        <w:rPr>
          <w:rFonts w:ascii="Arial" w:cs="Arial" w:eastAsia="Arial" w:hAnsi="Arial"/>
          <w:sz w:val="17"/>
          <w:szCs w:val="17"/>
          <w:b w:val="1"/>
          <w:bCs w:val="1"/>
          <w:i w:val="1"/>
          <w:iCs w:val="1"/>
          <w:color w:val="auto"/>
        </w:rPr>
        <w:t xml:space="preserve">Securities </w:t>
      </w:r>
      <w:r>
        <w:rPr>
          <w:rFonts w:ascii="Arial" w:cs="Arial" w:eastAsia="Arial" w:hAnsi="Arial"/>
          <w:sz w:val="17"/>
          <w:szCs w:val="17"/>
          <w:color w:val="auto"/>
        </w:rPr>
        <w:t>- Securities includes stocks, bonds, notes, debentures, options, warrants, and other convertible securities, as well as derivative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instruments.</w:t>
      </w:r>
    </w:p>
    <w:p>
      <w:pPr>
        <w:spacing w:after="0" w:line="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1. Policies Prohibiting Insider Trading</w:t>
      </w:r>
    </w:p>
    <w:p>
      <w:pPr>
        <w:spacing w:after="0" w:line="18" w:lineRule="exact"/>
        <w:rPr>
          <w:sz w:val="20"/>
          <w:szCs w:val="20"/>
          <w:color w:val="auto"/>
        </w:rPr>
      </w:pPr>
    </w:p>
    <w:p>
      <w:pPr>
        <w:jc w:val="right"/>
        <w:ind w:left="660" w:right="40"/>
        <w:spacing w:after="0" w:line="208" w:lineRule="auto"/>
        <w:rPr>
          <w:sz w:val="20"/>
          <w:szCs w:val="20"/>
          <w:color w:val="auto"/>
        </w:rPr>
      </w:pPr>
      <w:r>
        <w:rPr>
          <w:rFonts w:ascii="Arial" w:cs="Arial" w:eastAsia="Arial" w:hAnsi="Arial"/>
          <w:sz w:val="17"/>
          <w:szCs w:val="17"/>
          <w:color w:val="auto"/>
        </w:rPr>
        <w:t xml:space="preserve">1.1 No officer, director, employee or contractor, including their respective immediate family members, shall purchase or sell any type of security while in possession of material nonpublic information relating to the security or the issuer of such security, </w:t>
      </w:r>
      <w:r>
        <w:rPr>
          <w:rFonts w:ascii="Arial" w:cs="Arial" w:eastAsia="Arial" w:hAnsi="Arial"/>
          <w:sz w:val="17"/>
          <w:szCs w:val="17"/>
          <w:b w:val="1"/>
          <w:bCs w:val="1"/>
          <w:color w:val="auto"/>
        </w:rPr>
        <w:t>whether the</w:t>
      </w:r>
    </w:p>
    <w:p>
      <w:pPr>
        <w:ind w:left="1000"/>
        <w:spacing w:after="0"/>
        <w:rPr>
          <w:sz w:val="20"/>
          <w:szCs w:val="20"/>
          <w:color w:val="auto"/>
        </w:rPr>
      </w:pPr>
      <w:r>
        <w:rPr>
          <w:rFonts w:ascii="Arial" w:cs="Arial" w:eastAsia="Arial" w:hAnsi="Arial"/>
          <w:sz w:val="17"/>
          <w:szCs w:val="17"/>
          <w:b w:val="1"/>
          <w:bCs w:val="1"/>
          <w:color w:val="auto"/>
        </w:rPr>
        <w:t>issuer of such security is MarketWise, Inc. or any other company</w:t>
      </w:r>
      <w:r>
        <w:rPr>
          <w:rFonts w:ascii="Arial" w:cs="Arial" w:eastAsia="Arial" w:hAnsi="Arial"/>
          <w:sz w:val="17"/>
          <w:szCs w:val="17"/>
          <w:color w:val="auto"/>
        </w:rPr>
        <w:t>.</w:t>
      </w:r>
    </w:p>
    <w:p>
      <w:pPr>
        <w:spacing w:after="0" w:line="104" w:lineRule="exact"/>
        <w:rPr>
          <w:sz w:val="20"/>
          <w:szCs w:val="20"/>
          <w:color w:val="auto"/>
        </w:rPr>
      </w:pPr>
    </w:p>
    <w:p>
      <w:pPr>
        <w:ind w:left="940" w:right="20" w:hanging="283"/>
        <w:spacing w:after="0" w:line="218"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i w:val="1"/>
          <w:iCs w:val="1"/>
          <w:color w:val="auto"/>
        </w:rPr>
        <w:t>Blackout Period.</w:t>
      </w:r>
      <w:r>
        <w:rPr>
          <w:rFonts w:ascii="Arial" w:cs="Arial" w:eastAsia="Arial" w:hAnsi="Arial"/>
          <w:sz w:val="17"/>
          <w:szCs w:val="17"/>
          <w:color w:val="auto"/>
        </w:rPr>
        <w:t xml:space="preserve"> No officer, director, employee or contractor subject to blackout period trading restrictions (as designated and amended from time to time by the Chief Executive Officer and/or General Counsel and maintained by the Legal Department) shall purchase or</w:t>
      </w:r>
    </w:p>
    <w:p>
      <w:pPr>
        <w:ind w:left="940"/>
        <w:spacing w:after="0"/>
        <w:rPr>
          <w:sz w:val="20"/>
          <w:szCs w:val="20"/>
          <w:color w:val="auto"/>
        </w:rPr>
      </w:pPr>
      <w:r>
        <w:rPr>
          <w:rFonts w:ascii="Arial" w:cs="Arial" w:eastAsia="Arial" w:hAnsi="Arial"/>
          <w:sz w:val="17"/>
          <w:szCs w:val="17"/>
          <w:color w:val="auto"/>
        </w:rPr>
        <w:t>sell any security of the Company during a “Blackout Period.”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805815</wp:posOffset>
            </wp:positionV>
            <wp:extent cx="7150735"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4">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
        <w:spacing w:after="0"/>
        <w:tabs>
          <w:tab w:leader="none" w:pos="10320" w:val="left"/>
        </w:tabs>
        <w:rPr>
          <w:sz w:val="20"/>
          <w:szCs w:val="20"/>
          <w:color w:val="auto"/>
        </w:rPr>
      </w:pPr>
      <w:r>
        <w:rPr>
          <w:rFonts w:ascii="Arial" w:cs="Arial" w:eastAsia="Arial" w:hAnsi="Arial"/>
          <w:sz w:val="12"/>
          <w:szCs w:val="12"/>
          <w:i w:val="1"/>
          <w:iCs w:val="1"/>
          <w:color w:val="auto"/>
        </w:rPr>
        <w:t>CONFIDENTIAL &amp; PROPRIETARY – FOR INTERNAL DISTRIBUTION ONLY</w:t>
      </w:r>
      <w:r>
        <w:rPr>
          <w:sz w:val="20"/>
          <w:szCs w:val="20"/>
          <w:color w:val="auto"/>
        </w:rPr>
        <w:tab/>
      </w:r>
      <w:r>
        <w:rPr>
          <w:rFonts w:ascii="Arial" w:cs="Arial" w:eastAsia="Arial" w:hAnsi="Arial"/>
          <w:sz w:val="12"/>
          <w:szCs w:val="12"/>
          <w:color w:val="auto"/>
        </w:rPr>
        <w:t xml:space="preserve">PAGE 3 OF </w:t>
      </w:r>
      <w:r>
        <w:rPr>
          <w:rFonts w:ascii="Arial" w:cs="Arial" w:eastAsia="Arial" w:hAnsi="Arial"/>
          <w:sz w:val="12"/>
          <w:szCs w:val="12"/>
          <w:u w:val="single" w:color="auto"/>
          <w:color w:val="auto"/>
        </w:rPr>
        <w:t>13</w:t>
      </w:r>
    </w:p>
    <w:p>
      <w:pPr>
        <w:sectPr>
          <w:pgSz w:w="11900" w:h="16838" w:orient="portrait"/>
          <w:cols w:equalWidth="0" w:num="1">
            <w:col w:w="11200"/>
          </w:cols>
          <w:pgMar w:left="340" w:top="162" w:right="359" w:bottom="1440" w:gutter="0" w:footer="0" w:header="0"/>
        </w:sectPr>
      </w:pPr>
    </w:p>
    <w:bookmarkStart w:id="129" w:name="page130"/>
    <w:bookmarkEnd w:id="129"/>
    <w:p>
      <w:pPr>
        <w:ind w:left="9340"/>
        <w:spacing w:after="0"/>
        <w:rPr>
          <w:sz w:val="20"/>
          <w:szCs w:val="20"/>
          <w:color w:val="auto"/>
        </w:rPr>
      </w:pPr>
      <w:r>
        <w:rPr>
          <w:rFonts w:ascii="Arial" w:cs="Arial" w:eastAsia="Arial" w:hAnsi="Arial"/>
          <w:sz w:val="14"/>
          <w:szCs w:val="14"/>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17145</wp:posOffset>
            </wp:positionV>
            <wp:extent cx="7150735"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5">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960" w:right="20"/>
        <w:spacing w:after="0"/>
        <w:rPr>
          <w:sz w:val="20"/>
          <w:szCs w:val="20"/>
          <w:color w:val="auto"/>
        </w:rPr>
      </w:pPr>
      <w:r>
        <w:rPr>
          <w:rFonts w:ascii="Arial" w:cs="Arial" w:eastAsia="Arial" w:hAnsi="Arial"/>
          <w:sz w:val="17"/>
          <w:szCs w:val="17"/>
          <w:color w:val="auto"/>
        </w:rPr>
        <w:t>avoidance of doubt, this prohibition applies to the sale of Class A common stock relating to the redemption of units of MarketWise, LLC.</w:t>
      </w:r>
    </w:p>
    <w:p>
      <w:pPr>
        <w:spacing w:after="0" w:line="327" w:lineRule="exact"/>
        <w:rPr>
          <w:sz w:val="20"/>
          <w:szCs w:val="20"/>
          <w:color w:val="auto"/>
        </w:rPr>
      </w:pPr>
    </w:p>
    <w:p>
      <w:pPr>
        <w:ind w:left="940"/>
        <w:spacing w:after="0"/>
        <w:rPr>
          <w:sz w:val="20"/>
          <w:szCs w:val="20"/>
          <w:color w:val="auto"/>
        </w:rPr>
      </w:pPr>
      <w:r>
        <w:rPr>
          <w:rFonts w:ascii="Arial" w:cs="Arial" w:eastAsia="Arial" w:hAnsi="Arial"/>
          <w:sz w:val="17"/>
          <w:szCs w:val="17"/>
          <w:b w:val="1"/>
          <w:bCs w:val="1"/>
          <w:i w:val="1"/>
          <w:iCs w:val="1"/>
          <w:color w:val="auto"/>
        </w:rPr>
        <w:t>A Blackout Period is the period beginning on the 7th calendar day before the end of any fiscal quarter of the Company and</w:t>
      </w:r>
    </w:p>
    <w:p>
      <w:pPr>
        <w:ind w:left="940"/>
        <w:spacing w:after="0" w:line="235" w:lineRule="auto"/>
        <w:rPr>
          <w:sz w:val="20"/>
          <w:szCs w:val="20"/>
          <w:color w:val="auto"/>
        </w:rPr>
      </w:pPr>
      <w:r>
        <w:rPr>
          <w:rFonts w:ascii="Arial" w:cs="Arial" w:eastAsia="Arial" w:hAnsi="Arial"/>
          <w:sz w:val="17"/>
          <w:szCs w:val="17"/>
          <w:b w:val="1"/>
          <w:bCs w:val="1"/>
          <w:i w:val="1"/>
          <w:iCs w:val="1"/>
          <w:color w:val="auto"/>
        </w:rPr>
        <w:t>ending upon the commencement of the second full trading day after the public release of Company earnings data for such fiscal quarter or during any other trading suspension period declared by the Company.</w:t>
      </w:r>
    </w:p>
    <w:p>
      <w:pPr>
        <w:spacing w:after="0" w:line="127" w:lineRule="exact"/>
        <w:rPr>
          <w:sz w:val="20"/>
          <w:szCs w:val="20"/>
          <w:color w:val="auto"/>
        </w:rPr>
      </w:pPr>
    </w:p>
    <w:p>
      <w:pPr>
        <w:ind w:left="940"/>
        <w:spacing w:after="0"/>
        <w:rPr>
          <w:sz w:val="20"/>
          <w:szCs w:val="20"/>
          <w:color w:val="auto"/>
        </w:rPr>
      </w:pPr>
      <w:r>
        <w:rPr>
          <w:rFonts w:ascii="Arial" w:cs="Arial" w:eastAsia="Arial" w:hAnsi="Arial"/>
          <w:sz w:val="17"/>
          <w:szCs w:val="17"/>
          <w:color w:val="auto"/>
        </w:rPr>
        <w:t>The Blackout Period does not apply to the following:</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440" w:hanging="497"/>
        <w:spacing w:after="0"/>
        <w:tabs>
          <w:tab w:leader="none" w:pos="14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purchases of the Company’s securities from the Company or sales of the Company’s securities to the Company;</w:t>
      </w:r>
    </w:p>
    <w:p>
      <w:pPr>
        <w:spacing w:after="0" w:line="29" w:lineRule="exact"/>
        <w:rPr>
          <w:rFonts w:ascii="Arial" w:cs="Arial" w:eastAsia="Arial" w:hAnsi="Arial"/>
          <w:sz w:val="17"/>
          <w:szCs w:val="17"/>
          <w:color w:val="auto"/>
        </w:rPr>
      </w:pPr>
    </w:p>
    <w:p>
      <w:pPr>
        <w:ind w:left="1440" w:right="20" w:hanging="497"/>
        <w:spacing w:after="0" w:line="220" w:lineRule="auto"/>
        <w:tabs>
          <w:tab w:leader="none" w:pos="14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exercises of stock options, other equity awards or securities issued by the Company or subsidiary of the Company that are exchangeable for Class A common stock of the Company, or the surrender of shares to the Company in payment of the exercise price or in satisfaction of any tax withholding obligations in a manner permitted by the applicable equity award agreement, or vesting of equity-based awards that, in each case, do not involve a market sale of the Company’s securities (the “cashless exercise” of a Company stock option through a broker does involve a market sale of the Company’s securities, and therefore would not qualify under this exception);</w:t>
      </w:r>
    </w:p>
    <w:p>
      <w:pPr>
        <w:ind w:left="1440" w:right="360" w:hanging="497"/>
        <w:spacing w:after="0" w:line="236" w:lineRule="auto"/>
        <w:tabs>
          <w:tab w:leader="none" w:pos="1440"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 xml:space="preserve">bona fide </w:t>
      </w:r>
      <w:r>
        <w:rPr>
          <w:rFonts w:ascii="Arial" w:cs="Arial" w:eastAsia="Arial" w:hAnsi="Arial"/>
          <w:sz w:val="17"/>
          <w:szCs w:val="17"/>
          <w:color w:val="auto"/>
        </w:rPr>
        <w:t>gifts of the Company’s securities unless the individual making the gift knows, or is reckless in not knowing, the</w:t>
      </w:r>
      <w:r>
        <w:rPr>
          <w:rFonts w:ascii="Arial" w:cs="Arial" w:eastAsia="Arial" w:hAnsi="Arial"/>
          <w:sz w:val="17"/>
          <w:szCs w:val="17"/>
          <w:i w:val="1"/>
          <w:iCs w:val="1"/>
          <w:color w:val="auto"/>
        </w:rPr>
        <w:t xml:space="preserve"> </w:t>
      </w:r>
      <w:r>
        <w:rPr>
          <w:rFonts w:ascii="Arial" w:cs="Arial" w:eastAsia="Arial" w:hAnsi="Arial"/>
          <w:sz w:val="17"/>
          <w:szCs w:val="17"/>
          <w:color w:val="auto"/>
        </w:rPr>
        <w:t>recipient intends to sell the securities while the donor is in possession of material nonpublic information about the Company;</w:t>
      </w:r>
    </w:p>
    <w:p>
      <w:pPr>
        <w:spacing w:after="0" w:line="1" w:lineRule="exact"/>
        <w:rPr>
          <w:rFonts w:ascii="Arial" w:cs="Arial" w:eastAsia="Arial" w:hAnsi="Arial"/>
          <w:sz w:val="17"/>
          <w:szCs w:val="17"/>
          <w:color w:val="auto"/>
        </w:rPr>
      </w:pPr>
    </w:p>
    <w:p>
      <w:pPr>
        <w:jc w:val="both"/>
        <w:ind w:left="1440" w:right="100" w:hanging="497"/>
        <w:spacing w:after="0" w:line="216" w:lineRule="auto"/>
        <w:tabs>
          <w:tab w:leader="none" w:pos="1440" w:val="left"/>
        </w:tabs>
        <w:numPr>
          <w:ilvl w:val="0"/>
          <w:numId w:val="42"/>
        </w:numPr>
        <w:rPr>
          <w:rFonts w:ascii="Calibri" w:cs="Calibri" w:eastAsia="Calibri" w:hAnsi="Calibri"/>
          <w:sz w:val="19"/>
          <w:szCs w:val="19"/>
          <w:color w:val="auto"/>
        </w:rPr>
      </w:pPr>
      <w:r>
        <w:rPr>
          <w:rFonts w:ascii="Arial" w:cs="Arial" w:eastAsia="Arial" w:hAnsi="Arial"/>
          <w:sz w:val="17"/>
          <w:szCs w:val="17"/>
          <w:color w:val="auto"/>
        </w:rPr>
        <w:t>purchases of Company securities in the employee stock purchase plan resulting from your periodic contribution of money to the plan pursuant to the election you made at the time of your enrollment in the plan. This Policy does apply, however, to your sales of Company securities purchased pursuant to the plan; or</w:t>
      </w:r>
    </w:p>
    <w:p>
      <w:pPr>
        <w:ind w:left="1440" w:right="80" w:hanging="497"/>
        <w:spacing w:after="0" w:line="211" w:lineRule="auto"/>
        <w:tabs>
          <w:tab w:leader="none" w:pos="1440" w:val="left"/>
        </w:tabs>
        <w:numPr>
          <w:ilvl w:val="0"/>
          <w:numId w:val="42"/>
        </w:numPr>
        <w:rPr>
          <w:rFonts w:ascii="Calibri" w:cs="Calibri" w:eastAsia="Calibri" w:hAnsi="Calibri"/>
          <w:sz w:val="19"/>
          <w:szCs w:val="19"/>
          <w:color w:val="auto"/>
        </w:rPr>
      </w:pPr>
      <w:r>
        <w:rPr>
          <w:rFonts w:ascii="Arial" w:cs="Arial" w:eastAsia="Arial" w:hAnsi="Arial"/>
          <w:sz w:val="17"/>
          <w:szCs w:val="17"/>
          <w:color w:val="auto"/>
        </w:rPr>
        <w:t>purchases or sales of the Company’s securities made pursuant to any binding contract, specific instruction or written plan entered into while the purchaser or seller, as applicable, was unaware of any material nonpublic information and which contract, instruction, or plan (i) meets all requirements of the affirmative defense provided by Rule 10b5-1 (“Rule 10b5-1”) promulgated under the Securities Exchange Act of 1934, as amended (the “1934 Act”), (ii) was precleared in advance pursuant to this Policy and (iii) has not been amended or modified in any respect after such initial preclearance without such amendment or modification being precleared in advance pursuant to this Policy. For more information about Rule 10b5-1 trading plans, see Section 10 below.</w:t>
      </w:r>
    </w:p>
    <w:p>
      <w:pPr>
        <w:spacing w:after="0" w:line="13" w:lineRule="exact"/>
        <w:rPr>
          <w:sz w:val="20"/>
          <w:szCs w:val="20"/>
          <w:color w:val="auto"/>
        </w:rPr>
      </w:pPr>
    </w:p>
    <w:p>
      <w:pPr>
        <w:ind w:left="940" w:right="440" w:hanging="283"/>
        <w:spacing w:after="0" w:line="218"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i w:val="1"/>
          <w:iCs w:val="1"/>
          <w:color w:val="auto"/>
        </w:rPr>
        <w:t>Event-Specific Blackout Periods.</w:t>
      </w:r>
      <w:r>
        <w:rPr>
          <w:rFonts w:ascii="Arial" w:cs="Arial" w:eastAsia="Arial" w:hAnsi="Arial"/>
          <w:sz w:val="17"/>
          <w:szCs w:val="17"/>
          <w:color w:val="auto"/>
        </w:rPr>
        <w:t xml:space="preserve"> From time to time, events will occur that are material to the Company and cause certain officers, directors, employees or contractors to be in possession of material nonpublic information. When that happens, the Company will</w:t>
      </w:r>
    </w:p>
    <w:p>
      <w:pPr>
        <w:ind w:left="940"/>
        <w:spacing w:after="0" w:line="215" w:lineRule="auto"/>
        <w:rPr>
          <w:sz w:val="20"/>
          <w:szCs w:val="20"/>
          <w:color w:val="auto"/>
        </w:rPr>
      </w:pPr>
      <w:r>
        <w:rPr>
          <w:rFonts w:ascii="Arial" w:cs="Arial" w:eastAsia="Arial" w:hAnsi="Arial"/>
          <w:sz w:val="17"/>
          <w:szCs w:val="17"/>
          <w:color w:val="auto"/>
        </w:rPr>
        <w:t>recommend that those in possession of the material nonpublic information suspend all trading in the Company’s securities until the</w:t>
      </w:r>
    </w:p>
    <w:p>
      <w:pPr>
        <w:ind w:left="940" w:right="180"/>
        <w:spacing w:after="0" w:line="208" w:lineRule="auto"/>
        <w:rPr>
          <w:sz w:val="20"/>
          <w:szCs w:val="20"/>
          <w:color w:val="auto"/>
        </w:rPr>
      </w:pPr>
      <w:r>
        <w:rPr>
          <w:rFonts w:ascii="Arial" w:cs="Arial" w:eastAsia="Arial" w:hAnsi="Arial"/>
          <w:sz w:val="17"/>
          <w:szCs w:val="17"/>
          <w:color w:val="auto"/>
        </w:rPr>
        <w:t>information is no longer material or has been publicly disclosed. When such event-specific blackout periods occur, those subject to it will be notified by the Company. The event-specific blackout period will not be announced to those not subject to it, and those subject</w:t>
      </w:r>
    </w:p>
    <w:p>
      <w:pPr>
        <w:ind w:left="940" w:right="80"/>
        <w:spacing w:after="0" w:line="228" w:lineRule="auto"/>
        <w:rPr>
          <w:sz w:val="20"/>
          <w:szCs w:val="20"/>
          <w:color w:val="auto"/>
        </w:rPr>
      </w:pPr>
      <w:r>
        <w:rPr>
          <w:rFonts w:ascii="Arial" w:cs="Arial" w:eastAsia="Arial" w:hAnsi="Arial"/>
          <w:sz w:val="17"/>
          <w:szCs w:val="17"/>
          <w:color w:val="auto"/>
        </w:rPr>
        <w:t>to it or otherwise aware of it should not disclose it to others. Even if the Company has not notified you that you are subject to an event-specific blackout period, if you are aware of material nonpublic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404495</wp:posOffset>
            </wp:positionV>
            <wp:extent cx="7150735"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6">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10280" w:val="left"/>
        </w:tabs>
        <w:rPr>
          <w:sz w:val="20"/>
          <w:szCs w:val="20"/>
          <w:color w:val="auto"/>
        </w:rPr>
      </w:pPr>
      <w:r>
        <w:rPr>
          <w:rFonts w:ascii="Arial" w:cs="Arial" w:eastAsia="Arial" w:hAnsi="Arial"/>
          <w:sz w:val="12"/>
          <w:szCs w:val="12"/>
          <w:i w:val="1"/>
          <w:iCs w:val="1"/>
          <w:color w:val="auto"/>
        </w:rPr>
        <w:t>CONFIDENTIAL &amp; PROPRIETARY – FOR INTERNAL DISTRIBUTION ONLY</w:t>
      </w:r>
      <w:r>
        <w:rPr>
          <w:sz w:val="20"/>
          <w:szCs w:val="20"/>
          <w:color w:val="auto"/>
        </w:rPr>
        <w:tab/>
      </w:r>
      <w:r>
        <w:rPr>
          <w:rFonts w:ascii="Arial" w:cs="Arial" w:eastAsia="Arial" w:hAnsi="Arial"/>
          <w:sz w:val="12"/>
          <w:szCs w:val="12"/>
          <w:color w:val="auto"/>
        </w:rPr>
        <w:t xml:space="preserve">PAGE 4 OF </w:t>
      </w:r>
      <w:r>
        <w:rPr>
          <w:rFonts w:ascii="Arial" w:cs="Arial" w:eastAsia="Arial" w:hAnsi="Arial"/>
          <w:sz w:val="12"/>
          <w:szCs w:val="12"/>
          <w:u w:val="single" w:color="auto"/>
          <w:color w:val="auto"/>
        </w:rPr>
        <w:t>13</w:t>
      </w:r>
    </w:p>
    <w:p>
      <w:pPr>
        <w:sectPr>
          <w:pgSz w:w="11900" w:h="16838" w:orient="portrait"/>
          <w:cols w:equalWidth="0" w:num="1">
            <w:col w:w="11180"/>
          </w:cols>
          <w:pgMar w:left="380" w:top="162" w:right="339" w:bottom="1440" w:gutter="0" w:footer="0" w:header="0"/>
        </w:sectPr>
      </w:pPr>
    </w:p>
    <w:bookmarkStart w:id="130" w:name="page131"/>
    <w:bookmarkEnd w:id="130"/>
    <w:p>
      <w:pPr>
        <w:ind w:left="9340"/>
        <w:spacing w:after="0"/>
        <w:rPr>
          <w:sz w:val="20"/>
          <w:szCs w:val="20"/>
          <w:color w:val="auto"/>
        </w:rPr>
      </w:pPr>
      <w:r>
        <w:rPr>
          <w:rFonts w:ascii="Arial" w:cs="Arial" w:eastAsia="Arial" w:hAnsi="Arial"/>
          <w:sz w:val="14"/>
          <w:szCs w:val="14"/>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17145</wp:posOffset>
            </wp:positionV>
            <wp:extent cx="7150735"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7">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940" w:right="140"/>
        <w:spacing w:after="0" w:line="218" w:lineRule="auto"/>
        <w:rPr>
          <w:sz w:val="20"/>
          <w:szCs w:val="20"/>
          <w:color w:val="auto"/>
        </w:rPr>
      </w:pPr>
      <w:r>
        <w:rPr>
          <w:rFonts w:ascii="Arial" w:cs="Arial" w:eastAsia="Arial" w:hAnsi="Arial"/>
          <w:sz w:val="17"/>
          <w:szCs w:val="17"/>
          <w:color w:val="auto"/>
        </w:rPr>
        <w:t>information about the Company, you should not trade in Company securities. Any failure by the Company to designate you as subject to an event-specific blackout period, or to notify you of such designation, does not relieve you of your obligation not to trade in the</w:t>
      </w:r>
    </w:p>
    <w:p>
      <w:pPr>
        <w:ind w:left="940"/>
        <w:spacing w:after="0"/>
        <w:rPr>
          <w:sz w:val="20"/>
          <w:szCs w:val="20"/>
          <w:color w:val="auto"/>
        </w:rPr>
      </w:pPr>
      <w:r>
        <w:rPr>
          <w:rFonts w:ascii="Arial" w:cs="Arial" w:eastAsia="Arial" w:hAnsi="Arial"/>
          <w:sz w:val="17"/>
          <w:szCs w:val="17"/>
          <w:color w:val="auto"/>
        </w:rPr>
        <w:t>Company’s securities while possessing material nonpublic information.</w:t>
      </w:r>
    </w:p>
    <w:p>
      <w:pPr>
        <w:spacing w:after="0" w:line="14" w:lineRule="exact"/>
        <w:rPr>
          <w:sz w:val="20"/>
          <w:szCs w:val="20"/>
          <w:color w:val="auto"/>
        </w:rPr>
      </w:pPr>
    </w:p>
    <w:p>
      <w:pPr>
        <w:jc w:val="right"/>
        <w:ind w:left="660"/>
        <w:spacing w:after="0" w:line="216" w:lineRule="auto"/>
        <w:rPr>
          <w:sz w:val="20"/>
          <w:szCs w:val="20"/>
          <w:color w:val="auto"/>
        </w:rPr>
      </w:pPr>
      <w:r>
        <w:rPr>
          <w:rFonts w:ascii="Arial" w:cs="Arial" w:eastAsia="Arial" w:hAnsi="Arial"/>
          <w:sz w:val="17"/>
          <w:szCs w:val="17"/>
          <w:color w:val="auto"/>
        </w:rPr>
        <w:t xml:space="preserve">1.4 </w:t>
      </w:r>
      <w:r>
        <w:rPr>
          <w:rFonts w:ascii="Arial" w:cs="Arial" w:eastAsia="Arial" w:hAnsi="Arial"/>
          <w:sz w:val="17"/>
          <w:szCs w:val="17"/>
          <w:i w:val="1"/>
          <w:iCs w:val="1"/>
          <w:color w:val="auto"/>
        </w:rPr>
        <w:t>No Tipping</w:t>
      </w:r>
      <w:r>
        <w:rPr>
          <w:rFonts w:ascii="Arial" w:cs="Arial" w:eastAsia="Arial" w:hAnsi="Arial"/>
          <w:sz w:val="17"/>
          <w:szCs w:val="17"/>
          <w:b w:val="1"/>
          <w:bCs w:val="1"/>
          <w:color w:val="auto"/>
        </w:rPr>
        <w:t>.</w:t>
      </w:r>
      <w:r>
        <w:rPr>
          <w:rFonts w:ascii="Arial" w:cs="Arial" w:eastAsia="Arial" w:hAnsi="Arial"/>
          <w:sz w:val="17"/>
          <w:szCs w:val="17"/>
          <w:color w:val="auto"/>
        </w:rPr>
        <w:t xml:space="preserve"> No officer, director, employee or contractor shall directly or indirectly communicate (or “tip”) material nonpublic information to anyone outside the Company (except in accordance with the Company’s policies regarding the protection or authorized external</w:t>
      </w:r>
    </w:p>
    <w:p>
      <w:pPr>
        <w:ind w:left="960"/>
        <w:spacing w:after="0"/>
        <w:rPr>
          <w:sz w:val="20"/>
          <w:szCs w:val="20"/>
          <w:color w:val="auto"/>
        </w:rPr>
      </w:pPr>
      <w:r>
        <w:rPr>
          <w:rFonts w:ascii="Arial" w:cs="Arial" w:eastAsia="Arial" w:hAnsi="Arial"/>
          <w:sz w:val="17"/>
          <w:szCs w:val="17"/>
          <w:color w:val="auto"/>
        </w:rPr>
        <w:t>disclosure of Company information) or to anyone within the Company other than as required.</w:t>
      </w:r>
    </w:p>
    <w:p>
      <w:pPr>
        <w:spacing w:after="0" w:line="104" w:lineRule="exact"/>
        <w:rPr>
          <w:sz w:val="20"/>
          <w:szCs w:val="20"/>
          <w:color w:val="auto"/>
        </w:rPr>
      </w:pPr>
    </w:p>
    <w:p>
      <w:pPr>
        <w:jc w:val="right"/>
        <w:ind w:left="660"/>
        <w:spacing w:after="0" w:line="218" w:lineRule="auto"/>
        <w:rPr>
          <w:sz w:val="20"/>
          <w:szCs w:val="20"/>
          <w:color w:val="auto"/>
        </w:rPr>
      </w:pPr>
      <w:r>
        <w:rPr>
          <w:rFonts w:ascii="Arial" w:cs="Arial" w:eastAsia="Arial" w:hAnsi="Arial"/>
          <w:sz w:val="17"/>
          <w:szCs w:val="17"/>
          <w:color w:val="auto"/>
        </w:rPr>
        <w:t xml:space="preserve">1.5 </w:t>
      </w:r>
      <w:r>
        <w:rPr>
          <w:rFonts w:ascii="Arial" w:cs="Arial" w:eastAsia="Arial" w:hAnsi="Arial"/>
          <w:sz w:val="17"/>
          <w:szCs w:val="17"/>
          <w:i w:val="1"/>
          <w:iCs w:val="1"/>
          <w:color w:val="auto"/>
        </w:rPr>
        <w:t>Additional Prohibited Transactions</w:t>
      </w:r>
      <w:r>
        <w:rPr>
          <w:rFonts w:ascii="Arial" w:cs="Arial" w:eastAsia="Arial" w:hAnsi="Arial"/>
          <w:sz w:val="17"/>
          <w:szCs w:val="17"/>
          <w:b w:val="1"/>
          <w:bCs w:val="1"/>
          <w:color w:val="auto"/>
        </w:rPr>
        <w:t>.</w:t>
      </w:r>
      <w:r>
        <w:rPr>
          <w:rFonts w:ascii="Arial" w:cs="Arial" w:eastAsia="Arial" w:hAnsi="Arial"/>
          <w:sz w:val="17"/>
          <w:szCs w:val="17"/>
          <w:color w:val="auto"/>
        </w:rPr>
        <w:t xml:space="preserve"> The Company has determined that there is a heightened legal risk and/or the appearance of improper or inappropriate conduct if the persons subject to this Policy engage in certain types of transactions. Therefore, officers,</w:t>
      </w:r>
    </w:p>
    <w:p>
      <w:pPr>
        <w:ind w:left="960"/>
        <w:spacing w:after="0" w:line="215" w:lineRule="auto"/>
        <w:rPr>
          <w:sz w:val="20"/>
          <w:szCs w:val="20"/>
          <w:color w:val="auto"/>
        </w:rPr>
      </w:pPr>
      <w:r>
        <w:rPr>
          <w:rFonts w:ascii="Arial" w:cs="Arial" w:eastAsia="Arial" w:hAnsi="Arial"/>
          <w:sz w:val="17"/>
          <w:szCs w:val="17"/>
          <w:color w:val="auto"/>
        </w:rPr>
        <w:t>directors, employees, and contractors shall comply with the following policies with respect to certain prohibited transactions in the</w:t>
      </w:r>
    </w:p>
    <w:p>
      <w:pPr>
        <w:ind w:left="960"/>
        <w:spacing w:after="0"/>
        <w:rPr>
          <w:sz w:val="20"/>
          <w:szCs w:val="20"/>
          <w:color w:val="auto"/>
        </w:rPr>
      </w:pPr>
      <w:r>
        <w:rPr>
          <w:rFonts w:ascii="Arial" w:cs="Arial" w:eastAsia="Arial" w:hAnsi="Arial"/>
          <w:sz w:val="17"/>
          <w:szCs w:val="17"/>
          <w:color w:val="auto"/>
        </w:rPr>
        <w:t>Company’s securities:</w:t>
      </w:r>
    </w:p>
    <w:p>
      <w:pPr>
        <w:spacing w:after="0" w:line="46" w:lineRule="exact"/>
        <w:rPr>
          <w:sz w:val="20"/>
          <w:szCs w:val="20"/>
          <w:color w:val="auto"/>
        </w:rPr>
      </w:pPr>
    </w:p>
    <w:p>
      <w:pPr>
        <w:jc w:val="both"/>
        <w:ind w:left="1460" w:hanging="276"/>
        <w:spacing w:after="0" w:line="226" w:lineRule="auto"/>
        <w:tabs>
          <w:tab w:leader="none" w:pos="145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u w:val="single" w:color="auto"/>
          <w:color w:val="auto"/>
        </w:rPr>
        <w:t>Short Sales</w:t>
      </w:r>
      <w:r>
        <w:rPr>
          <w:rFonts w:ascii="Arial" w:cs="Arial" w:eastAsia="Arial" w:hAnsi="Arial"/>
          <w:sz w:val="17"/>
          <w:szCs w:val="17"/>
          <w:color w:val="auto"/>
        </w:rPr>
        <w:t>. Short sales of the Company’s securities are prohibited by this Policy. In addition, as noted below, Section 16(c) of the 1934 Act absolutely prohibits Section 16 reporting persons from making short sales of the Company’s equity securities, i.e., sales of shares that the insider does not own at the time of sale, or sales of shares against which the insider does not deliver the shares within 20 days after the sale.</w:t>
      </w:r>
    </w:p>
    <w:p>
      <w:pPr>
        <w:spacing w:after="0" w:line="46" w:lineRule="exact"/>
        <w:rPr>
          <w:rFonts w:ascii="Times New Roman" w:cs="Times New Roman" w:eastAsia="Times New Roman" w:hAnsi="Times New Roman"/>
          <w:sz w:val="17"/>
          <w:szCs w:val="17"/>
          <w:color w:val="auto"/>
        </w:rPr>
      </w:pPr>
    </w:p>
    <w:p>
      <w:pPr>
        <w:jc w:val="both"/>
        <w:ind w:left="1460" w:hanging="276"/>
        <w:spacing w:after="0" w:line="226" w:lineRule="auto"/>
        <w:tabs>
          <w:tab w:leader="none" w:pos="145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u w:val="single" w:color="auto"/>
          <w:color w:val="auto"/>
        </w:rPr>
        <w:t>Publicly Traded Options</w:t>
      </w:r>
      <w:r>
        <w:rPr>
          <w:rFonts w:ascii="Arial" w:cs="Arial" w:eastAsia="Arial" w:hAnsi="Arial"/>
          <w:sz w:val="17"/>
          <w:szCs w:val="17"/>
          <w:color w:val="auto"/>
        </w:rPr>
        <w:t>. Transactions in puts, calls or other derivative securities involving the Company’s equity securities, on an exchange or in any other organized market, are prohibited by this Policy. Such prohibition shall not apply to transactions involving warrants to purchase Class A common stock originally issued by the Company, provided, however, that all other applicable restrictions in this Policy will apply to such transactions.</w:t>
      </w:r>
    </w:p>
    <w:p>
      <w:pPr>
        <w:spacing w:after="0" w:line="34" w:lineRule="exact"/>
        <w:rPr>
          <w:rFonts w:ascii="Times New Roman" w:cs="Times New Roman" w:eastAsia="Times New Roman" w:hAnsi="Times New Roman"/>
          <w:sz w:val="17"/>
          <w:szCs w:val="17"/>
          <w:color w:val="auto"/>
        </w:rPr>
      </w:pPr>
    </w:p>
    <w:p>
      <w:pPr>
        <w:jc w:val="both"/>
        <w:ind w:left="1460" w:hanging="276"/>
        <w:spacing w:after="0" w:line="223" w:lineRule="auto"/>
        <w:tabs>
          <w:tab w:leader="none" w:pos="145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u w:val="single" w:color="auto"/>
          <w:color w:val="auto"/>
        </w:rPr>
        <w:t>Hedging Transactions</w:t>
      </w:r>
      <w:r>
        <w:rPr>
          <w:rFonts w:ascii="Arial" w:cs="Arial" w:eastAsia="Arial" w:hAnsi="Arial"/>
          <w:sz w:val="17"/>
          <w:szCs w:val="17"/>
          <w:color w:val="auto"/>
        </w:rPr>
        <w:t>. Certain forms of hedging or monetization transactions, such as zero-cost collars and forward sale contracts, allow an officer, director, employee or contractor to lock in much of the value of his or her stock holdings, often in exchange for all or part of the potential for upside appreciation in the stock. Such transactions allow the officer, director, employee or contractor to continue to own the covered securities, but without the full risks and rewards of ownership. When that occurs, the officer, director, employee or contractor may no longer have the same objectives as the Company’s other stockholders. Therefore, such transactions involving the Company’s equity securities are prohibited by this Policy.</w:t>
      </w:r>
    </w:p>
    <w:p>
      <w:pPr>
        <w:spacing w:after="0" w:line="32" w:lineRule="exact"/>
        <w:rPr>
          <w:rFonts w:ascii="Times New Roman" w:cs="Times New Roman" w:eastAsia="Times New Roman" w:hAnsi="Times New Roman"/>
          <w:sz w:val="17"/>
          <w:szCs w:val="17"/>
          <w:color w:val="auto"/>
        </w:rPr>
      </w:pPr>
    </w:p>
    <w:p>
      <w:pPr>
        <w:jc w:val="both"/>
        <w:ind w:left="1460" w:hanging="276"/>
        <w:spacing w:after="0" w:line="223" w:lineRule="auto"/>
        <w:tabs>
          <w:tab w:leader="none" w:pos="1450" w:val="left"/>
        </w:tabs>
        <w:numPr>
          <w:ilvl w:val="0"/>
          <w:numId w:val="43"/>
        </w:numPr>
        <w:rPr>
          <w:rFonts w:ascii="Times New Roman" w:cs="Times New Roman" w:eastAsia="Times New Roman" w:hAnsi="Times New Roman"/>
          <w:sz w:val="17"/>
          <w:szCs w:val="17"/>
          <w:color w:val="auto"/>
        </w:rPr>
      </w:pPr>
      <w:r>
        <w:rPr>
          <w:rFonts w:ascii="Arial" w:cs="Arial" w:eastAsia="Arial" w:hAnsi="Arial"/>
          <w:sz w:val="17"/>
          <w:szCs w:val="17"/>
          <w:u w:val="single" w:color="auto"/>
          <w:color w:val="auto"/>
        </w:rPr>
        <w:t>Purchases of the Company’s Securities on Margin; Pledging the Company’s Securities to Secure Margin or Other Loans</w:t>
      </w:r>
      <w:r>
        <w:rPr>
          <w:rFonts w:ascii="Arial" w:cs="Arial" w:eastAsia="Arial" w:hAnsi="Arial"/>
          <w:sz w:val="17"/>
          <w:szCs w:val="17"/>
          <w:color w:val="auto"/>
        </w:rPr>
        <w:t>. Purchasing on margin means borrowing from a brokerage firm, bank or other entity in order to purchase the Company’s securities (other than in connection with a cashless exercise of stock options under the Company’s equity plans). Margin purchases of the Company’s securities are prohibited by this Policy. Pledging the Company’s securities as collateral to secure loans is also prohibited. This prohibition means, among other things, that you cannot hold the Company’s securities in a “margin account” (which would allow you to borrow against your holdings to buy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396240</wp:posOffset>
            </wp:positionV>
            <wp:extent cx="7150735"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8">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tabs>
          <w:tab w:leader="none" w:pos="10280" w:val="left"/>
        </w:tabs>
        <w:rPr>
          <w:sz w:val="20"/>
          <w:szCs w:val="20"/>
          <w:color w:val="auto"/>
        </w:rPr>
      </w:pPr>
      <w:r>
        <w:rPr>
          <w:rFonts w:ascii="Arial" w:cs="Arial" w:eastAsia="Arial" w:hAnsi="Arial"/>
          <w:sz w:val="12"/>
          <w:szCs w:val="12"/>
          <w:i w:val="1"/>
          <w:iCs w:val="1"/>
          <w:color w:val="auto"/>
        </w:rPr>
        <w:t>CONFIDENTIAL &amp; PROPRIETARY – FOR INTERNAL DISTRIBUTION ONLY</w:t>
      </w:r>
      <w:r>
        <w:rPr>
          <w:sz w:val="20"/>
          <w:szCs w:val="20"/>
          <w:color w:val="auto"/>
        </w:rPr>
        <w:tab/>
      </w:r>
      <w:r>
        <w:rPr>
          <w:rFonts w:ascii="Arial" w:cs="Arial" w:eastAsia="Arial" w:hAnsi="Arial"/>
          <w:sz w:val="12"/>
          <w:szCs w:val="12"/>
          <w:color w:val="auto"/>
        </w:rPr>
        <w:t xml:space="preserve">PAGE 5 OF </w:t>
      </w:r>
      <w:r>
        <w:rPr>
          <w:rFonts w:ascii="Arial" w:cs="Arial" w:eastAsia="Arial" w:hAnsi="Arial"/>
          <w:sz w:val="12"/>
          <w:szCs w:val="12"/>
          <w:u w:val="single" w:color="auto"/>
          <w:color w:val="auto"/>
        </w:rPr>
        <w:t>13</w:t>
      </w:r>
    </w:p>
    <w:p>
      <w:pPr>
        <w:sectPr>
          <w:pgSz w:w="11900" w:h="16838" w:orient="portrait"/>
          <w:cols w:equalWidth="0" w:num="1">
            <w:col w:w="11160"/>
          </w:cols>
          <w:pgMar w:left="380" w:top="162" w:right="359" w:bottom="1440" w:gutter="0" w:footer="0" w:header="0"/>
        </w:sectPr>
      </w:pPr>
    </w:p>
    <w:bookmarkStart w:id="131" w:name="page132"/>
    <w:bookmarkEnd w:id="131"/>
    <w:p>
      <w:pPr>
        <w:ind w:left="9380"/>
        <w:spacing w:after="0"/>
        <w:rPr>
          <w:sz w:val="20"/>
          <w:szCs w:val="20"/>
          <w:color w:val="auto"/>
        </w:rPr>
      </w:pPr>
      <w:r>
        <w:rPr>
          <w:rFonts w:ascii="Arial" w:cs="Arial" w:eastAsia="Arial" w:hAnsi="Arial"/>
          <w:sz w:val="14"/>
          <w:szCs w:val="14"/>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17145</wp:posOffset>
            </wp:positionV>
            <wp:extent cx="7150735"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9">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2. Rules Regarding Insider Trading</w:t>
      </w:r>
    </w:p>
    <w:p>
      <w:pPr>
        <w:spacing w:after="0" w:line="43" w:lineRule="exact"/>
        <w:rPr>
          <w:sz w:val="20"/>
          <w:szCs w:val="20"/>
          <w:color w:val="auto"/>
        </w:rPr>
      </w:pPr>
    </w:p>
    <w:p>
      <w:pPr>
        <w:jc w:val="right"/>
        <w:ind w:left="680"/>
        <w:spacing w:after="0" w:line="208" w:lineRule="auto"/>
        <w:rPr>
          <w:sz w:val="20"/>
          <w:szCs w:val="20"/>
          <w:color w:val="auto"/>
        </w:rPr>
      </w:pPr>
      <w:r>
        <w:rPr>
          <w:rFonts w:ascii="Arial" w:cs="Arial" w:eastAsia="Arial" w:hAnsi="Arial"/>
          <w:sz w:val="17"/>
          <w:szCs w:val="17"/>
          <w:color w:val="auto"/>
        </w:rPr>
        <w:t>2.1 Insiders may not trade in the Company’s securities while in possession of material nonpublic information relating to the Company, nor may they tip such information to anyone outside the Company (except in accordance with the Company’s policies regarding the</w:t>
      </w:r>
    </w:p>
    <w:p>
      <w:pPr>
        <w:ind w:left="960"/>
        <w:spacing w:after="0"/>
        <w:rPr>
          <w:sz w:val="20"/>
          <w:szCs w:val="20"/>
          <w:color w:val="auto"/>
        </w:rPr>
      </w:pPr>
      <w:r>
        <w:rPr>
          <w:rFonts w:ascii="Arial" w:cs="Arial" w:eastAsia="Arial" w:hAnsi="Arial"/>
          <w:sz w:val="17"/>
          <w:szCs w:val="17"/>
          <w:color w:val="auto"/>
        </w:rPr>
        <w:t>protection or authorized external disclosure of Company information) or to anyone within the Company other than as required.</w:t>
      </w:r>
    </w:p>
    <w:p>
      <w:pPr>
        <w:spacing w:after="0" w:line="14" w:lineRule="exact"/>
        <w:rPr>
          <w:sz w:val="20"/>
          <w:szCs w:val="20"/>
          <w:color w:val="auto"/>
        </w:rPr>
      </w:pPr>
    </w:p>
    <w:p>
      <w:pPr>
        <w:jc w:val="right"/>
        <w:ind w:left="680"/>
        <w:spacing w:after="0" w:line="216" w:lineRule="auto"/>
        <w:rPr>
          <w:sz w:val="20"/>
          <w:szCs w:val="20"/>
          <w:color w:val="auto"/>
        </w:rPr>
      </w:pPr>
      <w:r>
        <w:rPr>
          <w:rFonts w:ascii="Arial" w:cs="Arial" w:eastAsia="Arial" w:hAnsi="Arial"/>
          <w:sz w:val="17"/>
          <w:szCs w:val="17"/>
          <w:color w:val="auto"/>
        </w:rPr>
        <w:t>2.2 In addition to family members, this Policy applies to any entities you control, including any corporations, partnerships or trusts, and transactions by these entities should be treated for the purposes of this Policy and applicable securities laws as if they were for your</w:t>
      </w:r>
    </w:p>
    <w:p>
      <w:pPr>
        <w:ind w:left="960"/>
        <w:spacing w:after="0"/>
        <w:rPr>
          <w:sz w:val="20"/>
          <w:szCs w:val="20"/>
          <w:color w:val="auto"/>
        </w:rPr>
      </w:pPr>
      <w:r>
        <w:rPr>
          <w:rFonts w:ascii="Arial" w:cs="Arial" w:eastAsia="Arial" w:hAnsi="Arial"/>
          <w:sz w:val="17"/>
          <w:szCs w:val="17"/>
          <w:color w:val="auto"/>
        </w:rPr>
        <w:t>own account.</w:t>
      </w:r>
    </w:p>
    <w:p>
      <w:pPr>
        <w:spacing w:after="0" w:line="14" w:lineRule="exact"/>
        <w:rPr>
          <w:sz w:val="20"/>
          <w:szCs w:val="20"/>
          <w:color w:val="auto"/>
        </w:rPr>
      </w:pPr>
    </w:p>
    <w:p>
      <w:pPr>
        <w:jc w:val="right"/>
        <w:ind w:left="680" w:right="40"/>
        <w:spacing w:after="0" w:line="216" w:lineRule="auto"/>
        <w:rPr>
          <w:sz w:val="20"/>
          <w:szCs w:val="20"/>
          <w:color w:val="auto"/>
        </w:rPr>
      </w:pPr>
      <w:r>
        <w:rPr>
          <w:rFonts w:ascii="Arial" w:cs="Arial" w:eastAsia="Arial" w:hAnsi="Arial"/>
          <w:sz w:val="17"/>
          <w:szCs w:val="17"/>
          <w:color w:val="auto"/>
        </w:rPr>
        <w:t>2.3 Examples of insider trading cases include actions brought against officers, directors, employees and contractors who traded in a company’s securities after learning of significant confidential corporate developments; friends, business associates, family members,</w:t>
      </w:r>
    </w:p>
    <w:p>
      <w:pPr>
        <w:ind w:left="1000"/>
        <w:spacing w:after="0" w:line="215" w:lineRule="auto"/>
        <w:rPr>
          <w:sz w:val="20"/>
          <w:szCs w:val="20"/>
          <w:color w:val="auto"/>
        </w:rPr>
      </w:pPr>
      <w:r>
        <w:rPr>
          <w:rFonts w:ascii="Arial" w:cs="Arial" w:eastAsia="Arial" w:hAnsi="Arial"/>
          <w:sz w:val="17"/>
          <w:szCs w:val="17"/>
          <w:color w:val="auto"/>
        </w:rPr>
        <w:t>and other Tippees (defined below) of such officers, directors, employees and contractors who traded in the securities after receiving</w:t>
      </w:r>
    </w:p>
    <w:p>
      <w:pPr>
        <w:spacing w:after="0" w:line="1" w:lineRule="exact"/>
        <w:rPr>
          <w:sz w:val="20"/>
          <w:szCs w:val="20"/>
          <w:color w:val="auto"/>
        </w:rPr>
      </w:pPr>
    </w:p>
    <w:p>
      <w:pPr>
        <w:ind w:left="1000" w:right="60"/>
        <w:spacing w:after="0" w:line="228" w:lineRule="auto"/>
        <w:rPr>
          <w:sz w:val="20"/>
          <w:szCs w:val="20"/>
          <w:color w:val="auto"/>
        </w:rPr>
      </w:pPr>
      <w:r>
        <w:rPr>
          <w:rFonts w:ascii="Arial" w:cs="Arial" w:eastAsia="Arial" w:hAnsi="Arial"/>
          <w:sz w:val="17"/>
          <w:szCs w:val="17"/>
          <w:color w:val="auto"/>
        </w:rPr>
        <w:t>such information; and other persons who misappropriated, and took advantage of, confidential information from their employers. The following are hypothetical illustrations of insider trading violations.</w:t>
      </w:r>
    </w:p>
    <w:p>
      <w:pPr>
        <w:spacing w:after="0" w:line="45" w:lineRule="exact"/>
        <w:rPr>
          <w:sz w:val="20"/>
          <w:szCs w:val="20"/>
          <w:color w:val="auto"/>
        </w:rPr>
      </w:pPr>
    </w:p>
    <w:p>
      <w:pPr>
        <w:jc w:val="both"/>
        <w:ind w:left="1520" w:right="40" w:hanging="288"/>
        <w:spacing w:after="0" w:line="221" w:lineRule="auto"/>
        <w:tabs>
          <w:tab w:leader="none" w:pos="1510" w:val="left"/>
        </w:tabs>
        <w:numPr>
          <w:ilvl w:val="1"/>
          <w:numId w:val="44"/>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Trading by an Insider. </w:t>
      </w:r>
      <w:r>
        <w:rPr>
          <w:rFonts w:ascii="Arial" w:cs="Arial" w:eastAsia="Arial" w:hAnsi="Arial"/>
          <w:sz w:val="17"/>
          <w:szCs w:val="17"/>
          <w:color w:val="auto"/>
        </w:rPr>
        <w:t>An officer of X Corporation learns that earnings to be reported by X Corporation will increase</w:t>
      </w:r>
      <w:r>
        <w:rPr>
          <w:rFonts w:ascii="Arial" w:cs="Arial" w:eastAsia="Arial" w:hAnsi="Arial"/>
          <w:sz w:val="17"/>
          <w:szCs w:val="17"/>
          <w:b w:val="1"/>
          <w:bCs w:val="1"/>
          <w:color w:val="auto"/>
        </w:rPr>
        <w:t xml:space="preserve"> </w:t>
      </w:r>
      <w:r>
        <w:rPr>
          <w:rFonts w:ascii="Arial" w:cs="Arial" w:eastAsia="Arial" w:hAnsi="Arial"/>
          <w:sz w:val="17"/>
          <w:szCs w:val="17"/>
          <w:color w:val="auto"/>
        </w:rPr>
        <w:t>dramatically. Prior to the public announcement of such earnings, the officer purchases X Corporation’s stock. The officer, an insider, is liable for all profits as well as penalties of up to three times the amount of all profits. The officer is also subject to, among other things, criminal prosecution, including up to $5 million in additional fines and 20 years in jail. Depending upon the circumstances, X Corporation and the individual to whom the officer reports could also be liable as controlling persons.</w:t>
      </w:r>
    </w:p>
    <w:p>
      <w:pPr>
        <w:spacing w:after="0" w:line="46" w:lineRule="exact"/>
        <w:rPr>
          <w:rFonts w:ascii="Times New Roman" w:cs="Times New Roman" w:eastAsia="Times New Roman" w:hAnsi="Times New Roman"/>
          <w:sz w:val="17"/>
          <w:szCs w:val="17"/>
          <w:color w:val="auto"/>
        </w:rPr>
      </w:pPr>
    </w:p>
    <w:p>
      <w:pPr>
        <w:jc w:val="both"/>
        <w:ind w:left="1520" w:right="40" w:hanging="288"/>
        <w:spacing w:after="0" w:line="224" w:lineRule="auto"/>
        <w:tabs>
          <w:tab w:leader="none" w:pos="1510" w:val="left"/>
        </w:tabs>
        <w:numPr>
          <w:ilvl w:val="1"/>
          <w:numId w:val="44"/>
        </w:numPr>
        <w:rPr>
          <w:rFonts w:ascii="Times New Roman" w:cs="Times New Roman" w:eastAsia="Times New Roman" w:hAnsi="Times New Roman"/>
          <w:sz w:val="17"/>
          <w:szCs w:val="17"/>
          <w:color w:val="auto"/>
        </w:rPr>
      </w:pPr>
      <w:r>
        <w:rPr>
          <w:rFonts w:ascii="Arial" w:cs="Arial" w:eastAsia="Arial" w:hAnsi="Arial"/>
          <w:sz w:val="17"/>
          <w:szCs w:val="17"/>
          <w:b w:val="1"/>
          <w:bCs w:val="1"/>
          <w:color w:val="auto"/>
        </w:rPr>
        <w:t xml:space="preserve">Trading by a Tippee. </w:t>
      </w:r>
      <w:r>
        <w:rPr>
          <w:rFonts w:ascii="Arial" w:cs="Arial" w:eastAsia="Arial" w:hAnsi="Arial"/>
          <w:sz w:val="17"/>
          <w:szCs w:val="17"/>
          <w:color w:val="auto"/>
        </w:rPr>
        <w:t>An officer of X Corporation tells a friend that X Corporation is about to publicly announce that it has</w:t>
      </w:r>
      <w:r>
        <w:rPr>
          <w:rFonts w:ascii="Arial" w:cs="Arial" w:eastAsia="Arial" w:hAnsi="Arial"/>
          <w:sz w:val="17"/>
          <w:szCs w:val="17"/>
          <w:b w:val="1"/>
          <w:bCs w:val="1"/>
          <w:color w:val="auto"/>
        </w:rPr>
        <w:t xml:space="preserve"> </w:t>
      </w:r>
      <w:r>
        <w:rPr>
          <w:rFonts w:ascii="Arial" w:cs="Arial" w:eastAsia="Arial" w:hAnsi="Arial"/>
          <w:sz w:val="17"/>
          <w:szCs w:val="17"/>
          <w:color w:val="auto"/>
        </w:rPr>
        <w:t>concluded an agreement for a major acquisition. This tip causes the friend to purchase X Corporation’s stock in advance of the announcement. The officer is jointly liable with his friend for all of the friend’s profits, and each is liable for all civil penalties of up to three times the amount of the friend’s profits. The officer and his friend are also subject to criminal prosecution and other remedies and sanctions, as described above.</w:t>
      </w:r>
    </w:p>
    <w:p>
      <w:pPr>
        <w:spacing w:after="0" w:line="2" w:lineRule="exact"/>
        <w:rPr>
          <w:rFonts w:ascii="Times New Roman" w:cs="Times New Roman" w:eastAsia="Times New Roman" w:hAnsi="Times New Roman"/>
          <w:sz w:val="17"/>
          <w:szCs w:val="17"/>
          <w:color w:val="auto"/>
        </w:rPr>
      </w:pPr>
    </w:p>
    <w:p>
      <w:pPr>
        <w:ind w:left="280" w:hanging="276"/>
        <w:spacing w:after="0"/>
        <w:tabs>
          <w:tab w:leader="none" w:pos="280" w:val="left"/>
        </w:tabs>
        <w:numPr>
          <w:ilvl w:val="0"/>
          <w:numId w:val="44"/>
        </w:numPr>
        <w:rPr>
          <w:rFonts w:ascii="Arial" w:cs="Arial" w:eastAsia="Arial" w:hAnsi="Arial"/>
          <w:sz w:val="25"/>
          <w:szCs w:val="25"/>
          <w:b w:val="1"/>
          <w:bCs w:val="1"/>
          <w:color w:val="auto"/>
        </w:rPr>
      </w:pPr>
      <w:r>
        <w:rPr>
          <w:rFonts w:ascii="Arial" w:cs="Arial" w:eastAsia="Arial" w:hAnsi="Arial"/>
          <w:sz w:val="25"/>
          <w:szCs w:val="25"/>
          <w:b w:val="1"/>
          <w:bCs w:val="1"/>
          <w:color w:val="auto"/>
        </w:rPr>
        <w:t>Examples of Material Information; Public Disclosure</w:t>
      </w:r>
    </w:p>
    <w:p>
      <w:pPr>
        <w:spacing w:after="0" w:line="18" w:lineRule="exact"/>
        <w:rPr>
          <w:sz w:val="20"/>
          <w:szCs w:val="20"/>
          <w:color w:val="auto"/>
        </w:rPr>
      </w:pPr>
    </w:p>
    <w:p>
      <w:pPr>
        <w:jc w:val="right"/>
        <w:ind w:left="680"/>
        <w:spacing w:after="0" w:line="208" w:lineRule="auto"/>
        <w:rPr>
          <w:sz w:val="20"/>
          <w:szCs w:val="20"/>
          <w:color w:val="auto"/>
        </w:rPr>
      </w:pPr>
      <w:r>
        <w:rPr>
          <w:rFonts w:ascii="Arial" w:cs="Arial" w:eastAsia="Arial" w:hAnsi="Arial"/>
          <w:sz w:val="17"/>
          <w:szCs w:val="17"/>
          <w:color w:val="auto"/>
        </w:rPr>
        <w:t>3.1 Examples of material information include, but are not limited to, information about: dividends; corporate earnings or earnings forecasts; possible mergers, acquisitions, tender offers, or dispositions; major new products or product developments; important business</w:t>
      </w:r>
    </w:p>
    <w:p>
      <w:pPr>
        <w:ind w:left="960"/>
        <w:spacing w:after="0" w:line="215" w:lineRule="auto"/>
        <w:rPr>
          <w:sz w:val="20"/>
          <w:szCs w:val="20"/>
          <w:color w:val="auto"/>
        </w:rPr>
      </w:pPr>
      <w:r>
        <w:rPr>
          <w:rFonts w:ascii="Arial" w:cs="Arial" w:eastAsia="Arial" w:hAnsi="Arial"/>
          <w:sz w:val="17"/>
          <w:szCs w:val="17"/>
          <w:color w:val="auto"/>
        </w:rPr>
        <w:t>developments such as major contract awards or cancellations or developments regarding strategic collaborators; management or</w:t>
      </w:r>
    </w:p>
    <w:p>
      <w:pPr>
        <w:spacing w:after="0" w:line="1" w:lineRule="exact"/>
        <w:rPr>
          <w:sz w:val="20"/>
          <w:szCs w:val="20"/>
          <w:color w:val="auto"/>
        </w:rPr>
      </w:pPr>
    </w:p>
    <w:p>
      <w:pPr>
        <w:jc w:val="both"/>
        <w:ind w:left="960"/>
        <w:spacing w:after="0" w:line="208" w:lineRule="auto"/>
        <w:rPr>
          <w:sz w:val="20"/>
          <w:szCs w:val="20"/>
          <w:color w:val="auto"/>
        </w:rPr>
      </w:pPr>
      <w:r>
        <w:rPr>
          <w:rFonts w:ascii="Arial" w:cs="Arial" w:eastAsia="Arial" w:hAnsi="Arial"/>
          <w:sz w:val="17"/>
          <w:szCs w:val="17"/>
          <w:color w:val="auto"/>
        </w:rPr>
        <w:t>control changes; significant borrowing or financing developments, including pending public sales or offerings of debt or equity securities; defaults on borrowings; bankruptcies; cybersecurity or data security incidents; and significant litigation or regulatory actions.</w:t>
      </w:r>
    </w:p>
    <w:p>
      <w:pPr>
        <w:ind w:left="960"/>
        <w:spacing w:after="0" w:line="228" w:lineRule="auto"/>
        <w:rPr>
          <w:sz w:val="20"/>
          <w:szCs w:val="20"/>
          <w:color w:val="auto"/>
        </w:rPr>
      </w:pPr>
      <w:r>
        <w:rPr>
          <w:rFonts w:ascii="Arial" w:cs="Arial" w:eastAsia="Arial" w:hAnsi="Arial"/>
          <w:sz w:val="17"/>
          <w:szCs w:val="17"/>
          <w:color w:val="auto"/>
        </w:rPr>
        <w:t>Material information does not have to be related to a company’s business. For example, the contents of a forthcoming newspaper column that is expected to affect the market price of a security can be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404495</wp:posOffset>
            </wp:positionV>
            <wp:extent cx="7150735"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0">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0"/>
        <w:spacing w:after="0"/>
        <w:tabs>
          <w:tab w:leader="none" w:pos="10320" w:val="left"/>
        </w:tabs>
        <w:rPr>
          <w:sz w:val="20"/>
          <w:szCs w:val="20"/>
          <w:color w:val="auto"/>
        </w:rPr>
      </w:pPr>
      <w:r>
        <w:rPr>
          <w:rFonts w:ascii="Arial" w:cs="Arial" w:eastAsia="Arial" w:hAnsi="Arial"/>
          <w:sz w:val="12"/>
          <w:szCs w:val="12"/>
          <w:i w:val="1"/>
          <w:iCs w:val="1"/>
          <w:color w:val="auto"/>
        </w:rPr>
        <w:t>CONFIDENTIAL &amp; PROPRIETARY – FOR INTERNAL DISTRIBUTION ONLY</w:t>
      </w:r>
      <w:r>
        <w:rPr>
          <w:sz w:val="20"/>
          <w:szCs w:val="20"/>
          <w:color w:val="auto"/>
        </w:rPr>
        <w:tab/>
      </w:r>
      <w:r>
        <w:rPr>
          <w:rFonts w:ascii="Arial" w:cs="Arial" w:eastAsia="Arial" w:hAnsi="Arial"/>
          <w:sz w:val="12"/>
          <w:szCs w:val="12"/>
          <w:color w:val="auto"/>
        </w:rPr>
        <w:t xml:space="preserve">PAGE 6 OF </w:t>
      </w:r>
      <w:r>
        <w:rPr>
          <w:rFonts w:ascii="Arial" w:cs="Arial" w:eastAsia="Arial" w:hAnsi="Arial"/>
          <w:sz w:val="12"/>
          <w:szCs w:val="12"/>
          <w:u w:val="single" w:color="auto"/>
          <w:color w:val="auto"/>
        </w:rPr>
        <w:t>13</w:t>
      </w:r>
    </w:p>
    <w:p>
      <w:pPr>
        <w:sectPr>
          <w:pgSz w:w="11900" w:h="16838" w:orient="portrait"/>
          <w:cols w:equalWidth="0" w:num="1">
            <w:col w:w="11220"/>
          </w:cols>
          <w:pgMar w:left="340" w:top="162" w:right="339" w:bottom="1440" w:gutter="0" w:footer="0" w:header="0"/>
        </w:sectPr>
      </w:pPr>
    </w:p>
    <w:bookmarkStart w:id="132" w:name="page133"/>
    <w:bookmarkEnd w:id="132"/>
    <w:p>
      <w:pPr>
        <w:ind w:left="9380"/>
        <w:spacing w:after="0"/>
        <w:rPr>
          <w:sz w:val="20"/>
          <w:szCs w:val="20"/>
          <w:color w:val="auto"/>
        </w:rPr>
      </w:pPr>
      <w:r>
        <w:rPr>
          <w:rFonts w:ascii="Arial" w:cs="Arial" w:eastAsia="Arial" w:hAnsi="Arial"/>
          <w:sz w:val="14"/>
          <w:szCs w:val="14"/>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17145</wp:posOffset>
            </wp:positionV>
            <wp:extent cx="7150735"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1">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ind w:left="660" w:right="120"/>
        <w:spacing w:after="0" w:line="218" w:lineRule="auto"/>
        <w:rPr>
          <w:sz w:val="20"/>
          <w:szCs w:val="20"/>
          <w:color w:val="auto"/>
        </w:rPr>
      </w:pPr>
      <w:r>
        <w:rPr>
          <w:rFonts w:ascii="Arial" w:cs="Arial" w:eastAsia="Arial" w:hAnsi="Arial"/>
          <w:sz w:val="17"/>
          <w:szCs w:val="17"/>
          <w:color w:val="auto"/>
        </w:rPr>
        <w:t>3.2 The circulation of rumors, even if accurate and reported in the media, does not constitute effective public dissemination. In addition, even after a public announcement, a reasonable period of time must lapse in order for the market to react to the information.</w:t>
      </w:r>
    </w:p>
    <w:p>
      <w:pPr>
        <w:ind w:left="940" w:right="140"/>
        <w:spacing w:after="0" w:line="236" w:lineRule="auto"/>
        <w:rPr>
          <w:sz w:val="20"/>
          <w:szCs w:val="20"/>
          <w:color w:val="auto"/>
        </w:rPr>
      </w:pPr>
      <w:r>
        <w:rPr>
          <w:rFonts w:ascii="Arial" w:cs="Arial" w:eastAsia="Arial" w:hAnsi="Arial"/>
          <w:sz w:val="17"/>
          <w:szCs w:val="17"/>
          <w:color w:val="auto"/>
        </w:rPr>
        <w:t>Generally, one should allow two full trading days following publication as a reasonable waiting period before such information is deemed to be public.</w:t>
      </w:r>
    </w:p>
    <w:p>
      <w:pPr>
        <w:spacing w:after="0"/>
        <w:rPr>
          <w:sz w:val="20"/>
          <w:szCs w:val="20"/>
          <w:color w:val="auto"/>
        </w:rPr>
      </w:pPr>
      <w:r>
        <w:rPr>
          <w:rFonts w:ascii="Arial" w:cs="Arial" w:eastAsia="Arial" w:hAnsi="Arial"/>
          <w:sz w:val="25"/>
          <w:szCs w:val="25"/>
          <w:b w:val="1"/>
          <w:bCs w:val="1"/>
          <w:color w:val="auto"/>
        </w:rPr>
        <w:t>4. Tipping</w:t>
      </w:r>
    </w:p>
    <w:p>
      <w:pPr>
        <w:spacing w:after="0" w:line="18" w:lineRule="exact"/>
        <w:rPr>
          <w:sz w:val="20"/>
          <w:szCs w:val="20"/>
          <w:color w:val="auto"/>
        </w:rPr>
      </w:pPr>
    </w:p>
    <w:p>
      <w:pPr>
        <w:jc w:val="right"/>
        <w:ind w:left="660" w:right="180"/>
        <w:spacing w:after="0" w:line="208" w:lineRule="auto"/>
        <w:rPr>
          <w:sz w:val="20"/>
          <w:szCs w:val="20"/>
          <w:color w:val="auto"/>
        </w:rPr>
      </w:pPr>
      <w:r>
        <w:rPr>
          <w:rFonts w:ascii="Arial" w:cs="Arial" w:eastAsia="Arial" w:hAnsi="Arial"/>
          <w:sz w:val="17"/>
          <w:szCs w:val="17"/>
          <w:color w:val="auto"/>
        </w:rPr>
        <w:t>4.1 Insiders may be liable for communicating or tipping material nonpublic information to a third party (a “</w:t>
      </w:r>
      <w:r>
        <w:rPr>
          <w:rFonts w:ascii="Arial" w:cs="Arial" w:eastAsia="Arial" w:hAnsi="Arial"/>
          <w:sz w:val="17"/>
          <w:szCs w:val="17"/>
          <w:b w:val="1"/>
          <w:bCs w:val="1"/>
          <w:i w:val="1"/>
          <w:iCs w:val="1"/>
          <w:color w:val="auto"/>
        </w:rPr>
        <w:t>Tippee</w:t>
      </w:r>
      <w:r>
        <w:rPr>
          <w:rFonts w:ascii="Arial" w:cs="Arial" w:eastAsia="Arial" w:hAnsi="Arial"/>
          <w:sz w:val="17"/>
          <w:szCs w:val="17"/>
          <w:color w:val="auto"/>
        </w:rPr>
        <w:t>”), and insider trading violations are not limited to trading or tipping by insiders. Persons other than insiders can also be liable for insider trading, including</w:t>
      </w:r>
    </w:p>
    <w:p>
      <w:pPr>
        <w:ind w:left="980"/>
        <w:spacing w:after="0" w:line="215" w:lineRule="auto"/>
        <w:rPr>
          <w:sz w:val="20"/>
          <w:szCs w:val="20"/>
          <w:color w:val="auto"/>
        </w:rPr>
      </w:pPr>
      <w:r>
        <w:rPr>
          <w:rFonts w:ascii="Arial" w:cs="Arial" w:eastAsia="Arial" w:hAnsi="Arial"/>
          <w:sz w:val="17"/>
          <w:szCs w:val="17"/>
          <w:color w:val="auto"/>
        </w:rPr>
        <w:t>Tippees who trade on material nonpublic information tipped to them or individuals who trade on material nonpublic information that</w:t>
      </w:r>
    </w:p>
    <w:p>
      <w:pPr>
        <w:spacing w:after="0" w:line="1" w:lineRule="exact"/>
        <w:rPr>
          <w:sz w:val="20"/>
          <w:szCs w:val="20"/>
          <w:color w:val="auto"/>
        </w:rPr>
      </w:pPr>
    </w:p>
    <w:p>
      <w:pPr>
        <w:ind w:left="980" w:right="180"/>
        <w:spacing w:after="0" w:line="228" w:lineRule="auto"/>
        <w:rPr>
          <w:sz w:val="20"/>
          <w:szCs w:val="20"/>
          <w:color w:val="auto"/>
        </w:rPr>
      </w:pPr>
      <w:r>
        <w:rPr>
          <w:rFonts w:ascii="Arial" w:cs="Arial" w:eastAsia="Arial" w:hAnsi="Arial"/>
          <w:sz w:val="17"/>
          <w:szCs w:val="17"/>
          <w:color w:val="auto"/>
        </w:rPr>
        <w:t>has been misappropriated. Insiders may be held liable for tipping even if they receive no personal benefit from tipping and even if no close personal relationship exists between them and the Tippee.</w:t>
      </w:r>
    </w:p>
    <w:p>
      <w:pPr>
        <w:spacing w:after="0" w:line="92" w:lineRule="exact"/>
        <w:rPr>
          <w:sz w:val="20"/>
          <w:szCs w:val="20"/>
          <w:color w:val="auto"/>
        </w:rPr>
      </w:pPr>
    </w:p>
    <w:p>
      <w:pPr>
        <w:jc w:val="right"/>
        <w:ind w:left="660" w:right="140"/>
        <w:spacing w:after="0" w:line="218" w:lineRule="auto"/>
        <w:rPr>
          <w:sz w:val="20"/>
          <w:szCs w:val="20"/>
          <w:color w:val="auto"/>
        </w:rPr>
      </w:pPr>
      <w:r>
        <w:rPr>
          <w:rFonts w:ascii="Arial" w:cs="Arial" w:eastAsia="Arial" w:hAnsi="Arial"/>
          <w:sz w:val="17"/>
          <w:szCs w:val="17"/>
          <w:color w:val="auto"/>
        </w:rPr>
        <w:t>4.2 Tippees inherit an insider’s duties and are liable for trading on material nonpublic information illegally tipped to them by an insider. Similarly, just as insiders are liable for the insider trading of their Tippees, so are Tippees who pass the information along to others</w:t>
      </w:r>
    </w:p>
    <w:p>
      <w:pPr>
        <w:ind w:left="940"/>
        <w:spacing w:after="0" w:line="215" w:lineRule="auto"/>
        <w:rPr>
          <w:sz w:val="20"/>
          <w:szCs w:val="20"/>
          <w:color w:val="auto"/>
        </w:rPr>
      </w:pPr>
      <w:r>
        <w:rPr>
          <w:rFonts w:ascii="Arial" w:cs="Arial" w:eastAsia="Arial" w:hAnsi="Arial"/>
          <w:sz w:val="17"/>
          <w:szCs w:val="17"/>
          <w:color w:val="auto"/>
        </w:rPr>
        <w:t>who trade. In other words, a Tippee’s liability for insider trading is no different from that of an insider. Tippees can obtain material</w:t>
      </w:r>
    </w:p>
    <w:p>
      <w:pPr>
        <w:ind w:left="940" w:right="140"/>
        <w:spacing w:after="0" w:line="228" w:lineRule="auto"/>
        <w:rPr>
          <w:sz w:val="20"/>
          <w:szCs w:val="20"/>
          <w:color w:val="auto"/>
        </w:rPr>
      </w:pPr>
      <w:r>
        <w:rPr>
          <w:rFonts w:ascii="Arial" w:cs="Arial" w:eastAsia="Arial" w:hAnsi="Arial"/>
          <w:sz w:val="17"/>
          <w:szCs w:val="17"/>
          <w:color w:val="auto"/>
        </w:rPr>
        <w:t>nonpublic information by receiving overt tips from others or through, among other things, conversations at social, business, or other gatherings.</w:t>
      </w:r>
    </w:p>
    <w:p>
      <w:pPr>
        <w:spacing w:after="0" w:line="16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5. Penalties</w:t>
      </w:r>
    </w:p>
    <w:p>
      <w:pPr>
        <w:spacing w:after="0" w:line="43" w:lineRule="exact"/>
        <w:rPr>
          <w:sz w:val="20"/>
          <w:szCs w:val="20"/>
          <w:color w:val="auto"/>
        </w:rPr>
      </w:pPr>
    </w:p>
    <w:p>
      <w:pPr>
        <w:jc w:val="right"/>
        <w:ind w:left="660" w:right="160"/>
        <w:spacing w:after="0" w:line="208" w:lineRule="auto"/>
        <w:rPr>
          <w:sz w:val="20"/>
          <w:szCs w:val="20"/>
          <w:color w:val="auto"/>
        </w:rPr>
      </w:pPr>
      <w:r>
        <w:rPr>
          <w:rFonts w:ascii="Arial" w:cs="Arial" w:eastAsia="Arial" w:hAnsi="Arial"/>
          <w:sz w:val="17"/>
          <w:szCs w:val="17"/>
          <w:color w:val="auto"/>
        </w:rPr>
        <w:t>5.1 Penalties for trading on or tipping material nonpublic information can extend significantly beyond any profits made or losses avoided, both for individuals engaging in such unlawful conduct and their employers. Enforcement remedies available to the government or</w:t>
      </w:r>
    </w:p>
    <w:p>
      <w:pPr>
        <w:ind w:left="980"/>
        <w:spacing w:after="0"/>
        <w:rPr>
          <w:sz w:val="20"/>
          <w:szCs w:val="20"/>
          <w:color w:val="auto"/>
        </w:rPr>
      </w:pPr>
      <w:r>
        <w:rPr>
          <w:rFonts w:ascii="Arial" w:cs="Arial" w:eastAsia="Arial" w:hAnsi="Arial"/>
          <w:sz w:val="17"/>
          <w:szCs w:val="17"/>
          <w:color w:val="auto"/>
        </w:rPr>
        <w:t>private plaintiffs under the federal securities laws include:</w:t>
      </w:r>
    </w:p>
    <w:p>
      <w:pPr>
        <w:spacing w:after="0" w:line="57" w:lineRule="exact"/>
        <w:rPr>
          <w:sz w:val="20"/>
          <w:szCs w:val="20"/>
          <w:color w:val="auto"/>
        </w:rPr>
      </w:pPr>
    </w:p>
    <w:p>
      <w:pPr>
        <w:ind w:left="1440" w:hanging="266"/>
        <w:spacing w:after="0"/>
        <w:tabs>
          <w:tab w:leader="none" w:pos="144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SEC administrative sanctions;</w:t>
      </w:r>
    </w:p>
    <w:p>
      <w:pPr>
        <w:spacing w:after="0" w:line="61" w:lineRule="exact"/>
        <w:rPr>
          <w:rFonts w:ascii="Times New Roman" w:cs="Times New Roman" w:eastAsia="Times New Roman" w:hAnsi="Times New Roman"/>
          <w:sz w:val="17"/>
          <w:szCs w:val="17"/>
          <w:color w:val="auto"/>
        </w:rPr>
      </w:pPr>
    </w:p>
    <w:p>
      <w:pPr>
        <w:ind w:left="1440" w:hanging="266"/>
        <w:spacing w:after="0"/>
        <w:tabs>
          <w:tab w:leader="none" w:pos="144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securities industry self-regulatory organization sanctions;</w:t>
      </w:r>
    </w:p>
    <w:p>
      <w:pPr>
        <w:spacing w:after="0" w:line="72" w:lineRule="exact"/>
        <w:rPr>
          <w:rFonts w:ascii="Times New Roman" w:cs="Times New Roman" w:eastAsia="Times New Roman" w:hAnsi="Times New Roman"/>
          <w:sz w:val="17"/>
          <w:szCs w:val="17"/>
          <w:color w:val="auto"/>
        </w:rPr>
      </w:pPr>
    </w:p>
    <w:p>
      <w:pPr>
        <w:ind w:left="1440" w:hanging="266"/>
        <w:spacing w:after="0"/>
        <w:tabs>
          <w:tab w:leader="none" w:pos="144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civil injunctions;</w:t>
      </w:r>
    </w:p>
    <w:p>
      <w:pPr>
        <w:spacing w:after="0" w:line="61" w:lineRule="exact"/>
        <w:rPr>
          <w:rFonts w:ascii="Times New Roman" w:cs="Times New Roman" w:eastAsia="Times New Roman" w:hAnsi="Times New Roman"/>
          <w:sz w:val="17"/>
          <w:szCs w:val="17"/>
          <w:color w:val="auto"/>
        </w:rPr>
      </w:pPr>
    </w:p>
    <w:p>
      <w:pPr>
        <w:ind w:left="1440" w:hanging="266"/>
        <w:spacing w:after="0"/>
        <w:tabs>
          <w:tab w:leader="none" w:pos="144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damage awards to private plaintiffs;</w:t>
      </w:r>
    </w:p>
    <w:p>
      <w:pPr>
        <w:spacing w:after="0" w:line="72" w:lineRule="exact"/>
        <w:rPr>
          <w:rFonts w:ascii="Times New Roman" w:cs="Times New Roman" w:eastAsia="Times New Roman" w:hAnsi="Times New Roman"/>
          <w:sz w:val="17"/>
          <w:szCs w:val="17"/>
          <w:color w:val="auto"/>
        </w:rPr>
      </w:pPr>
    </w:p>
    <w:p>
      <w:pPr>
        <w:ind w:left="1440" w:hanging="266"/>
        <w:spacing w:after="0"/>
        <w:tabs>
          <w:tab w:leader="none" w:pos="144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disgorgement of all profits;</w:t>
      </w:r>
    </w:p>
    <w:p>
      <w:pPr>
        <w:spacing w:after="0" w:line="72" w:lineRule="exact"/>
        <w:rPr>
          <w:rFonts w:ascii="Times New Roman" w:cs="Times New Roman" w:eastAsia="Times New Roman" w:hAnsi="Times New Roman"/>
          <w:sz w:val="17"/>
          <w:szCs w:val="17"/>
          <w:color w:val="auto"/>
        </w:rPr>
      </w:pPr>
    </w:p>
    <w:p>
      <w:pPr>
        <w:ind w:left="1440" w:hanging="266"/>
        <w:spacing w:after="0"/>
        <w:tabs>
          <w:tab w:leader="none" w:pos="144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civil fines for the violator of up to three times the amount of profit gained or loss avoided;</w:t>
      </w:r>
    </w:p>
    <w:p>
      <w:pPr>
        <w:spacing w:after="0" w:line="61" w:lineRule="exact"/>
        <w:rPr>
          <w:rFonts w:ascii="Times New Roman" w:cs="Times New Roman" w:eastAsia="Times New Roman" w:hAnsi="Times New Roman"/>
          <w:sz w:val="17"/>
          <w:szCs w:val="17"/>
          <w:color w:val="auto"/>
        </w:rPr>
      </w:pPr>
    </w:p>
    <w:p>
      <w:pPr>
        <w:ind w:left="1460" w:right="180" w:hanging="286"/>
        <w:spacing w:after="0" w:line="250" w:lineRule="auto"/>
        <w:tabs>
          <w:tab w:leader="none" w:pos="145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civil fines for the employer or other controlling person of a violator (i.e., where the violator is an employee or other controlled person) of up to the greater of $1.425 million or three times the amount of profit gained or loss avoided by the violator;</w:t>
      </w:r>
    </w:p>
    <w:p>
      <w:pPr>
        <w:spacing w:after="0" w:line="36" w:lineRule="exact"/>
        <w:rPr>
          <w:rFonts w:ascii="Times New Roman" w:cs="Times New Roman" w:eastAsia="Times New Roman" w:hAnsi="Times New Roman"/>
          <w:sz w:val="17"/>
          <w:szCs w:val="17"/>
          <w:color w:val="auto"/>
        </w:rPr>
      </w:pPr>
    </w:p>
    <w:p>
      <w:pPr>
        <w:ind w:left="1440" w:hanging="266"/>
        <w:spacing w:after="0"/>
        <w:tabs>
          <w:tab w:leader="none" w:pos="144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criminal fines for individual violators of up to $5 million ($25 million for an entity); and</w:t>
      </w:r>
    </w:p>
    <w:p>
      <w:pPr>
        <w:spacing w:after="0" w:line="61" w:lineRule="exact"/>
        <w:rPr>
          <w:rFonts w:ascii="Times New Roman" w:cs="Times New Roman" w:eastAsia="Times New Roman" w:hAnsi="Times New Roman"/>
          <w:sz w:val="17"/>
          <w:szCs w:val="17"/>
          <w:color w:val="auto"/>
        </w:rPr>
      </w:pPr>
    </w:p>
    <w:p>
      <w:pPr>
        <w:ind w:left="1440" w:hanging="266"/>
        <w:spacing w:after="0"/>
        <w:tabs>
          <w:tab w:leader="none" w:pos="1440" w:val="left"/>
        </w:tabs>
        <w:numPr>
          <w:ilvl w:val="0"/>
          <w:numId w:val="45"/>
        </w:numPr>
        <w:rPr>
          <w:rFonts w:ascii="Times New Roman" w:cs="Times New Roman" w:eastAsia="Times New Roman" w:hAnsi="Times New Roman"/>
          <w:sz w:val="17"/>
          <w:szCs w:val="17"/>
          <w:color w:val="auto"/>
        </w:rPr>
      </w:pPr>
      <w:r>
        <w:rPr>
          <w:rFonts w:ascii="Arial" w:cs="Arial" w:eastAsia="Arial" w:hAnsi="Arial"/>
          <w:sz w:val="17"/>
          <w:szCs w:val="17"/>
          <w:color w:val="auto"/>
        </w:rPr>
        <w:t>jail sentences of up to 20 years.</w:t>
      </w:r>
    </w:p>
    <w:p>
      <w:pPr>
        <w:spacing w:after="0" w:line="131" w:lineRule="exact"/>
        <w:rPr>
          <w:sz w:val="20"/>
          <w:szCs w:val="20"/>
          <w:color w:val="auto"/>
        </w:rPr>
      </w:pPr>
    </w:p>
    <w:p>
      <w:pPr>
        <w:ind w:left="940" w:right="120" w:hanging="283"/>
        <w:spacing w:after="0" w:line="238" w:lineRule="auto"/>
        <w:rPr>
          <w:sz w:val="20"/>
          <w:szCs w:val="20"/>
          <w:color w:val="auto"/>
        </w:rPr>
      </w:pPr>
      <w:r>
        <w:rPr>
          <w:rFonts w:ascii="Arial" w:cs="Arial" w:eastAsia="Arial" w:hAnsi="Arial"/>
          <w:sz w:val="17"/>
          <w:szCs w:val="17"/>
          <w:color w:val="auto"/>
        </w:rPr>
        <w:t>5.2 In addition, insider trading could result in serious sanctions by the Company against an individual, including termination of employment. Insider trading violations are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894715</wp:posOffset>
            </wp:positionV>
            <wp:extent cx="7150735"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2">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0"/>
        <w:spacing w:after="0"/>
        <w:tabs>
          <w:tab w:leader="none" w:pos="10320" w:val="left"/>
        </w:tabs>
        <w:rPr>
          <w:sz w:val="20"/>
          <w:szCs w:val="20"/>
          <w:color w:val="auto"/>
        </w:rPr>
      </w:pPr>
      <w:r>
        <w:rPr>
          <w:rFonts w:ascii="Arial" w:cs="Arial" w:eastAsia="Arial" w:hAnsi="Arial"/>
          <w:sz w:val="12"/>
          <w:szCs w:val="12"/>
          <w:i w:val="1"/>
          <w:iCs w:val="1"/>
          <w:color w:val="auto"/>
        </w:rPr>
        <w:t>CONFIDENTIAL &amp; PROPRIETARY – FOR INTERNAL DISTRIBUTION ONLY</w:t>
      </w:r>
      <w:r>
        <w:rPr>
          <w:sz w:val="20"/>
          <w:szCs w:val="20"/>
          <w:color w:val="auto"/>
        </w:rPr>
        <w:tab/>
      </w:r>
      <w:r>
        <w:rPr>
          <w:rFonts w:ascii="Arial" w:cs="Arial" w:eastAsia="Arial" w:hAnsi="Arial"/>
          <w:sz w:val="12"/>
          <w:szCs w:val="12"/>
          <w:color w:val="auto"/>
        </w:rPr>
        <w:t xml:space="preserve">PAGE 7 OF </w:t>
      </w:r>
      <w:r>
        <w:rPr>
          <w:rFonts w:ascii="Arial" w:cs="Arial" w:eastAsia="Arial" w:hAnsi="Arial"/>
          <w:sz w:val="12"/>
          <w:szCs w:val="12"/>
          <w:u w:val="single" w:color="auto"/>
          <w:color w:val="auto"/>
        </w:rPr>
        <w:t>13</w:t>
      </w:r>
    </w:p>
    <w:p>
      <w:pPr>
        <w:sectPr>
          <w:pgSz w:w="11900" w:h="16838" w:orient="portrait"/>
          <w:cols w:equalWidth="0" w:num="1">
            <w:col w:w="11180"/>
          </w:cols>
          <w:pgMar w:left="340" w:top="162" w:right="379" w:bottom="1440" w:gutter="0" w:footer="0" w:header="0"/>
        </w:sectPr>
      </w:pPr>
    </w:p>
    <w:bookmarkStart w:id="133" w:name="page134"/>
    <w:bookmarkEnd w:id="133"/>
    <w:p>
      <w:pPr>
        <w:ind w:left="9400"/>
        <w:spacing w:after="0"/>
        <w:rPr>
          <w:sz w:val="20"/>
          <w:szCs w:val="20"/>
          <w:color w:val="auto"/>
        </w:rPr>
      </w:pPr>
      <w:r>
        <w:rPr>
          <w:rFonts w:ascii="Arial" w:cs="Arial" w:eastAsia="Arial" w:hAnsi="Arial"/>
          <w:sz w:val="14"/>
          <w:szCs w:val="14"/>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150735"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3">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1000"/>
        <w:spacing w:after="0" w:line="238" w:lineRule="auto"/>
        <w:rPr>
          <w:sz w:val="20"/>
          <w:szCs w:val="20"/>
          <w:color w:val="auto"/>
        </w:rPr>
      </w:pPr>
      <w:r>
        <w:rPr>
          <w:rFonts w:ascii="Arial" w:cs="Arial" w:eastAsia="Arial" w:hAnsi="Arial"/>
          <w:sz w:val="17"/>
          <w:szCs w:val="17"/>
          <w:color w:val="auto"/>
        </w:rPr>
        <w:t>limited to violations of the federal securities laws. Other federal and state civil or criminal laws, such as the laws prohibiting mail and wire fraud and the Racketeer Influenced and Corrupt Organizations Act (RICO), may also be violated in connection with insider trading.</w:t>
      </w:r>
    </w:p>
    <w:p>
      <w:pPr>
        <w:spacing w:after="0" w:line="21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6. Size of and Reason for Transaction Do Not Matter</w:t>
      </w:r>
    </w:p>
    <w:p>
      <w:pPr>
        <w:spacing w:after="0" w:line="43" w:lineRule="exact"/>
        <w:rPr>
          <w:sz w:val="20"/>
          <w:szCs w:val="20"/>
          <w:color w:val="auto"/>
        </w:rPr>
      </w:pPr>
    </w:p>
    <w:p>
      <w:pPr>
        <w:ind w:left="320" w:right="20"/>
        <w:spacing w:after="0" w:line="208" w:lineRule="auto"/>
        <w:rPr>
          <w:sz w:val="20"/>
          <w:szCs w:val="20"/>
          <w:color w:val="auto"/>
        </w:rPr>
      </w:pPr>
      <w:r>
        <w:rPr>
          <w:rFonts w:ascii="Arial" w:cs="Arial" w:eastAsia="Arial" w:hAnsi="Arial"/>
          <w:sz w:val="17"/>
          <w:szCs w:val="17"/>
          <w:color w:val="auto"/>
        </w:rPr>
        <w:t>The size of the transaction or the amount of profit received does not have to be significant to result in prosecution. The SEC has the ability to monitor even the smallest trades, and the SEC performs routine market surveillance. Brokers or dealers are required by law to inform the SEC</w:t>
      </w:r>
    </w:p>
    <w:p>
      <w:pPr>
        <w:ind w:left="320" w:right="20"/>
        <w:spacing w:after="0" w:line="236" w:lineRule="auto"/>
        <w:rPr>
          <w:sz w:val="20"/>
          <w:szCs w:val="20"/>
          <w:color w:val="auto"/>
        </w:rPr>
      </w:pPr>
      <w:r>
        <w:rPr>
          <w:rFonts w:ascii="Arial" w:cs="Arial" w:eastAsia="Arial" w:hAnsi="Arial"/>
          <w:sz w:val="17"/>
          <w:szCs w:val="17"/>
          <w:color w:val="auto"/>
        </w:rPr>
        <w:t>of any possible violations by people who may have material nonpublic information. The SEC aggressively investigates even small insider trading violations.</w:t>
      </w: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7. Prohibition of Records Falsification/False Statements</w:t>
      </w:r>
    </w:p>
    <w:p>
      <w:pPr>
        <w:spacing w:after="0" w:line="43" w:lineRule="exact"/>
        <w:rPr>
          <w:sz w:val="20"/>
          <w:szCs w:val="20"/>
          <w:color w:val="auto"/>
        </w:rPr>
      </w:pPr>
    </w:p>
    <w:p>
      <w:pPr>
        <w:ind w:left="280" w:right="180"/>
        <w:spacing w:after="0" w:line="208" w:lineRule="auto"/>
        <w:rPr>
          <w:sz w:val="20"/>
          <w:szCs w:val="20"/>
          <w:color w:val="auto"/>
        </w:rPr>
      </w:pPr>
      <w:r>
        <w:rPr>
          <w:rFonts w:ascii="Arial" w:cs="Arial" w:eastAsia="Arial" w:hAnsi="Arial"/>
          <w:sz w:val="17"/>
          <w:szCs w:val="17"/>
          <w:color w:val="auto"/>
        </w:rPr>
        <w:t>Federal securities laws require the Company to maintain proper internal books and records and to devise and maintain an adequate system of internal accounting controls. The SEC has adopted rules that prohibit (i) any person from falsifying records or accounts subject to the above</w:t>
      </w:r>
    </w:p>
    <w:p>
      <w:pPr>
        <w:ind w:left="280"/>
        <w:spacing w:after="0" w:line="215" w:lineRule="auto"/>
        <w:rPr>
          <w:sz w:val="20"/>
          <w:szCs w:val="20"/>
          <w:color w:val="auto"/>
        </w:rPr>
      </w:pPr>
      <w:r>
        <w:rPr>
          <w:rFonts w:ascii="Arial" w:cs="Arial" w:eastAsia="Arial" w:hAnsi="Arial"/>
          <w:sz w:val="17"/>
          <w:szCs w:val="17"/>
          <w:color w:val="auto"/>
        </w:rPr>
        <w:t>requirements, and (ii) officers or directors from making any materially false, misleading or incomplete statement to any accountant in connection</w:t>
      </w:r>
    </w:p>
    <w:p>
      <w:pPr>
        <w:spacing w:after="0" w:line="1" w:lineRule="exact"/>
        <w:rPr>
          <w:sz w:val="20"/>
          <w:szCs w:val="20"/>
          <w:color w:val="auto"/>
        </w:rPr>
      </w:pPr>
    </w:p>
    <w:p>
      <w:pPr>
        <w:ind w:left="280" w:right="800"/>
        <w:spacing w:after="0" w:line="228" w:lineRule="auto"/>
        <w:rPr>
          <w:sz w:val="20"/>
          <w:szCs w:val="20"/>
          <w:color w:val="auto"/>
        </w:rPr>
      </w:pPr>
      <w:r>
        <w:rPr>
          <w:rFonts w:ascii="Arial" w:cs="Arial" w:eastAsia="Arial" w:hAnsi="Arial"/>
          <w:sz w:val="17"/>
          <w:szCs w:val="17"/>
          <w:color w:val="auto"/>
        </w:rPr>
        <w:t>with any audit or filing with the SEC. Falsifying records or accounts or making materially false, misleading, or incomplete statements in connection with an audit or filing with the SEC could also result in criminal penalties for obstruction of justice.</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8. Procedures to Prevent Insider Trading</w:t>
      </w:r>
    </w:p>
    <w:p>
      <w:pPr>
        <w:spacing w:after="0" w:line="4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procedures have been established, and will be maintained and enforced, by the Company to prevent insider trading.</w:t>
      </w:r>
    </w:p>
    <w:p>
      <w:pPr>
        <w:spacing w:after="0" w:line="91" w:lineRule="exact"/>
        <w:rPr>
          <w:sz w:val="20"/>
          <w:szCs w:val="20"/>
          <w:color w:val="auto"/>
        </w:rPr>
      </w:pPr>
    </w:p>
    <w:p>
      <w:pPr>
        <w:jc w:val="right"/>
        <w:ind w:left="700" w:right="20"/>
        <w:spacing w:after="0" w:line="226"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i w:val="1"/>
          <w:iCs w:val="1"/>
          <w:color w:val="auto"/>
        </w:rPr>
        <w:t>Blackout Periods</w:t>
      </w:r>
      <w:r>
        <w:rPr>
          <w:rFonts w:ascii="Arial" w:cs="Arial" w:eastAsia="Arial" w:hAnsi="Arial"/>
          <w:sz w:val="17"/>
          <w:szCs w:val="17"/>
          <w:b w:val="1"/>
          <w:bCs w:val="1"/>
          <w:color w:val="auto"/>
        </w:rPr>
        <w:t>.</w:t>
      </w:r>
      <w:r>
        <w:rPr>
          <w:rFonts w:ascii="Arial" w:cs="Arial" w:eastAsia="Arial" w:hAnsi="Arial"/>
          <w:sz w:val="17"/>
          <w:szCs w:val="17"/>
          <w:color w:val="auto"/>
        </w:rPr>
        <w:t xml:space="preserve"> The period during which the Company prepares quarterly financials is a sensitive time for insider trading purposes, as Company personnel may be more likely to possess, or be presumed to possess, material nonpublic information. To avoid the</w:t>
      </w:r>
    </w:p>
    <w:p>
      <w:pPr>
        <w:spacing w:after="0" w:line="1" w:lineRule="exact"/>
        <w:rPr>
          <w:sz w:val="20"/>
          <w:szCs w:val="20"/>
          <w:color w:val="auto"/>
        </w:rPr>
      </w:pPr>
    </w:p>
    <w:p>
      <w:pPr>
        <w:ind w:left="1000" w:right="20"/>
        <w:spacing w:after="0" w:line="208" w:lineRule="auto"/>
        <w:rPr>
          <w:sz w:val="20"/>
          <w:szCs w:val="20"/>
          <w:color w:val="auto"/>
        </w:rPr>
      </w:pPr>
      <w:r>
        <w:rPr>
          <w:rFonts w:ascii="Arial" w:cs="Arial" w:eastAsia="Arial" w:hAnsi="Arial"/>
          <w:sz w:val="17"/>
          <w:szCs w:val="17"/>
          <w:color w:val="auto"/>
        </w:rPr>
        <w:t>appearance of impropriety and assist Company personnel in planning transactions in the Company’s securities for appropriate times, no officer, director, key employee or key contractor subject to blackout period trading restrictions (as designated and amended from</w:t>
      </w:r>
    </w:p>
    <w:p>
      <w:pPr>
        <w:ind w:left="1000"/>
        <w:spacing w:after="0" w:line="201" w:lineRule="auto"/>
        <w:rPr>
          <w:sz w:val="20"/>
          <w:szCs w:val="20"/>
          <w:color w:val="auto"/>
        </w:rPr>
      </w:pPr>
      <w:r>
        <w:rPr>
          <w:rFonts w:ascii="Arial" w:cs="Arial" w:eastAsia="Arial" w:hAnsi="Arial"/>
          <w:sz w:val="17"/>
          <w:szCs w:val="17"/>
          <w:color w:val="auto"/>
        </w:rPr>
        <w:t>time to time and maintained by the Legal Department) shall purchase or sell any security of the Company during the Blackout Period.</w:t>
      </w:r>
    </w:p>
    <w:p>
      <w:pPr>
        <w:ind w:left="1000"/>
        <w:spacing w:after="0"/>
        <w:rPr>
          <w:sz w:val="20"/>
          <w:szCs w:val="20"/>
          <w:color w:val="auto"/>
        </w:rPr>
      </w:pPr>
      <w:r>
        <w:rPr>
          <w:rFonts w:ascii="Arial" w:cs="Arial" w:eastAsia="Arial" w:hAnsi="Arial"/>
          <w:sz w:val="17"/>
          <w:szCs w:val="17"/>
          <w:color w:val="auto"/>
        </w:rPr>
        <w:t>Please refer to Section 1.2 for additional information on Blackout Periods.</w:t>
      </w:r>
    </w:p>
    <w:p>
      <w:pPr>
        <w:spacing w:after="0" w:line="57" w:lineRule="exact"/>
        <w:rPr>
          <w:sz w:val="20"/>
          <w:szCs w:val="20"/>
          <w:color w:val="auto"/>
        </w:rPr>
      </w:pPr>
    </w:p>
    <w:p>
      <w:pPr>
        <w:ind w:left="1000" w:right="20"/>
        <w:spacing w:after="0" w:line="251" w:lineRule="auto"/>
        <w:rPr>
          <w:sz w:val="20"/>
          <w:szCs w:val="20"/>
          <w:color w:val="auto"/>
        </w:rPr>
      </w:pPr>
      <w:r>
        <w:rPr>
          <w:rFonts w:ascii="Arial" w:cs="Arial" w:eastAsia="Arial" w:hAnsi="Arial"/>
          <w:sz w:val="17"/>
          <w:szCs w:val="17"/>
          <w:color w:val="auto"/>
        </w:rPr>
        <w:t>Exceptions to the Blackout Period policy may be approved only by the Company’s General Counsel or, in the case of exceptions for directors, the Audit Committee of the Board of Directors.</w:t>
      </w:r>
    </w:p>
    <w:p>
      <w:pPr>
        <w:spacing w:after="0" w:line="24" w:lineRule="exact"/>
        <w:rPr>
          <w:sz w:val="20"/>
          <w:szCs w:val="20"/>
          <w:color w:val="auto"/>
        </w:rPr>
      </w:pPr>
    </w:p>
    <w:p>
      <w:pPr>
        <w:ind w:left="1000" w:right="20"/>
        <w:spacing w:after="0" w:line="225" w:lineRule="auto"/>
        <w:rPr>
          <w:sz w:val="20"/>
          <w:szCs w:val="20"/>
          <w:color w:val="auto"/>
        </w:rPr>
      </w:pPr>
      <w:r>
        <w:rPr>
          <w:rFonts w:ascii="Arial" w:cs="Arial" w:eastAsia="Arial" w:hAnsi="Arial"/>
          <w:sz w:val="17"/>
          <w:szCs w:val="17"/>
          <w:color w:val="auto"/>
        </w:rPr>
        <w:t>From time to time, the Company, through the Board of Directors, a Board Committee, the General Counsel or Chief Financial Officer, may recommend that officers, directors, employees, contractors or others suspend trading in the Company’s securities because of</w:t>
      </w:r>
    </w:p>
    <w:p>
      <w:pPr>
        <w:ind w:left="1000" w:right="20"/>
        <w:spacing w:after="0" w:line="208" w:lineRule="auto"/>
        <w:rPr>
          <w:sz w:val="20"/>
          <w:szCs w:val="20"/>
          <w:color w:val="auto"/>
        </w:rPr>
      </w:pPr>
      <w:r>
        <w:rPr>
          <w:rFonts w:ascii="Arial" w:cs="Arial" w:eastAsia="Arial" w:hAnsi="Arial"/>
          <w:sz w:val="17"/>
          <w:szCs w:val="17"/>
          <w:color w:val="auto"/>
        </w:rPr>
        <w:t>developments that have not yet been disclosed to the public. Subject to the exceptions noted above (refer to Section 1.2), all those affected should not trade in the Company’s securities while the suspension is in effect, and should not disclose to others that the</w:t>
      </w:r>
    </w:p>
    <w:p>
      <w:pPr>
        <w:ind w:left="1000"/>
        <w:spacing w:after="0"/>
        <w:rPr>
          <w:sz w:val="20"/>
          <w:szCs w:val="20"/>
          <w:color w:val="auto"/>
        </w:rPr>
      </w:pPr>
      <w:r>
        <w:rPr>
          <w:rFonts w:ascii="Arial" w:cs="Arial" w:eastAsia="Arial" w:hAnsi="Arial"/>
          <w:sz w:val="17"/>
          <w:szCs w:val="17"/>
          <w:color w:val="auto"/>
        </w:rPr>
        <w:t>Company has suspended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739140</wp:posOffset>
            </wp:positionV>
            <wp:extent cx="7150735"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4">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0"/>
        <w:spacing w:after="0"/>
        <w:tabs>
          <w:tab w:leader="none" w:pos="10340" w:val="left"/>
        </w:tabs>
        <w:rPr>
          <w:sz w:val="20"/>
          <w:szCs w:val="20"/>
          <w:color w:val="auto"/>
        </w:rPr>
      </w:pPr>
      <w:r>
        <w:rPr>
          <w:rFonts w:ascii="Arial" w:cs="Arial" w:eastAsia="Arial" w:hAnsi="Arial"/>
          <w:sz w:val="12"/>
          <w:szCs w:val="12"/>
          <w:i w:val="1"/>
          <w:iCs w:val="1"/>
          <w:color w:val="auto"/>
        </w:rPr>
        <w:t>CONFIDENTIAL &amp; PROPRIETARY – FOR INTERNAL DISTRIBUTION ONLY</w:t>
      </w:r>
      <w:r>
        <w:rPr>
          <w:sz w:val="20"/>
          <w:szCs w:val="20"/>
          <w:color w:val="auto"/>
        </w:rPr>
        <w:tab/>
      </w:r>
      <w:r>
        <w:rPr>
          <w:rFonts w:ascii="Arial" w:cs="Arial" w:eastAsia="Arial" w:hAnsi="Arial"/>
          <w:sz w:val="12"/>
          <w:szCs w:val="12"/>
          <w:color w:val="auto"/>
        </w:rPr>
        <w:t xml:space="preserve">PAGE 8 OF </w:t>
      </w:r>
      <w:r>
        <w:rPr>
          <w:rFonts w:ascii="Arial" w:cs="Arial" w:eastAsia="Arial" w:hAnsi="Arial"/>
          <w:sz w:val="12"/>
          <w:szCs w:val="12"/>
          <w:u w:val="single" w:color="auto"/>
          <w:color w:val="auto"/>
        </w:rPr>
        <w:t>13</w:t>
      </w:r>
    </w:p>
    <w:p>
      <w:pPr>
        <w:sectPr>
          <w:pgSz w:w="11900" w:h="16838" w:orient="portrait"/>
          <w:cols w:equalWidth="0" w:num="1">
            <w:col w:w="11240"/>
          </w:cols>
          <w:pgMar w:left="320" w:top="162" w:right="339" w:bottom="1440" w:gutter="0" w:footer="0" w:header="0"/>
        </w:sectPr>
      </w:pPr>
    </w:p>
    <w:bookmarkStart w:id="134" w:name="page135"/>
    <w:bookmarkEnd w:id="134"/>
    <w:p>
      <w:pPr>
        <w:ind w:left="9340"/>
        <w:spacing w:after="0"/>
        <w:rPr>
          <w:sz w:val="20"/>
          <w:szCs w:val="20"/>
          <w:color w:val="auto"/>
        </w:rPr>
      </w:pPr>
      <w:r>
        <w:rPr>
          <w:rFonts w:ascii="Arial" w:cs="Arial" w:eastAsia="Arial" w:hAnsi="Arial"/>
          <w:sz w:val="14"/>
          <w:szCs w:val="14"/>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17145</wp:posOffset>
            </wp:positionV>
            <wp:extent cx="7150735"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5">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right"/>
        <w:ind w:left="640"/>
        <w:spacing w:after="0" w:line="218" w:lineRule="auto"/>
        <w:rPr>
          <w:sz w:val="20"/>
          <w:szCs w:val="20"/>
          <w:color w:val="auto"/>
        </w:rPr>
      </w:pPr>
      <w:r>
        <w:rPr>
          <w:rFonts w:ascii="Arial" w:cs="Arial" w:eastAsia="Arial" w:hAnsi="Arial"/>
          <w:sz w:val="17"/>
          <w:szCs w:val="17"/>
          <w:color w:val="auto"/>
        </w:rPr>
        <w:t xml:space="preserve">8.2 </w:t>
      </w:r>
      <w:r>
        <w:rPr>
          <w:rFonts w:ascii="Arial" w:cs="Arial" w:eastAsia="Arial" w:hAnsi="Arial"/>
          <w:sz w:val="17"/>
          <w:szCs w:val="17"/>
          <w:i w:val="1"/>
          <w:iCs w:val="1"/>
          <w:color w:val="auto"/>
        </w:rPr>
        <w:t>Preclearance of All Trades by All Officers, Directors, Key Employees and Key Contractors</w:t>
      </w:r>
      <w:r>
        <w:rPr>
          <w:rFonts w:ascii="Arial" w:cs="Arial" w:eastAsia="Arial" w:hAnsi="Arial"/>
          <w:sz w:val="17"/>
          <w:szCs w:val="17"/>
          <w:color w:val="auto"/>
        </w:rPr>
        <w:t>. To provide assistance in preventing inadvertent violations of applicable securities laws and to avoid the appearance of impropriety in connection with the purchase and</w:t>
      </w:r>
    </w:p>
    <w:p>
      <w:pPr>
        <w:ind w:left="940"/>
        <w:spacing w:after="0" w:line="215" w:lineRule="auto"/>
        <w:rPr>
          <w:sz w:val="20"/>
          <w:szCs w:val="20"/>
          <w:color w:val="auto"/>
        </w:rPr>
      </w:pPr>
      <w:r>
        <w:rPr>
          <w:rFonts w:ascii="Arial" w:cs="Arial" w:eastAsia="Arial" w:hAnsi="Arial"/>
          <w:sz w:val="17"/>
          <w:szCs w:val="17"/>
          <w:color w:val="auto"/>
        </w:rPr>
        <w:t>sale of the Company’s securities, all transactions in the Company’s securities (including, without limitation, acquisitions and</w:t>
      </w:r>
    </w:p>
    <w:p>
      <w:pPr>
        <w:ind w:left="940"/>
        <w:spacing w:after="0" w:line="208" w:lineRule="auto"/>
        <w:rPr>
          <w:sz w:val="20"/>
          <w:szCs w:val="20"/>
          <w:color w:val="auto"/>
        </w:rPr>
      </w:pPr>
      <w:r>
        <w:rPr>
          <w:rFonts w:ascii="Arial" w:cs="Arial" w:eastAsia="Arial" w:hAnsi="Arial"/>
          <w:sz w:val="17"/>
          <w:szCs w:val="17"/>
          <w:color w:val="auto"/>
        </w:rPr>
        <w:t>dispositions of Company stock, the exercise of stock options, elective transactions under 401(k)/ESPP/deferred compensation plans, election or changes to elections for dividend reinvestment transactions, and the sale of Company stock issued upon exercise of stock</w:t>
      </w:r>
    </w:p>
    <w:p>
      <w:pPr>
        <w:ind w:left="940"/>
        <w:spacing w:after="0" w:line="208" w:lineRule="auto"/>
        <w:rPr>
          <w:sz w:val="20"/>
          <w:szCs w:val="20"/>
          <w:color w:val="auto"/>
        </w:rPr>
      </w:pPr>
      <w:r>
        <w:rPr>
          <w:rFonts w:ascii="Arial" w:cs="Arial" w:eastAsia="Arial" w:hAnsi="Arial"/>
          <w:sz w:val="17"/>
          <w:szCs w:val="17"/>
          <w:color w:val="auto"/>
        </w:rPr>
        <w:t>options) by officers, directors, key employees and key contractors subject to preclearance trading restrictions (as designated and amended from time to time and maintained by the Legal Department) (each, a “</w:t>
      </w:r>
      <w:r>
        <w:rPr>
          <w:rFonts w:ascii="Arial" w:cs="Arial" w:eastAsia="Arial" w:hAnsi="Arial"/>
          <w:sz w:val="17"/>
          <w:szCs w:val="17"/>
          <w:b w:val="1"/>
          <w:bCs w:val="1"/>
          <w:i w:val="1"/>
          <w:iCs w:val="1"/>
          <w:color w:val="auto"/>
        </w:rPr>
        <w:t>Preclearance Person</w:t>
      </w:r>
      <w:r>
        <w:rPr>
          <w:rFonts w:ascii="Arial" w:cs="Arial" w:eastAsia="Arial" w:hAnsi="Arial"/>
          <w:sz w:val="17"/>
          <w:szCs w:val="17"/>
          <w:color w:val="auto"/>
        </w:rPr>
        <w:t>”), including immediate family</w:t>
      </w:r>
    </w:p>
    <w:p>
      <w:pPr>
        <w:jc w:val="both"/>
        <w:ind w:left="940"/>
        <w:spacing w:after="0" w:line="236" w:lineRule="auto"/>
        <w:rPr>
          <w:sz w:val="20"/>
          <w:szCs w:val="20"/>
          <w:color w:val="auto"/>
        </w:rPr>
      </w:pPr>
      <w:r>
        <w:rPr>
          <w:rFonts w:ascii="Arial" w:cs="Arial" w:eastAsia="Arial" w:hAnsi="Arial"/>
          <w:sz w:val="17"/>
          <w:szCs w:val="17"/>
          <w:color w:val="auto"/>
        </w:rPr>
        <w:t>members of such Preclearance Persons, must be precleared by the Company’s General Counsel or designee, except for certain exempt transactions as explained in Section 10 of this Policy. Preclearance does not relieve you of your responsibility under SEC rules.</w:t>
      </w:r>
    </w:p>
    <w:p>
      <w:pPr>
        <w:spacing w:after="0" w:line="28" w:lineRule="exact"/>
        <w:rPr>
          <w:sz w:val="20"/>
          <w:szCs w:val="20"/>
          <w:color w:val="auto"/>
        </w:rPr>
      </w:pPr>
    </w:p>
    <w:p>
      <w:pPr>
        <w:ind w:left="940"/>
        <w:spacing w:after="0"/>
        <w:rPr>
          <w:sz w:val="20"/>
          <w:szCs w:val="20"/>
          <w:color w:val="auto"/>
        </w:rPr>
      </w:pPr>
      <w:r>
        <w:rPr>
          <w:rFonts w:ascii="Arial" w:cs="Arial" w:eastAsia="Arial" w:hAnsi="Arial"/>
          <w:sz w:val="17"/>
          <w:szCs w:val="17"/>
          <w:color w:val="auto"/>
        </w:rPr>
        <w:t xml:space="preserve">A request for preclearance using the Preclearance Certification (see </w:t>
      </w:r>
      <w:r>
        <w:rPr>
          <w:rFonts w:ascii="Arial" w:cs="Arial" w:eastAsia="Arial" w:hAnsi="Arial"/>
          <w:sz w:val="17"/>
          <w:szCs w:val="17"/>
          <w:b w:val="1"/>
          <w:bCs w:val="1"/>
          <w:color w:val="auto"/>
        </w:rPr>
        <w:t>Exhibit A</w:t>
      </w:r>
      <w:r>
        <w:rPr>
          <w:rFonts w:ascii="Arial" w:cs="Arial" w:eastAsia="Arial" w:hAnsi="Arial"/>
          <w:sz w:val="17"/>
          <w:szCs w:val="17"/>
          <w:color w:val="auto"/>
        </w:rPr>
        <w:t xml:space="preserve">) must be submitted to preclear@marketwise.com </w:t>
      </w:r>
      <w:r>
        <w:rPr>
          <w:rFonts w:ascii="Arial" w:cs="Arial" w:eastAsia="Arial" w:hAnsi="Arial"/>
          <w:sz w:val="17"/>
          <w:szCs w:val="17"/>
          <w:b w:val="1"/>
          <w:bCs w:val="1"/>
          <w:i w:val="1"/>
          <w:iCs w:val="1"/>
          <w:color w:val="auto"/>
        </w:rPr>
        <w:t>at</w:t>
      </w:r>
    </w:p>
    <w:p>
      <w:pPr>
        <w:ind w:left="940"/>
        <w:spacing w:after="0" w:line="215" w:lineRule="auto"/>
        <w:rPr>
          <w:sz w:val="20"/>
          <w:szCs w:val="20"/>
          <w:color w:val="auto"/>
        </w:rPr>
      </w:pPr>
      <w:r>
        <w:rPr>
          <w:rFonts w:ascii="Arial" w:cs="Arial" w:eastAsia="Arial" w:hAnsi="Arial"/>
          <w:sz w:val="17"/>
          <w:szCs w:val="17"/>
          <w:b w:val="1"/>
          <w:bCs w:val="1"/>
          <w:i w:val="1"/>
          <w:iCs w:val="1"/>
          <w:color w:val="auto"/>
        </w:rPr>
        <w:t xml:space="preserve">least two (2) business days </w:t>
      </w:r>
      <w:r>
        <w:rPr>
          <w:rFonts w:ascii="Arial" w:cs="Arial" w:eastAsia="Arial" w:hAnsi="Arial"/>
          <w:sz w:val="17"/>
          <w:szCs w:val="17"/>
          <w:color w:val="auto"/>
        </w:rPr>
        <w:t>in advance of the proposed transaction, and include the</w:t>
      </w:r>
      <w:r>
        <w:rPr>
          <w:rFonts w:ascii="Arial" w:cs="Arial" w:eastAsia="Arial" w:hAnsi="Arial"/>
          <w:sz w:val="17"/>
          <w:szCs w:val="17"/>
          <w:b w:val="1"/>
          <w:bCs w:val="1"/>
          <w:i w:val="1"/>
          <w:iCs w:val="1"/>
          <w:color w:val="auto"/>
        </w:rPr>
        <w:t xml:space="preserve"> identity of the Preclearance Person, the type</w:t>
      </w:r>
    </w:p>
    <w:p>
      <w:pPr>
        <w:ind w:left="940"/>
        <w:spacing w:after="0" w:line="208" w:lineRule="auto"/>
        <w:rPr>
          <w:sz w:val="20"/>
          <w:szCs w:val="20"/>
          <w:color w:val="auto"/>
        </w:rPr>
      </w:pPr>
      <w:r>
        <w:rPr>
          <w:rFonts w:ascii="Arial" w:cs="Arial" w:eastAsia="Arial" w:hAnsi="Arial"/>
          <w:sz w:val="17"/>
          <w:szCs w:val="17"/>
          <w:b w:val="1"/>
          <w:bCs w:val="1"/>
          <w:i w:val="1"/>
          <w:iCs w:val="1"/>
          <w:color w:val="auto"/>
        </w:rPr>
        <w:t>of proposed transaction (for example, an open market purchase, a privately negotiated sale, an option exercise, etc.), the proposed date of the transaction, and the number of shares or other securities to be involved</w:t>
      </w:r>
      <w:r>
        <w:rPr>
          <w:rFonts w:ascii="Arial" w:cs="Arial" w:eastAsia="Arial" w:hAnsi="Arial"/>
          <w:sz w:val="17"/>
          <w:szCs w:val="17"/>
          <w:color w:val="auto"/>
        </w:rPr>
        <w:t>. In addition, the Preclearance</w:t>
      </w:r>
    </w:p>
    <w:p>
      <w:pPr>
        <w:ind w:left="940"/>
        <w:spacing w:after="0" w:line="215" w:lineRule="auto"/>
        <w:rPr>
          <w:sz w:val="20"/>
          <w:szCs w:val="20"/>
          <w:color w:val="auto"/>
        </w:rPr>
      </w:pPr>
      <w:r>
        <w:rPr>
          <w:rFonts w:ascii="Arial" w:cs="Arial" w:eastAsia="Arial" w:hAnsi="Arial"/>
          <w:sz w:val="17"/>
          <w:szCs w:val="17"/>
          <w:color w:val="auto"/>
        </w:rPr>
        <w:t xml:space="preserve">Person must execute a certification (see </w:t>
      </w:r>
      <w:r>
        <w:rPr>
          <w:rFonts w:ascii="Arial" w:cs="Arial" w:eastAsia="Arial" w:hAnsi="Arial"/>
          <w:sz w:val="17"/>
          <w:szCs w:val="17"/>
          <w:b w:val="1"/>
          <w:bCs w:val="1"/>
          <w:color w:val="auto"/>
        </w:rPr>
        <w:t>Exhibit A</w:t>
      </w:r>
      <w:r>
        <w:rPr>
          <w:rFonts w:ascii="Arial" w:cs="Arial" w:eastAsia="Arial" w:hAnsi="Arial"/>
          <w:sz w:val="17"/>
          <w:szCs w:val="17"/>
          <w:color w:val="auto"/>
        </w:rPr>
        <w:t>) that he or she is not aware of material nonpublic information about the Company.</w:t>
      </w:r>
    </w:p>
    <w:p>
      <w:pPr>
        <w:spacing w:after="0" w:line="1" w:lineRule="exact"/>
        <w:rPr>
          <w:sz w:val="20"/>
          <w:szCs w:val="20"/>
          <w:color w:val="auto"/>
        </w:rPr>
      </w:pPr>
    </w:p>
    <w:p>
      <w:pPr>
        <w:ind w:left="940"/>
        <w:spacing w:after="0" w:line="208" w:lineRule="auto"/>
        <w:rPr>
          <w:sz w:val="20"/>
          <w:szCs w:val="20"/>
          <w:color w:val="auto"/>
        </w:rPr>
      </w:pPr>
      <w:r>
        <w:rPr>
          <w:rFonts w:ascii="Arial" w:cs="Arial" w:eastAsia="Arial" w:hAnsi="Arial"/>
          <w:sz w:val="17"/>
          <w:szCs w:val="17"/>
          <w:color w:val="auto"/>
        </w:rPr>
        <w:t>The General Counsel or designee shall have sole discretion to decide whether to clear any contemplated transaction. The Chief Financial Officer shall have sole discretion to decide whether to clear transactions by the General Counsel or persons or entities</w:t>
      </w:r>
    </w:p>
    <w:p>
      <w:pPr>
        <w:ind w:left="940"/>
        <w:spacing w:after="0" w:line="215" w:lineRule="auto"/>
        <w:rPr>
          <w:sz w:val="20"/>
          <w:szCs w:val="20"/>
          <w:color w:val="auto"/>
        </w:rPr>
      </w:pPr>
      <w:r>
        <w:rPr>
          <w:rFonts w:ascii="Arial" w:cs="Arial" w:eastAsia="Arial" w:hAnsi="Arial"/>
          <w:sz w:val="17"/>
          <w:szCs w:val="17"/>
          <w:color w:val="auto"/>
        </w:rPr>
        <w:t xml:space="preserve">subject to this Policy as a result of their relationship with the General Counsel. All trades that are precleared must be effected </w:t>
      </w:r>
      <w:r>
        <w:rPr>
          <w:rFonts w:ascii="Arial" w:cs="Arial" w:eastAsia="Arial" w:hAnsi="Arial"/>
          <w:sz w:val="17"/>
          <w:szCs w:val="17"/>
          <w:b w:val="1"/>
          <w:bCs w:val="1"/>
          <w:i w:val="1"/>
          <w:iCs w:val="1"/>
          <w:color w:val="auto"/>
        </w:rPr>
        <w:t>within</w:t>
      </w:r>
    </w:p>
    <w:p>
      <w:pPr>
        <w:spacing w:after="0" w:line="1" w:lineRule="exact"/>
        <w:rPr>
          <w:sz w:val="20"/>
          <w:szCs w:val="20"/>
          <w:color w:val="auto"/>
        </w:rPr>
      </w:pPr>
    </w:p>
    <w:p>
      <w:pPr>
        <w:ind w:left="940"/>
        <w:spacing w:after="0" w:line="208" w:lineRule="auto"/>
        <w:rPr>
          <w:sz w:val="20"/>
          <w:szCs w:val="20"/>
          <w:color w:val="auto"/>
        </w:rPr>
      </w:pPr>
      <w:r>
        <w:rPr>
          <w:rFonts w:ascii="Arial" w:cs="Arial" w:eastAsia="Arial" w:hAnsi="Arial"/>
          <w:sz w:val="17"/>
          <w:szCs w:val="17"/>
          <w:b w:val="1"/>
          <w:bCs w:val="1"/>
          <w:i w:val="1"/>
          <w:iCs w:val="1"/>
          <w:color w:val="auto"/>
        </w:rPr>
        <w:t>three (3) business days of receipt of the preclearance</w:t>
      </w:r>
      <w:r>
        <w:rPr>
          <w:rFonts w:ascii="Arial" w:cs="Arial" w:eastAsia="Arial" w:hAnsi="Arial"/>
          <w:sz w:val="17"/>
          <w:szCs w:val="17"/>
          <w:color w:val="auto"/>
        </w:rPr>
        <w:t>, unless a specific exception has been granted by the General Counsel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designee. </w:t>
      </w:r>
      <w:r>
        <w:rPr>
          <w:rFonts w:ascii="Arial" w:cs="Arial" w:eastAsia="Arial" w:hAnsi="Arial"/>
          <w:sz w:val="17"/>
          <w:szCs w:val="17"/>
          <w:b w:val="1"/>
          <w:bCs w:val="1"/>
          <w:i w:val="1"/>
          <w:iCs w:val="1"/>
          <w:color w:val="auto"/>
        </w:rPr>
        <w:t>Trades cannot exceed the precleared number of shares or dollar value.</w:t>
      </w:r>
      <w:r>
        <w:rPr>
          <w:rFonts w:ascii="Arial" w:cs="Arial" w:eastAsia="Arial" w:hAnsi="Arial"/>
          <w:sz w:val="17"/>
          <w:szCs w:val="17"/>
          <w:color w:val="auto"/>
        </w:rPr>
        <w:t xml:space="preserve"> A precleared trade (or any portion of a</w:t>
      </w:r>
    </w:p>
    <w:p>
      <w:pPr>
        <w:ind w:left="940"/>
        <w:spacing w:after="0" w:line="215" w:lineRule="auto"/>
        <w:rPr>
          <w:sz w:val="20"/>
          <w:szCs w:val="20"/>
          <w:color w:val="auto"/>
        </w:rPr>
      </w:pPr>
      <w:r>
        <w:rPr>
          <w:rFonts w:ascii="Arial" w:cs="Arial" w:eastAsia="Arial" w:hAnsi="Arial"/>
          <w:sz w:val="17"/>
          <w:szCs w:val="17"/>
          <w:color w:val="auto"/>
        </w:rPr>
        <w:t>precleared trade) that has not been effected during the three-business day period must be precleared again prior to execution.</w:t>
      </w:r>
    </w:p>
    <w:p>
      <w:pPr>
        <w:spacing w:after="0" w:line="1" w:lineRule="exact"/>
        <w:rPr>
          <w:sz w:val="20"/>
          <w:szCs w:val="20"/>
          <w:color w:val="auto"/>
        </w:rPr>
      </w:pPr>
    </w:p>
    <w:p>
      <w:pPr>
        <w:ind w:left="940"/>
        <w:spacing w:after="0" w:line="228" w:lineRule="auto"/>
        <w:rPr>
          <w:sz w:val="20"/>
          <w:szCs w:val="20"/>
          <w:color w:val="auto"/>
        </w:rPr>
      </w:pPr>
      <w:r>
        <w:rPr>
          <w:rFonts w:ascii="Arial" w:cs="Arial" w:eastAsia="Arial" w:hAnsi="Arial"/>
          <w:sz w:val="17"/>
          <w:szCs w:val="17"/>
          <w:color w:val="auto"/>
        </w:rPr>
        <w:t xml:space="preserve">Notwithstanding receipt of preclearance, if the Preclearance Person becomes aware of material nonpublic information or becomes subject to a Blackout Period before the transaction is effected, the transaction may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be completed.</w:t>
      </w:r>
    </w:p>
    <w:p>
      <w:pPr>
        <w:spacing w:after="0" w:line="41" w:lineRule="exact"/>
        <w:rPr>
          <w:sz w:val="20"/>
          <w:szCs w:val="20"/>
          <w:color w:val="auto"/>
        </w:rPr>
      </w:pPr>
    </w:p>
    <w:p>
      <w:pPr>
        <w:ind w:left="940"/>
        <w:spacing w:after="0"/>
        <w:rPr>
          <w:sz w:val="20"/>
          <w:szCs w:val="20"/>
          <w:color w:val="auto"/>
        </w:rPr>
      </w:pPr>
      <w:r>
        <w:rPr>
          <w:rFonts w:ascii="Arial" w:cs="Arial" w:eastAsia="Arial" w:hAnsi="Arial"/>
          <w:sz w:val="17"/>
          <w:szCs w:val="17"/>
          <w:color w:val="auto"/>
        </w:rPr>
        <w:t>None of the Company, the General Counsel or the Company’s other employees will have any liability for any delay in reviewing, or</w:t>
      </w:r>
    </w:p>
    <w:p>
      <w:pPr>
        <w:ind w:left="940"/>
        <w:spacing w:after="0" w:line="208" w:lineRule="auto"/>
        <w:rPr>
          <w:sz w:val="20"/>
          <w:szCs w:val="20"/>
          <w:color w:val="auto"/>
        </w:rPr>
      </w:pPr>
      <w:r>
        <w:rPr>
          <w:rFonts w:ascii="Arial" w:cs="Arial" w:eastAsia="Arial" w:hAnsi="Arial"/>
          <w:sz w:val="17"/>
          <w:szCs w:val="17"/>
          <w:color w:val="auto"/>
        </w:rPr>
        <w:t>refusal of, a request for preclearance submitted pursuant to this Section. Notwithstanding any preclearance of a transaction pursuant to this Section, none of the Company, the General Counsel or the Company’s other employees assumes any liability for the legality or</w:t>
      </w:r>
    </w:p>
    <w:p>
      <w:pPr>
        <w:ind w:left="940"/>
        <w:spacing w:after="0"/>
        <w:rPr>
          <w:sz w:val="20"/>
          <w:szCs w:val="20"/>
          <w:color w:val="auto"/>
        </w:rPr>
      </w:pPr>
      <w:r>
        <w:rPr>
          <w:rFonts w:ascii="Arial" w:cs="Arial" w:eastAsia="Arial" w:hAnsi="Arial"/>
          <w:sz w:val="17"/>
          <w:szCs w:val="17"/>
          <w:color w:val="auto"/>
        </w:rPr>
        <w:t>consequences of such transaction to the person engaging in such transaction.</w:t>
      </w:r>
    </w:p>
    <w:p>
      <w:pPr>
        <w:spacing w:after="0" w:line="102" w:lineRule="exact"/>
        <w:rPr>
          <w:sz w:val="20"/>
          <w:szCs w:val="20"/>
          <w:color w:val="auto"/>
        </w:rPr>
      </w:pPr>
    </w:p>
    <w:p>
      <w:pPr>
        <w:jc w:val="right"/>
        <w:ind w:left="640"/>
        <w:spacing w:after="0" w:line="219"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i w:val="1"/>
          <w:iCs w:val="1"/>
          <w:color w:val="auto"/>
        </w:rPr>
        <w:t>Post-Termination Transactions</w:t>
      </w:r>
      <w:r>
        <w:rPr>
          <w:rFonts w:ascii="Arial" w:cs="Arial" w:eastAsia="Arial" w:hAnsi="Arial"/>
          <w:sz w:val="17"/>
          <w:szCs w:val="17"/>
          <w:b w:val="1"/>
          <w:bCs w:val="1"/>
          <w:color w:val="auto"/>
        </w:rPr>
        <w:t>.</w:t>
      </w:r>
      <w:r>
        <w:rPr>
          <w:rFonts w:ascii="Arial" w:cs="Arial" w:eastAsia="Arial" w:hAnsi="Arial"/>
          <w:sz w:val="17"/>
          <w:szCs w:val="17"/>
          <w:color w:val="auto"/>
        </w:rPr>
        <w:t xml:space="preserve"> With the exception of the preclearance requirement, this Policy continues to apply to transactions in the Company’s securities even after termination of service to the Company. If you are in possession of material nonpublic information</w:t>
      </w:r>
    </w:p>
    <w:p>
      <w:pPr>
        <w:ind w:left="940"/>
        <w:spacing w:after="0" w:line="236" w:lineRule="auto"/>
        <w:rPr>
          <w:sz w:val="20"/>
          <w:szCs w:val="20"/>
          <w:color w:val="auto"/>
        </w:rPr>
      </w:pPr>
      <w:r>
        <w:rPr>
          <w:rFonts w:ascii="Arial" w:cs="Arial" w:eastAsia="Arial" w:hAnsi="Arial"/>
          <w:sz w:val="17"/>
          <w:szCs w:val="17"/>
          <w:color w:val="auto"/>
        </w:rPr>
        <w:t>when your service terminates, you may not trade in the Company’s securities until that information has become public (through an SEC filing or otherwise) or is no longer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589280</wp:posOffset>
            </wp:positionV>
            <wp:extent cx="7150735"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6">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10280" w:val="left"/>
        </w:tabs>
        <w:rPr>
          <w:sz w:val="20"/>
          <w:szCs w:val="20"/>
          <w:color w:val="auto"/>
        </w:rPr>
      </w:pPr>
      <w:r>
        <w:rPr>
          <w:rFonts w:ascii="Arial" w:cs="Arial" w:eastAsia="Arial" w:hAnsi="Arial"/>
          <w:sz w:val="12"/>
          <w:szCs w:val="12"/>
          <w:i w:val="1"/>
          <w:iCs w:val="1"/>
          <w:color w:val="auto"/>
        </w:rPr>
        <w:t>CONFIDENTIAL &amp; PROPRIETARY – FOR INTERNAL DISTRIBUTION ONLY</w:t>
      </w:r>
      <w:r>
        <w:rPr>
          <w:sz w:val="20"/>
          <w:szCs w:val="20"/>
          <w:color w:val="auto"/>
        </w:rPr>
        <w:tab/>
      </w:r>
      <w:r>
        <w:rPr>
          <w:rFonts w:ascii="Arial" w:cs="Arial" w:eastAsia="Arial" w:hAnsi="Arial"/>
          <w:sz w:val="12"/>
          <w:szCs w:val="12"/>
          <w:color w:val="auto"/>
        </w:rPr>
        <w:t xml:space="preserve">PAGE 9 OF </w:t>
      </w:r>
      <w:r>
        <w:rPr>
          <w:rFonts w:ascii="Arial" w:cs="Arial" w:eastAsia="Arial" w:hAnsi="Arial"/>
          <w:sz w:val="12"/>
          <w:szCs w:val="12"/>
          <w:u w:val="single" w:color="auto"/>
          <w:color w:val="auto"/>
        </w:rPr>
        <w:t>13</w:t>
      </w:r>
    </w:p>
    <w:p>
      <w:pPr>
        <w:sectPr>
          <w:pgSz w:w="11900" w:h="16838" w:orient="portrait"/>
          <w:cols w:equalWidth="0" w:num="1">
            <w:col w:w="11160"/>
          </w:cols>
          <w:pgMar w:left="380" w:top="162" w:right="359" w:bottom="1440" w:gutter="0" w:footer="0" w:header="0"/>
        </w:sectPr>
      </w:pPr>
    </w:p>
    <w:bookmarkStart w:id="135" w:name="page136"/>
    <w:bookmarkEnd w:id="135"/>
    <w:p>
      <w:pPr>
        <w:ind w:left="9376"/>
        <w:spacing w:after="0"/>
        <w:rPr>
          <w:sz w:val="20"/>
          <w:szCs w:val="20"/>
          <w:color w:val="auto"/>
        </w:rPr>
      </w:pPr>
      <w:r>
        <w:rPr>
          <w:rFonts w:ascii="Arial" w:cs="Arial" w:eastAsia="Arial" w:hAnsi="Arial"/>
          <w:sz w:val="14"/>
          <w:szCs w:val="14"/>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17145</wp:posOffset>
            </wp:positionV>
            <wp:extent cx="7150735"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7">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76"/>
        <w:spacing w:after="0"/>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i w:val="1"/>
          <w:iCs w:val="1"/>
          <w:color w:val="auto"/>
        </w:rPr>
        <w:t>Information Relating to the Company</w:t>
      </w:r>
      <w:r>
        <w:rPr>
          <w:rFonts w:ascii="Arial" w:cs="Arial" w:eastAsia="Arial" w:hAnsi="Arial"/>
          <w:sz w:val="17"/>
          <w:szCs w:val="17"/>
          <w:b w:val="1"/>
          <w:bCs w:val="1"/>
          <w:color w:val="auto"/>
        </w:rPr>
        <w:t>.</w:t>
      </w:r>
    </w:p>
    <w:p>
      <w:pPr>
        <w:spacing w:after="0" w:line="87" w:lineRule="exact"/>
        <w:rPr>
          <w:sz w:val="20"/>
          <w:szCs w:val="20"/>
          <w:color w:val="auto"/>
        </w:rPr>
      </w:pPr>
    </w:p>
    <w:p>
      <w:pPr>
        <w:jc w:val="both"/>
        <w:ind w:left="1476" w:hanging="282"/>
        <w:spacing w:after="0" w:line="269" w:lineRule="auto"/>
        <w:tabs>
          <w:tab w:leader="none" w:pos="1465" w:val="left"/>
        </w:tabs>
        <w:numPr>
          <w:ilvl w:val="1"/>
          <w:numId w:val="46"/>
        </w:numPr>
        <w:rPr>
          <w:rFonts w:ascii="Times New Roman" w:cs="Times New Roman" w:eastAsia="Times New Roman" w:hAnsi="Times New Roman"/>
          <w:sz w:val="17"/>
          <w:szCs w:val="17"/>
          <w:color w:val="auto"/>
        </w:rPr>
      </w:pPr>
      <w:r>
        <w:rPr>
          <w:rFonts w:ascii="Arial" w:cs="Arial" w:eastAsia="Arial" w:hAnsi="Arial"/>
          <w:sz w:val="17"/>
          <w:szCs w:val="17"/>
          <w:u w:val="single" w:color="auto"/>
          <w:color w:val="auto"/>
        </w:rPr>
        <w:t>Access to Information</w:t>
      </w:r>
      <w:r>
        <w:rPr>
          <w:rFonts w:ascii="Arial" w:cs="Arial" w:eastAsia="Arial" w:hAnsi="Arial"/>
          <w:sz w:val="17"/>
          <w:szCs w:val="17"/>
          <w:color w:val="auto"/>
        </w:rPr>
        <w:t>. Access to material nonpublic information about the Company, including the Company’s business, earnings or prospects, should be limited to officers, directors, employees and contractors of the Company as required. In addition, such information should not be communicated to anyone outside the Company under any circumstances (except in accordance with the Company’s policies regarding the protection or authorized external disclosure of Company information) or to anyone within the Company on an other than as required.</w:t>
      </w:r>
    </w:p>
    <w:p>
      <w:pPr>
        <w:spacing w:after="0" w:line="2" w:lineRule="exact"/>
        <w:rPr>
          <w:rFonts w:ascii="Times New Roman" w:cs="Times New Roman" w:eastAsia="Times New Roman" w:hAnsi="Times New Roman"/>
          <w:sz w:val="17"/>
          <w:szCs w:val="17"/>
          <w:color w:val="auto"/>
        </w:rPr>
      </w:pPr>
    </w:p>
    <w:p>
      <w:pPr>
        <w:jc w:val="both"/>
        <w:ind w:left="1476"/>
        <w:spacing w:after="0" w:line="230" w:lineRule="auto"/>
        <w:rPr>
          <w:rFonts w:ascii="Times New Roman" w:cs="Times New Roman" w:eastAsia="Times New Roman" w:hAnsi="Times New Roman"/>
          <w:sz w:val="17"/>
          <w:szCs w:val="17"/>
          <w:color w:val="auto"/>
        </w:rPr>
      </w:pPr>
      <w:r>
        <w:rPr>
          <w:rFonts w:ascii="Arial" w:cs="Arial" w:eastAsia="Arial" w:hAnsi="Arial"/>
          <w:sz w:val="17"/>
          <w:szCs w:val="17"/>
          <w:color w:val="auto"/>
        </w:rPr>
        <w:t>In communicating material nonpublic information to employees and contractors of the Company, all officers, directors, employees and contractors must take care to emphasize the need for confidential treatment of such information and adherence to the Company’s policies with regard to confidential information.</w:t>
      </w:r>
    </w:p>
    <w:p>
      <w:pPr>
        <w:spacing w:after="0" w:line="34" w:lineRule="exact"/>
        <w:rPr>
          <w:rFonts w:ascii="Times New Roman" w:cs="Times New Roman" w:eastAsia="Times New Roman" w:hAnsi="Times New Roman"/>
          <w:sz w:val="17"/>
          <w:szCs w:val="17"/>
          <w:color w:val="auto"/>
        </w:rPr>
      </w:pPr>
    </w:p>
    <w:p>
      <w:pPr>
        <w:ind w:left="1476" w:hanging="275"/>
        <w:spacing w:after="0" w:line="250" w:lineRule="auto"/>
        <w:tabs>
          <w:tab w:leader="none" w:pos="1466" w:val="left"/>
        </w:tabs>
        <w:numPr>
          <w:ilvl w:val="1"/>
          <w:numId w:val="46"/>
        </w:numPr>
        <w:rPr>
          <w:rFonts w:ascii="Times New Roman" w:cs="Times New Roman" w:eastAsia="Times New Roman" w:hAnsi="Times New Roman"/>
          <w:sz w:val="17"/>
          <w:szCs w:val="17"/>
          <w:color w:val="auto"/>
        </w:rPr>
      </w:pPr>
      <w:r>
        <w:rPr>
          <w:rFonts w:ascii="Arial" w:cs="Arial" w:eastAsia="Arial" w:hAnsi="Arial"/>
          <w:sz w:val="17"/>
          <w:szCs w:val="17"/>
          <w:u w:val="single" w:color="auto"/>
          <w:color w:val="auto"/>
        </w:rPr>
        <w:t>Inquiries from Third Parties.</w:t>
      </w:r>
      <w:r>
        <w:rPr>
          <w:rFonts w:ascii="Arial" w:cs="Arial" w:eastAsia="Arial" w:hAnsi="Arial"/>
          <w:sz w:val="17"/>
          <w:szCs w:val="17"/>
          <w:color w:val="auto"/>
        </w:rPr>
        <w:t xml:space="preserve"> Inquiries from third parties, such as industry analysts or members of the media, about the Company should be directed to the head of Investor Relations.</w:t>
      </w:r>
    </w:p>
    <w:p>
      <w:pPr>
        <w:spacing w:after="0" w:line="271" w:lineRule="exact"/>
        <w:rPr>
          <w:rFonts w:ascii="Times New Roman" w:cs="Times New Roman" w:eastAsia="Times New Roman" w:hAnsi="Times New Roman"/>
          <w:sz w:val="17"/>
          <w:szCs w:val="17"/>
          <w:color w:val="auto"/>
        </w:rPr>
      </w:pPr>
    </w:p>
    <w:p>
      <w:pPr>
        <w:ind w:left="276" w:hanging="276"/>
        <w:spacing w:after="0"/>
        <w:tabs>
          <w:tab w:leader="none" w:pos="276" w:val="left"/>
        </w:tabs>
        <w:numPr>
          <w:ilvl w:val="0"/>
          <w:numId w:val="46"/>
        </w:numPr>
        <w:rPr>
          <w:rFonts w:ascii="Arial" w:cs="Arial" w:eastAsia="Arial" w:hAnsi="Arial"/>
          <w:sz w:val="25"/>
          <w:szCs w:val="25"/>
          <w:b w:val="1"/>
          <w:bCs w:val="1"/>
          <w:color w:val="auto"/>
        </w:rPr>
      </w:pPr>
      <w:r>
        <w:rPr>
          <w:rFonts w:ascii="Arial" w:cs="Arial" w:eastAsia="Arial" w:hAnsi="Arial"/>
          <w:sz w:val="25"/>
          <w:szCs w:val="25"/>
          <w:b w:val="1"/>
          <w:bCs w:val="1"/>
          <w:color w:val="auto"/>
        </w:rPr>
        <w:t>Limitations on Access to Company Information</w:t>
      </w:r>
    </w:p>
    <w:p>
      <w:pPr>
        <w:spacing w:after="0" w:line="43" w:lineRule="exact"/>
        <w:rPr>
          <w:sz w:val="20"/>
          <w:szCs w:val="20"/>
          <w:color w:val="auto"/>
        </w:rPr>
      </w:pPr>
    </w:p>
    <w:p>
      <w:pPr>
        <w:ind w:left="296"/>
        <w:spacing w:after="0"/>
        <w:rPr>
          <w:sz w:val="20"/>
          <w:szCs w:val="20"/>
          <w:color w:val="auto"/>
        </w:rPr>
      </w:pPr>
      <w:r>
        <w:rPr>
          <w:rFonts w:ascii="Arial" w:cs="Arial" w:eastAsia="Arial" w:hAnsi="Arial"/>
          <w:sz w:val="17"/>
          <w:szCs w:val="17"/>
          <w:color w:val="auto"/>
        </w:rPr>
        <w:t>The following procedures are designed to maintain confidentiality with respect to the Company’s business operations and activities.</w:t>
      </w:r>
    </w:p>
    <w:p>
      <w:pPr>
        <w:spacing w:after="0" w:line="93" w:lineRule="exact"/>
        <w:rPr>
          <w:sz w:val="20"/>
          <w:szCs w:val="20"/>
          <w:color w:val="auto"/>
        </w:rPr>
      </w:pPr>
    </w:p>
    <w:p>
      <w:pPr>
        <w:ind w:left="956" w:right="100" w:hanging="298"/>
        <w:spacing w:after="0" w:line="251" w:lineRule="auto"/>
        <w:rPr>
          <w:sz w:val="20"/>
          <w:szCs w:val="20"/>
          <w:color w:val="auto"/>
        </w:rPr>
      </w:pPr>
      <w:r>
        <w:rPr>
          <w:rFonts w:ascii="Arial" w:cs="Arial" w:eastAsia="Arial" w:hAnsi="Arial"/>
          <w:sz w:val="17"/>
          <w:szCs w:val="17"/>
          <w:color w:val="auto"/>
        </w:rPr>
        <w:t>9.1 All officers, directors, employees and contractors should take all steps and precautions necessary to restrict access to, and secure, material nonpublic information by, among other things:</w:t>
      </w:r>
    </w:p>
    <w:p>
      <w:pPr>
        <w:spacing w:after="0" w:line="24" w:lineRule="exact"/>
        <w:rPr>
          <w:sz w:val="20"/>
          <w:szCs w:val="20"/>
          <w:color w:val="auto"/>
        </w:rPr>
      </w:pPr>
    </w:p>
    <w:p>
      <w:pPr>
        <w:ind w:left="1456" w:hanging="266"/>
        <w:spacing w:after="0"/>
        <w:tabs>
          <w:tab w:leader="none" w:pos="1456"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maintaining the confidentiality of Company-related transactions;</w:t>
      </w:r>
    </w:p>
    <w:p>
      <w:pPr>
        <w:spacing w:after="0" w:line="61" w:lineRule="exact"/>
        <w:rPr>
          <w:rFonts w:ascii="Times New Roman" w:cs="Times New Roman" w:eastAsia="Times New Roman" w:hAnsi="Times New Roman"/>
          <w:sz w:val="17"/>
          <w:szCs w:val="17"/>
          <w:color w:val="auto"/>
        </w:rPr>
      </w:pPr>
    </w:p>
    <w:p>
      <w:pPr>
        <w:ind w:left="1476" w:right="100" w:hanging="286"/>
        <w:spacing w:after="0" w:line="250" w:lineRule="auto"/>
        <w:tabs>
          <w:tab w:leader="none" w:pos="1466"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conducting their business and social activities so as not to risk inadvertent disclosure of confidential information. Review of confidential documents in public places should be conducted so as to prevent access by unauthorized persons;</w:t>
      </w:r>
    </w:p>
    <w:p>
      <w:pPr>
        <w:spacing w:after="0" w:line="24" w:lineRule="exact"/>
        <w:rPr>
          <w:rFonts w:ascii="Times New Roman" w:cs="Times New Roman" w:eastAsia="Times New Roman" w:hAnsi="Times New Roman"/>
          <w:sz w:val="17"/>
          <w:szCs w:val="17"/>
          <w:color w:val="auto"/>
        </w:rPr>
      </w:pPr>
    </w:p>
    <w:p>
      <w:pPr>
        <w:ind w:left="1476" w:right="100" w:hanging="286"/>
        <w:spacing w:after="0" w:line="250" w:lineRule="auto"/>
        <w:tabs>
          <w:tab w:leader="none" w:pos="1466"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restricting access to documents and files (including computer files) containing material nonpublic information to individuals only as required (including maintaining control over the distribution of documents and drafts of documents);</w:t>
      </w:r>
    </w:p>
    <w:p>
      <w:pPr>
        <w:spacing w:after="0" w:line="24" w:lineRule="exact"/>
        <w:rPr>
          <w:rFonts w:ascii="Times New Roman" w:cs="Times New Roman" w:eastAsia="Times New Roman" w:hAnsi="Times New Roman"/>
          <w:sz w:val="17"/>
          <w:szCs w:val="17"/>
          <w:color w:val="auto"/>
        </w:rPr>
      </w:pPr>
    </w:p>
    <w:p>
      <w:pPr>
        <w:ind w:left="1476" w:right="100" w:hanging="286"/>
        <w:spacing w:after="0" w:line="250" w:lineRule="auto"/>
        <w:tabs>
          <w:tab w:leader="none" w:pos="1466"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promptly removing and cleaning up all confidential documents and other materials from conference rooms following the conclusion of any meetings;</w:t>
      </w:r>
    </w:p>
    <w:p>
      <w:pPr>
        <w:spacing w:after="0" w:line="24" w:lineRule="exact"/>
        <w:rPr>
          <w:rFonts w:ascii="Times New Roman" w:cs="Times New Roman" w:eastAsia="Times New Roman" w:hAnsi="Times New Roman"/>
          <w:sz w:val="17"/>
          <w:szCs w:val="17"/>
          <w:color w:val="auto"/>
        </w:rPr>
      </w:pPr>
    </w:p>
    <w:p>
      <w:pPr>
        <w:ind w:left="1456" w:hanging="266"/>
        <w:spacing w:after="0"/>
        <w:tabs>
          <w:tab w:leader="none" w:pos="1456"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disposing of all confidential documents and other papers once there is no longer any business or other legally required need;</w:t>
      </w:r>
    </w:p>
    <w:p>
      <w:pPr>
        <w:spacing w:after="0" w:line="72" w:lineRule="exact"/>
        <w:rPr>
          <w:rFonts w:ascii="Times New Roman" w:cs="Times New Roman" w:eastAsia="Times New Roman" w:hAnsi="Times New Roman"/>
          <w:sz w:val="17"/>
          <w:szCs w:val="17"/>
          <w:color w:val="auto"/>
        </w:rPr>
      </w:pPr>
    </w:p>
    <w:p>
      <w:pPr>
        <w:ind w:left="1456" w:hanging="266"/>
        <w:spacing w:after="0"/>
        <w:tabs>
          <w:tab w:leader="none" w:pos="1456"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restricting access to areas likely to contain confidential documents or material nonpublic information;</w:t>
      </w:r>
    </w:p>
    <w:p>
      <w:pPr>
        <w:spacing w:after="0" w:line="61" w:lineRule="exact"/>
        <w:rPr>
          <w:rFonts w:ascii="Times New Roman" w:cs="Times New Roman" w:eastAsia="Times New Roman" w:hAnsi="Times New Roman"/>
          <w:sz w:val="17"/>
          <w:szCs w:val="17"/>
          <w:color w:val="auto"/>
        </w:rPr>
      </w:pPr>
    </w:p>
    <w:p>
      <w:pPr>
        <w:ind w:left="1456" w:hanging="266"/>
        <w:spacing w:after="0"/>
        <w:tabs>
          <w:tab w:leader="none" w:pos="1456"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safeguarding laptop computers, tablets, memory sticks, CDs, and other items that contain confidential information; and</w:t>
      </w:r>
    </w:p>
    <w:p>
      <w:pPr>
        <w:spacing w:after="0" w:line="61" w:lineRule="exact"/>
        <w:rPr>
          <w:rFonts w:ascii="Times New Roman" w:cs="Times New Roman" w:eastAsia="Times New Roman" w:hAnsi="Times New Roman"/>
          <w:sz w:val="17"/>
          <w:szCs w:val="17"/>
          <w:color w:val="auto"/>
        </w:rPr>
      </w:pPr>
    </w:p>
    <w:p>
      <w:pPr>
        <w:ind w:left="1476" w:right="100" w:hanging="286"/>
        <w:spacing w:after="0" w:line="250" w:lineRule="auto"/>
        <w:tabs>
          <w:tab w:leader="none" w:pos="1466" w:val="left"/>
        </w:tabs>
        <w:numPr>
          <w:ilvl w:val="0"/>
          <w:numId w:val="47"/>
        </w:numPr>
        <w:rPr>
          <w:rFonts w:ascii="Times New Roman" w:cs="Times New Roman" w:eastAsia="Times New Roman" w:hAnsi="Times New Roman"/>
          <w:sz w:val="17"/>
          <w:szCs w:val="17"/>
          <w:color w:val="auto"/>
        </w:rPr>
      </w:pPr>
      <w:r>
        <w:rPr>
          <w:rFonts w:ascii="Arial" w:cs="Arial" w:eastAsia="Arial" w:hAnsi="Arial"/>
          <w:sz w:val="17"/>
          <w:szCs w:val="17"/>
          <w:color w:val="auto"/>
        </w:rPr>
        <w:t>avoiding the discussion of material nonpublic information in places where the information could be overheard by others, such as in elevators, restrooms, hallways, restaurants, airplanes, or taxicabs.</w:t>
      </w:r>
    </w:p>
    <w:p>
      <w:pPr>
        <w:spacing w:after="0" w:line="71" w:lineRule="exact"/>
        <w:rPr>
          <w:sz w:val="20"/>
          <w:szCs w:val="20"/>
          <w:color w:val="auto"/>
        </w:rPr>
      </w:pPr>
    </w:p>
    <w:p>
      <w:pPr>
        <w:ind w:left="936" w:right="80" w:hanging="283"/>
        <w:spacing w:after="0" w:line="251" w:lineRule="auto"/>
        <w:tabs>
          <w:tab w:leader="none" w:pos="915" w:val="left"/>
        </w:tabs>
        <w:rPr>
          <w:sz w:val="20"/>
          <w:szCs w:val="20"/>
          <w:color w:val="auto"/>
        </w:rPr>
      </w:pPr>
      <w:r>
        <w:rPr>
          <w:rFonts w:ascii="Arial" w:cs="Arial" w:eastAsia="Arial" w:hAnsi="Arial"/>
          <w:sz w:val="17"/>
          <w:szCs w:val="17"/>
          <w:color w:val="auto"/>
        </w:rPr>
        <w:t>9.2</w:t>
        <w:tab/>
        <w:t>Personnel involved with material nonpublic information, to the extent feasible, should conduct their business and activities in areas separate from other Company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658495</wp:posOffset>
            </wp:positionV>
            <wp:extent cx="7150735"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8">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6"/>
        <w:spacing w:after="0"/>
        <w:tabs>
          <w:tab w:leader="none" w:pos="10255" w:val="left"/>
        </w:tabs>
        <w:rPr>
          <w:sz w:val="20"/>
          <w:szCs w:val="20"/>
          <w:color w:val="auto"/>
        </w:rPr>
      </w:pPr>
      <w:r>
        <w:rPr>
          <w:rFonts w:ascii="Arial" w:cs="Arial" w:eastAsia="Arial" w:hAnsi="Arial"/>
          <w:sz w:val="12"/>
          <w:szCs w:val="12"/>
          <w:i w:val="1"/>
          <w:iCs w:val="1"/>
          <w:color w:val="auto"/>
        </w:rPr>
        <w:t>CONFIDENTIAL &amp; PROPRIETARY – FOR INTERNAL DISTRIBUTION ONLY</w:t>
      </w:r>
      <w:r>
        <w:rPr>
          <w:sz w:val="20"/>
          <w:szCs w:val="20"/>
          <w:color w:val="auto"/>
        </w:rPr>
        <w:tab/>
      </w:r>
      <w:r>
        <w:rPr>
          <w:rFonts w:ascii="Arial" w:cs="Arial" w:eastAsia="Arial" w:hAnsi="Arial"/>
          <w:sz w:val="12"/>
          <w:szCs w:val="12"/>
          <w:color w:val="auto"/>
        </w:rPr>
        <w:t xml:space="preserve">PAGE 10 OF </w:t>
      </w:r>
      <w:r>
        <w:rPr>
          <w:rFonts w:ascii="Arial" w:cs="Arial" w:eastAsia="Arial" w:hAnsi="Arial"/>
          <w:sz w:val="12"/>
          <w:szCs w:val="12"/>
          <w:u w:val="single" w:color="auto"/>
          <w:color w:val="auto"/>
        </w:rPr>
        <w:t>13</w:t>
      </w:r>
    </w:p>
    <w:p>
      <w:pPr>
        <w:sectPr>
          <w:pgSz w:w="11900" w:h="16838" w:orient="portrait"/>
          <w:cols w:equalWidth="0" w:num="1">
            <w:col w:w="11196"/>
          </w:cols>
          <w:pgMar w:left="344" w:top="162" w:right="359" w:bottom="1440" w:gutter="0" w:footer="0" w:header="0"/>
        </w:sectPr>
      </w:pPr>
    </w:p>
    <w:bookmarkStart w:id="136" w:name="page137"/>
    <w:bookmarkEnd w:id="136"/>
    <w:p>
      <w:pPr>
        <w:ind w:left="9380"/>
        <w:spacing w:after="0"/>
        <w:rPr>
          <w:sz w:val="20"/>
          <w:szCs w:val="20"/>
          <w:color w:val="auto"/>
        </w:rPr>
      </w:pPr>
      <w:r>
        <w:rPr>
          <w:rFonts w:ascii="Arial" w:cs="Arial" w:eastAsia="Arial" w:hAnsi="Arial"/>
          <w:sz w:val="14"/>
          <w:szCs w:val="14"/>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17145</wp:posOffset>
            </wp:positionV>
            <wp:extent cx="7150735"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9">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10. Rule 10b5-1 Trading Plans</w:t>
      </w:r>
    </w:p>
    <w:p>
      <w:pPr>
        <w:spacing w:after="0" w:line="11" w:lineRule="exact"/>
        <w:rPr>
          <w:sz w:val="20"/>
          <w:szCs w:val="20"/>
          <w:color w:val="auto"/>
        </w:rPr>
      </w:pPr>
    </w:p>
    <w:p>
      <w:pPr>
        <w:ind w:left="940"/>
        <w:spacing w:after="0"/>
        <w:rPr>
          <w:sz w:val="20"/>
          <w:szCs w:val="20"/>
          <w:color w:val="auto"/>
        </w:rPr>
      </w:pPr>
      <w:r>
        <w:rPr>
          <w:rFonts w:ascii="Arial" w:cs="Arial" w:eastAsia="Arial" w:hAnsi="Arial"/>
          <w:sz w:val="17"/>
          <w:szCs w:val="17"/>
          <w:color w:val="auto"/>
        </w:rPr>
        <w:t>The trading restrictions set forth do not apply to transactions under a previously established contract, plan or instruction to trade in the</w:t>
      </w:r>
    </w:p>
    <w:p>
      <w:pPr>
        <w:ind w:left="940"/>
        <w:spacing w:after="0"/>
        <w:rPr>
          <w:sz w:val="20"/>
          <w:szCs w:val="20"/>
          <w:color w:val="auto"/>
        </w:rPr>
      </w:pPr>
      <w:r>
        <w:rPr>
          <w:rFonts w:ascii="Arial" w:cs="Arial" w:eastAsia="Arial" w:hAnsi="Arial"/>
          <w:sz w:val="17"/>
          <w:szCs w:val="17"/>
          <w:color w:val="auto"/>
        </w:rPr>
        <w:t>Company’s stock in accordance with the terms of Rule 10b5-1 and all applicable state laws (a “Trading Plan”) that:</w:t>
      </w:r>
    </w:p>
    <w:p>
      <w:pPr>
        <w:spacing w:after="0" w:line="174" w:lineRule="exact"/>
        <w:rPr>
          <w:sz w:val="20"/>
          <w:szCs w:val="20"/>
          <w:color w:val="auto"/>
        </w:rPr>
      </w:pPr>
    </w:p>
    <w:p>
      <w:pPr>
        <w:ind w:left="1780" w:right="160" w:hanging="551"/>
        <w:spacing w:after="0" w:line="251" w:lineRule="auto"/>
        <w:tabs>
          <w:tab w:leader="none" w:pos="1619" w:val="left"/>
        </w:tabs>
        <w:numPr>
          <w:ilvl w:val="0"/>
          <w:numId w:val="48"/>
        </w:numPr>
        <w:rPr>
          <w:rFonts w:ascii="Arial" w:cs="Arial" w:eastAsia="Arial" w:hAnsi="Arial"/>
          <w:sz w:val="17"/>
          <w:szCs w:val="17"/>
          <w:color w:val="auto"/>
        </w:rPr>
      </w:pPr>
      <w:r>
        <w:rPr>
          <w:rFonts w:ascii="Arial" w:cs="Arial" w:eastAsia="Arial" w:hAnsi="Arial"/>
          <w:sz w:val="17"/>
          <w:szCs w:val="17"/>
          <w:color w:val="auto"/>
        </w:rPr>
        <w:t>has been submitted to and preapproved by the Company’s General Counsel, or such other person as the Board of Directors may designate from time to time, at least 30 days before the commencement of any transactions under the Trading Plan;</w:t>
      </w:r>
    </w:p>
    <w:p>
      <w:pPr>
        <w:spacing w:after="0" w:line="136" w:lineRule="exact"/>
        <w:rPr>
          <w:rFonts w:ascii="Arial" w:cs="Arial" w:eastAsia="Arial" w:hAnsi="Arial"/>
          <w:sz w:val="17"/>
          <w:szCs w:val="17"/>
          <w:color w:val="auto"/>
        </w:rPr>
      </w:pPr>
    </w:p>
    <w:p>
      <w:pPr>
        <w:ind w:left="1620" w:hanging="391"/>
        <w:spacing w:after="0"/>
        <w:tabs>
          <w:tab w:leader="none" w:pos="16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includes a “Cooling Off Period” for:</w:t>
      </w:r>
    </w:p>
    <w:p>
      <w:pPr>
        <w:ind w:left="2080" w:right="60" w:hanging="290"/>
        <w:spacing w:after="0" w:line="210" w:lineRule="auto"/>
        <w:tabs>
          <w:tab w:leader="none" w:pos="2142" w:val="left"/>
        </w:tabs>
        <w:numPr>
          <w:ilvl w:val="1"/>
          <w:numId w:val="48"/>
        </w:numPr>
        <w:rPr>
          <w:rFonts w:ascii="Arial" w:cs="Arial" w:eastAsia="Arial" w:hAnsi="Arial"/>
          <w:sz w:val="17"/>
          <w:szCs w:val="17"/>
          <w:color w:val="auto"/>
        </w:rPr>
      </w:pPr>
      <w:r>
        <w:rPr>
          <w:rFonts w:ascii="Arial" w:cs="Arial" w:eastAsia="Arial" w:hAnsi="Arial"/>
          <w:sz w:val="17"/>
          <w:szCs w:val="17"/>
          <w:color w:val="auto"/>
        </w:rPr>
        <w:t>Section 16 reporting persons that extends to the later of 90 days after adoption or modification of a Trading Plan or two business days after filing the Form 10-K or Form 10-Q covering the fiscal quarter in which the Trading Plan was adopted, up to a maximum of 120 days; and</w:t>
      </w:r>
    </w:p>
    <w:p>
      <w:pPr>
        <w:spacing w:after="0" w:line="1" w:lineRule="exact"/>
        <w:rPr>
          <w:rFonts w:ascii="Arial" w:cs="Arial" w:eastAsia="Arial" w:hAnsi="Arial"/>
          <w:sz w:val="17"/>
          <w:szCs w:val="17"/>
          <w:color w:val="auto"/>
        </w:rPr>
      </w:pPr>
    </w:p>
    <w:p>
      <w:pPr>
        <w:ind w:left="2080" w:right="240" w:hanging="290"/>
        <w:spacing w:after="0" w:line="228" w:lineRule="auto"/>
        <w:tabs>
          <w:tab w:leader="none" w:pos="2180" w:val="left"/>
        </w:tabs>
        <w:numPr>
          <w:ilvl w:val="1"/>
          <w:numId w:val="48"/>
        </w:numPr>
        <w:rPr>
          <w:rFonts w:ascii="Arial" w:cs="Arial" w:eastAsia="Arial" w:hAnsi="Arial"/>
          <w:sz w:val="17"/>
          <w:szCs w:val="17"/>
          <w:color w:val="auto"/>
        </w:rPr>
      </w:pPr>
      <w:r>
        <w:rPr>
          <w:rFonts w:ascii="Arial" w:cs="Arial" w:eastAsia="Arial" w:hAnsi="Arial"/>
          <w:sz w:val="17"/>
          <w:szCs w:val="17"/>
          <w:color w:val="auto"/>
        </w:rPr>
        <w:t>employees and any other persons, other than the Company, that extends 30 days after adoption or modification of a Trading Plan;</w:t>
      </w:r>
    </w:p>
    <w:p>
      <w:pPr>
        <w:spacing w:after="0" w:line="162" w:lineRule="exact"/>
        <w:rPr>
          <w:rFonts w:ascii="Arial" w:cs="Arial" w:eastAsia="Arial" w:hAnsi="Arial"/>
          <w:sz w:val="17"/>
          <w:szCs w:val="17"/>
          <w:color w:val="auto"/>
        </w:rPr>
      </w:pPr>
    </w:p>
    <w:p>
      <w:pPr>
        <w:ind w:left="1780" w:right="80" w:hanging="551"/>
        <w:spacing w:after="0" w:line="230" w:lineRule="auto"/>
        <w:tabs>
          <w:tab w:leader="none" w:pos="1609" w:val="left"/>
        </w:tabs>
        <w:numPr>
          <w:ilvl w:val="0"/>
          <w:numId w:val="48"/>
        </w:numPr>
        <w:rPr>
          <w:rFonts w:ascii="Arial" w:cs="Arial" w:eastAsia="Arial" w:hAnsi="Arial"/>
          <w:sz w:val="17"/>
          <w:szCs w:val="17"/>
          <w:color w:val="auto"/>
        </w:rPr>
      </w:pPr>
      <w:r>
        <w:rPr>
          <w:rFonts w:ascii="Arial" w:cs="Arial" w:eastAsia="Arial" w:hAnsi="Arial"/>
          <w:sz w:val="17"/>
          <w:szCs w:val="17"/>
          <w:color w:val="auto"/>
        </w:rPr>
        <w:t>for Section 16 reporting persons, includes a representation in the Trading Plan that the Section 16 reporting person is (1) not aware of any material nonpublic information about the Company or its securities; and (2) adopting the Trading Plan in good faith and not as part of a plan or scheme to evade Rule 10b-5;</w:t>
      </w:r>
    </w:p>
    <w:p>
      <w:pPr>
        <w:spacing w:after="0" w:line="163" w:lineRule="exact"/>
        <w:rPr>
          <w:rFonts w:ascii="Arial" w:cs="Arial" w:eastAsia="Arial" w:hAnsi="Arial"/>
          <w:sz w:val="17"/>
          <w:szCs w:val="17"/>
          <w:color w:val="auto"/>
        </w:rPr>
      </w:pPr>
    </w:p>
    <w:p>
      <w:pPr>
        <w:ind w:left="1780" w:right="780" w:hanging="551"/>
        <w:spacing w:after="0" w:line="251" w:lineRule="auto"/>
        <w:tabs>
          <w:tab w:leader="none" w:pos="1619" w:val="left"/>
        </w:tabs>
        <w:numPr>
          <w:ilvl w:val="0"/>
          <w:numId w:val="48"/>
        </w:numPr>
        <w:rPr>
          <w:rFonts w:ascii="Arial" w:cs="Arial" w:eastAsia="Arial" w:hAnsi="Arial"/>
          <w:sz w:val="17"/>
          <w:szCs w:val="17"/>
          <w:color w:val="auto"/>
        </w:rPr>
      </w:pPr>
      <w:r>
        <w:rPr>
          <w:rFonts w:ascii="Arial" w:cs="Arial" w:eastAsia="Arial" w:hAnsi="Arial"/>
          <w:sz w:val="17"/>
          <w:szCs w:val="17"/>
          <w:color w:val="auto"/>
        </w:rPr>
        <w:t>you entered into in good faith at a time when you were not in possession of material nonpublic information about the Company; and</w:t>
      </w:r>
    </w:p>
    <w:p>
      <w:pPr>
        <w:spacing w:after="0" w:line="140" w:lineRule="exact"/>
        <w:rPr>
          <w:rFonts w:ascii="Arial" w:cs="Arial" w:eastAsia="Arial" w:hAnsi="Arial"/>
          <w:sz w:val="17"/>
          <w:szCs w:val="17"/>
          <w:color w:val="auto"/>
        </w:rPr>
      </w:pPr>
    </w:p>
    <w:p>
      <w:pPr>
        <w:ind w:left="1780" w:right="340" w:hanging="551"/>
        <w:spacing w:after="0" w:line="235" w:lineRule="auto"/>
        <w:tabs>
          <w:tab w:leader="none" w:pos="1619" w:val="left"/>
        </w:tabs>
        <w:numPr>
          <w:ilvl w:val="0"/>
          <w:numId w:val="48"/>
        </w:numPr>
        <w:rPr>
          <w:rFonts w:ascii="Arial" w:cs="Arial" w:eastAsia="Arial" w:hAnsi="Arial"/>
          <w:sz w:val="17"/>
          <w:szCs w:val="17"/>
          <w:color w:val="auto"/>
        </w:rPr>
      </w:pPr>
      <w:r>
        <w:rPr>
          <w:rFonts w:ascii="Arial" w:cs="Arial" w:eastAsia="Arial" w:hAnsi="Arial"/>
          <w:sz w:val="17"/>
          <w:szCs w:val="17"/>
          <w:color w:val="auto"/>
        </w:rPr>
        <w:t>either (i) specifies the amounts, prices, and dates of all security transactions under the Trading Plan; (ii) provides a written formula, algorithm, or computer program for determining the amount, price, and date of the transactions; or (iii) prohibits you from exercising any subsequent influence over the transactions.</w:t>
      </w:r>
    </w:p>
    <w:p>
      <w:pPr>
        <w:spacing w:after="0" w:line="151" w:lineRule="exact"/>
        <w:rPr>
          <w:sz w:val="20"/>
          <w:szCs w:val="20"/>
          <w:color w:val="auto"/>
        </w:rPr>
      </w:pPr>
    </w:p>
    <w:p>
      <w:pPr>
        <w:ind w:left="940" w:right="240"/>
        <w:spacing w:after="0" w:line="225" w:lineRule="auto"/>
        <w:rPr>
          <w:sz w:val="20"/>
          <w:szCs w:val="20"/>
          <w:color w:val="auto"/>
        </w:rPr>
      </w:pPr>
      <w:r>
        <w:rPr>
          <w:rFonts w:ascii="Arial" w:cs="Arial" w:eastAsia="Arial" w:hAnsi="Arial"/>
          <w:sz w:val="17"/>
          <w:szCs w:val="17"/>
          <w:color w:val="auto"/>
        </w:rPr>
        <w:t>You may adopt more than one Trading Plan at a time. You may only amend or revoke a Trading Plan outside of quarterly trading Blackout Periods when you do not possess material nonpublic information. Any amendment or revocation of a Trading Plan must be</w:t>
      </w:r>
    </w:p>
    <w:p>
      <w:pPr>
        <w:ind w:left="940" w:right="480"/>
        <w:spacing w:after="0" w:line="228" w:lineRule="auto"/>
        <w:rPr>
          <w:sz w:val="20"/>
          <w:szCs w:val="20"/>
          <w:color w:val="auto"/>
        </w:rPr>
      </w:pPr>
      <w:r>
        <w:rPr>
          <w:rFonts w:ascii="Arial" w:cs="Arial" w:eastAsia="Arial" w:hAnsi="Arial"/>
          <w:sz w:val="17"/>
          <w:szCs w:val="17"/>
          <w:color w:val="auto"/>
        </w:rPr>
        <w:t>preapproved by the General Counsel or his or her designee at least 30 days before you trade under an amended Trading Plan or outside of a revoked Trading Plan, and at least 180 days before you establish a new Trading Plan.</w:t>
      </w:r>
    </w:p>
    <w:p>
      <w:pPr>
        <w:spacing w:after="0" w:line="158" w:lineRule="exact"/>
        <w:rPr>
          <w:sz w:val="20"/>
          <w:szCs w:val="20"/>
          <w:color w:val="auto"/>
        </w:rPr>
      </w:pPr>
    </w:p>
    <w:p>
      <w:pPr>
        <w:ind w:left="940"/>
        <w:spacing w:after="0"/>
        <w:rPr>
          <w:sz w:val="20"/>
          <w:szCs w:val="20"/>
          <w:color w:val="auto"/>
        </w:rPr>
      </w:pPr>
      <w:r>
        <w:rPr>
          <w:rFonts w:ascii="Arial" w:cs="Arial" w:eastAsia="Arial" w:hAnsi="Arial"/>
          <w:sz w:val="17"/>
          <w:szCs w:val="17"/>
          <w:color w:val="auto"/>
        </w:rPr>
        <w:t>The Company reserves the right to publicly announce, or respond to inquiries from the media regarding, the implementation of Trading</w:t>
      </w:r>
    </w:p>
    <w:p>
      <w:pPr>
        <w:ind w:left="940" w:right="100"/>
        <w:spacing w:after="0" w:line="208" w:lineRule="auto"/>
        <w:rPr>
          <w:sz w:val="20"/>
          <w:szCs w:val="20"/>
          <w:color w:val="auto"/>
        </w:rPr>
      </w:pPr>
      <w:r>
        <w:rPr>
          <w:rFonts w:ascii="Arial" w:cs="Arial" w:eastAsia="Arial" w:hAnsi="Arial"/>
          <w:sz w:val="17"/>
          <w:szCs w:val="17"/>
          <w:color w:val="auto"/>
        </w:rPr>
        <w:t>Plans or the execution of transactions made under a Trading Plan. The Company also reserves the right from time to time to suspend, discontinue or otherwise prohibit transactions under a Trading Plan if the General Counsel or his or her designee or the Board of</w:t>
      </w:r>
    </w:p>
    <w:p>
      <w:pPr>
        <w:ind w:left="940" w:right="820"/>
        <w:spacing w:after="0" w:line="236" w:lineRule="auto"/>
        <w:rPr>
          <w:sz w:val="20"/>
          <w:szCs w:val="20"/>
          <w:color w:val="auto"/>
        </w:rPr>
      </w:pPr>
      <w:r>
        <w:rPr>
          <w:rFonts w:ascii="Arial" w:cs="Arial" w:eastAsia="Arial" w:hAnsi="Arial"/>
          <w:sz w:val="17"/>
          <w:szCs w:val="17"/>
          <w:color w:val="auto"/>
        </w:rPr>
        <w:t>Directors, in its discretion, determines that such suspension, discontinuation or other prohibition is in the best interests of the Company.</w:t>
      </w:r>
    </w:p>
    <w:p>
      <w:pPr>
        <w:spacing w:after="0" w:line="114" w:lineRule="exact"/>
        <w:rPr>
          <w:sz w:val="20"/>
          <w:szCs w:val="20"/>
          <w:color w:val="auto"/>
        </w:rPr>
      </w:pPr>
    </w:p>
    <w:p>
      <w:pPr>
        <w:ind w:left="940" w:right="140"/>
        <w:spacing w:after="0" w:line="251" w:lineRule="auto"/>
        <w:rPr>
          <w:sz w:val="20"/>
          <w:szCs w:val="20"/>
          <w:color w:val="auto"/>
        </w:rPr>
      </w:pPr>
      <w:r>
        <w:rPr>
          <w:rFonts w:ascii="Arial" w:cs="Arial" w:eastAsia="Arial" w:hAnsi="Arial"/>
          <w:sz w:val="17"/>
          <w:szCs w:val="17"/>
          <w:color w:val="auto"/>
        </w:rPr>
        <w:t>The cashless exercise of options under Trading Plans is permitted only through “same-day sales,” in which the option holder does not pay for the stock up front, but rather receives cash equal to the difference between the stock value and option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524510</wp:posOffset>
            </wp:positionV>
            <wp:extent cx="7150735"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0">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tabs>
          <w:tab w:leader="none" w:pos="10260" w:val="left"/>
        </w:tabs>
        <w:rPr>
          <w:sz w:val="20"/>
          <w:szCs w:val="20"/>
          <w:color w:val="auto"/>
        </w:rPr>
      </w:pPr>
      <w:r>
        <w:rPr>
          <w:rFonts w:ascii="Arial" w:cs="Arial" w:eastAsia="Arial" w:hAnsi="Arial"/>
          <w:sz w:val="12"/>
          <w:szCs w:val="12"/>
          <w:i w:val="1"/>
          <w:iCs w:val="1"/>
          <w:color w:val="auto"/>
        </w:rPr>
        <w:t>CONFIDENTIAL &amp; PROPRIETARY – FOR INTERNAL DISTRIBUTION ONLY</w:t>
      </w:r>
      <w:r>
        <w:rPr>
          <w:sz w:val="20"/>
          <w:szCs w:val="20"/>
          <w:color w:val="auto"/>
        </w:rPr>
        <w:tab/>
      </w:r>
      <w:r>
        <w:rPr>
          <w:rFonts w:ascii="Arial" w:cs="Arial" w:eastAsia="Arial" w:hAnsi="Arial"/>
          <w:sz w:val="12"/>
          <w:szCs w:val="12"/>
          <w:color w:val="auto"/>
        </w:rPr>
        <w:t xml:space="preserve">PAGE 11 OF </w:t>
      </w:r>
      <w:r>
        <w:rPr>
          <w:rFonts w:ascii="Arial" w:cs="Arial" w:eastAsia="Arial" w:hAnsi="Arial"/>
          <w:sz w:val="12"/>
          <w:szCs w:val="12"/>
          <w:u w:val="single" w:color="auto"/>
          <w:color w:val="auto"/>
        </w:rPr>
        <w:t>13</w:t>
      </w:r>
    </w:p>
    <w:p>
      <w:pPr>
        <w:sectPr>
          <w:pgSz w:w="11900" w:h="16838" w:orient="portrait"/>
          <w:cols w:equalWidth="0" w:num="1">
            <w:col w:w="11180"/>
          </w:cols>
          <w:pgMar w:left="340" w:top="162" w:right="379" w:bottom="1440" w:gutter="0" w:footer="0" w:header="0"/>
        </w:sectPr>
      </w:pPr>
    </w:p>
    <w:bookmarkStart w:id="137" w:name="page138"/>
    <w:bookmarkEnd w:id="137"/>
    <w:p>
      <w:pPr>
        <w:ind w:left="9380"/>
        <w:spacing w:after="0"/>
        <w:rPr>
          <w:sz w:val="20"/>
          <w:szCs w:val="20"/>
          <w:color w:val="auto"/>
        </w:rPr>
      </w:pPr>
      <w:r>
        <w:rPr>
          <w:rFonts w:ascii="Arial" w:cs="Arial" w:eastAsia="Arial" w:hAnsi="Arial"/>
          <w:sz w:val="14"/>
          <w:szCs w:val="14"/>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17145</wp:posOffset>
            </wp:positionV>
            <wp:extent cx="7150735"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1">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940" w:right="80"/>
        <w:spacing w:after="0" w:line="238" w:lineRule="auto"/>
        <w:rPr>
          <w:sz w:val="20"/>
          <w:szCs w:val="20"/>
          <w:color w:val="auto"/>
        </w:rPr>
      </w:pPr>
      <w:r>
        <w:rPr>
          <w:rFonts w:ascii="Arial" w:cs="Arial" w:eastAsia="Arial" w:hAnsi="Arial"/>
          <w:sz w:val="17"/>
          <w:szCs w:val="17"/>
          <w:color w:val="auto"/>
        </w:rPr>
        <w:t>Transactions prohibited under Section 1.5 of this Policy, including, but not limited to, short sales and hedging transactions, may not be carried out through a Trading Plan.</w:t>
      </w:r>
    </w:p>
    <w:p>
      <w:pPr>
        <w:spacing w:after="0" w:line="1" w:lineRule="exact"/>
        <w:rPr>
          <w:sz w:val="20"/>
          <w:szCs w:val="20"/>
          <w:color w:val="auto"/>
        </w:rPr>
      </w:pPr>
    </w:p>
    <w:p>
      <w:pPr>
        <w:jc w:val="right"/>
        <w:ind w:left="560" w:right="80"/>
        <w:spacing w:after="0" w:line="216" w:lineRule="auto"/>
        <w:rPr>
          <w:sz w:val="20"/>
          <w:szCs w:val="20"/>
          <w:color w:val="auto"/>
        </w:rPr>
      </w:pPr>
      <w:r>
        <w:rPr>
          <w:rFonts w:ascii="Arial" w:cs="Arial" w:eastAsia="Arial" w:hAnsi="Arial"/>
          <w:sz w:val="17"/>
          <w:szCs w:val="17"/>
          <w:color w:val="auto"/>
        </w:rPr>
        <w:t>10.5 Compliance of a Trading Plan with the terms of Rule 10b5-1 and the execution of transactions pursuant to the Trading Plan are the sole responsibility of the person initiating the Trading Plan, and none of the Company, the General Counsel or his or her designee, or</w:t>
      </w:r>
    </w:p>
    <w:p>
      <w:pPr>
        <w:ind w:left="940" w:right="80"/>
        <w:spacing w:after="0" w:line="236" w:lineRule="auto"/>
        <w:rPr>
          <w:sz w:val="20"/>
          <w:szCs w:val="20"/>
          <w:color w:val="auto"/>
        </w:rPr>
      </w:pPr>
      <w:r>
        <w:rPr>
          <w:rFonts w:ascii="Arial" w:cs="Arial" w:eastAsia="Arial" w:hAnsi="Arial"/>
          <w:sz w:val="17"/>
          <w:szCs w:val="17"/>
          <w:color w:val="auto"/>
        </w:rPr>
        <w:t>the Company’s other employees assume any liability for any delay in reviewing and/or refusing a Trading Plan submitted for approval nor the legality or consequences relating to a person entering into or trading under a Trading Plan.</w:t>
      </w:r>
    </w:p>
    <w:p>
      <w:pPr>
        <w:ind w:left="560"/>
        <w:spacing w:after="0"/>
        <w:rPr>
          <w:sz w:val="20"/>
          <w:szCs w:val="20"/>
          <w:color w:val="auto"/>
        </w:rPr>
      </w:pPr>
      <w:r>
        <w:rPr>
          <w:rFonts w:ascii="Arial" w:cs="Arial" w:eastAsia="Arial" w:hAnsi="Arial"/>
          <w:sz w:val="17"/>
          <w:szCs w:val="17"/>
          <w:color w:val="auto"/>
        </w:rPr>
        <w:t>10.6 Trading Plans do not exempt you from complying with Section 16 short-swing profit rules or liability.</w:t>
      </w:r>
    </w:p>
    <w:p>
      <w:pPr>
        <w:spacing w:after="0" w:line="27" w:lineRule="exact"/>
        <w:rPr>
          <w:sz w:val="20"/>
          <w:szCs w:val="20"/>
          <w:color w:val="auto"/>
        </w:rPr>
      </w:pPr>
    </w:p>
    <w:p>
      <w:pPr>
        <w:ind w:left="940" w:right="80" w:hanging="379"/>
        <w:spacing w:after="0" w:line="236" w:lineRule="auto"/>
        <w:rPr>
          <w:sz w:val="20"/>
          <w:szCs w:val="20"/>
          <w:color w:val="auto"/>
        </w:rPr>
      </w:pPr>
      <w:r>
        <w:rPr>
          <w:rFonts w:ascii="Arial" w:cs="Arial" w:eastAsia="Arial" w:hAnsi="Arial"/>
          <w:sz w:val="17"/>
          <w:szCs w:val="17"/>
          <w:color w:val="auto"/>
        </w:rPr>
        <w:t>10.7 During an open trading window, you may make trades outside of the Trading Plan. However, the Trading Plan must also continue to be followed.</w:t>
      </w:r>
    </w:p>
    <w:p>
      <w:pPr>
        <w:spacing w:after="0" w:line="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11. Questions and Reporting Concerns</w:t>
      </w:r>
    </w:p>
    <w:p>
      <w:pPr>
        <w:spacing w:after="0" w:line="18" w:lineRule="exact"/>
        <w:rPr>
          <w:sz w:val="20"/>
          <w:szCs w:val="20"/>
          <w:color w:val="auto"/>
        </w:rPr>
      </w:pPr>
    </w:p>
    <w:p>
      <w:pPr>
        <w:ind w:left="440"/>
        <w:spacing w:after="0" w:line="228" w:lineRule="auto"/>
        <w:rPr>
          <w:sz w:val="20"/>
          <w:szCs w:val="20"/>
          <w:color w:val="auto"/>
        </w:rPr>
      </w:pPr>
      <w:r>
        <w:rPr>
          <w:rFonts w:ascii="Arial" w:cs="Arial" w:eastAsia="Arial" w:hAnsi="Arial"/>
          <w:sz w:val="17"/>
          <w:szCs w:val="17"/>
          <w:color w:val="auto"/>
        </w:rPr>
        <w:t xml:space="preserve">If you are concerned that the Policy has been violated, or have any questions about the Policy, you should contact the head of Compliance at </w:t>
      </w:r>
      <w:r>
        <w:rPr>
          <w:rFonts w:ascii="Arial" w:cs="Arial" w:eastAsia="Arial" w:hAnsi="Arial"/>
          <w:sz w:val="17"/>
          <w:szCs w:val="17"/>
          <w:u w:val="single" w:color="auto"/>
          <w:color w:val="0563C1"/>
        </w:rPr>
        <w:t>compliance@marketwise.com</w:t>
      </w:r>
      <w:r>
        <w:rPr>
          <w:rFonts w:ascii="Arial" w:cs="Arial" w:eastAsia="Arial" w:hAnsi="Arial"/>
          <w:sz w:val="17"/>
          <w:szCs w:val="17"/>
          <w:color w:val="000000"/>
        </w:rPr>
        <w: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5"/>
          <w:szCs w:val="25"/>
          <w:b w:val="1"/>
          <w:bCs w:val="1"/>
          <w:color w:val="auto"/>
        </w:rPr>
        <w:t>Certification of Compliance</w:t>
      </w:r>
    </w:p>
    <w:p>
      <w:pPr>
        <w:spacing w:after="0" w:line="166" w:lineRule="exact"/>
        <w:rPr>
          <w:sz w:val="20"/>
          <w:szCs w:val="20"/>
          <w:color w:val="auto"/>
        </w:rPr>
      </w:pPr>
    </w:p>
    <w:p>
      <w:pPr>
        <w:ind w:left="40" w:right="440"/>
        <w:spacing w:after="0" w:line="251" w:lineRule="auto"/>
        <w:rPr>
          <w:sz w:val="20"/>
          <w:szCs w:val="20"/>
          <w:color w:val="auto"/>
        </w:rPr>
      </w:pPr>
      <w:r>
        <w:rPr>
          <w:rFonts w:ascii="Arial" w:cs="Arial" w:eastAsia="Arial" w:hAnsi="Arial"/>
          <w:sz w:val="17"/>
          <w:szCs w:val="17"/>
          <w:color w:val="auto"/>
        </w:rPr>
        <w:t xml:space="preserve">By digitally signing the MarketWise, Inc. </w:t>
      </w:r>
      <w:r>
        <w:rPr>
          <w:rFonts w:ascii="Arial" w:cs="Arial" w:eastAsia="Arial" w:hAnsi="Arial"/>
          <w:sz w:val="17"/>
          <w:szCs w:val="17"/>
          <w:b w:val="1"/>
          <w:bCs w:val="1"/>
          <w:color w:val="auto"/>
        </w:rPr>
        <w:t>Insider Trading Policy</w:t>
      </w:r>
      <w:r>
        <w:rPr>
          <w:rFonts w:ascii="Arial" w:cs="Arial" w:eastAsia="Arial" w:hAnsi="Arial"/>
          <w:sz w:val="17"/>
          <w:szCs w:val="17"/>
          <w:color w:val="auto"/>
        </w:rPr>
        <w:t>, I acknowledge that I have received and read the Policy, and agree to comply with the terms of the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391160</wp:posOffset>
            </wp:positionV>
            <wp:extent cx="7150735"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2">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tabs>
          <w:tab w:leader="none" w:pos="10260" w:val="left"/>
        </w:tabs>
        <w:rPr>
          <w:sz w:val="20"/>
          <w:szCs w:val="20"/>
          <w:color w:val="auto"/>
        </w:rPr>
      </w:pPr>
      <w:r>
        <w:rPr>
          <w:rFonts w:ascii="Arial" w:cs="Arial" w:eastAsia="Arial" w:hAnsi="Arial"/>
          <w:sz w:val="12"/>
          <w:szCs w:val="12"/>
          <w:i w:val="1"/>
          <w:iCs w:val="1"/>
          <w:color w:val="auto"/>
        </w:rPr>
        <w:t>CONFIDENTIAL &amp; PROPRIETARY – FOR INTERNAL DISTRIBUTION ONLY</w:t>
      </w:r>
      <w:r>
        <w:rPr>
          <w:sz w:val="20"/>
          <w:szCs w:val="20"/>
          <w:color w:val="auto"/>
        </w:rPr>
        <w:tab/>
      </w:r>
      <w:r>
        <w:rPr>
          <w:rFonts w:ascii="Arial" w:cs="Arial" w:eastAsia="Arial" w:hAnsi="Arial"/>
          <w:sz w:val="12"/>
          <w:szCs w:val="12"/>
          <w:color w:val="auto"/>
        </w:rPr>
        <w:t xml:space="preserve">PAGE 12 OF </w:t>
      </w:r>
      <w:r>
        <w:rPr>
          <w:rFonts w:ascii="Arial" w:cs="Arial" w:eastAsia="Arial" w:hAnsi="Arial"/>
          <w:sz w:val="12"/>
          <w:szCs w:val="12"/>
          <w:u w:val="single" w:color="auto"/>
          <w:color w:val="auto"/>
        </w:rPr>
        <w:t>13</w:t>
      </w:r>
    </w:p>
    <w:p>
      <w:pPr>
        <w:sectPr>
          <w:pgSz w:w="11900" w:h="16838" w:orient="portrait"/>
          <w:cols w:equalWidth="0" w:num="1">
            <w:col w:w="11200"/>
          </w:cols>
          <w:pgMar w:left="340" w:top="162" w:right="359" w:bottom="1440" w:gutter="0" w:footer="0" w:header="0"/>
        </w:sectPr>
      </w:pPr>
    </w:p>
    <w:bookmarkStart w:id="138" w:name="page139"/>
    <w:bookmarkEnd w:id="138"/>
    <w:p>
      <w:pPr>
        <w:ind w:left="9406"/>
        <w:spacing w:after="0"/>
        <w:rPr>
          <w:sz w:val="20"/>
          <w:szCs w:val="20"/>
          <w:color w:val="auto"/>
        </w:rPr>
      </w:pPr>
      <w:r>
        <w:rPr>
          <w:rFonts w:ascii="Arial" w:cs="Arial" w:eastAsia="Arial" w:hAnsi="Arial"/>
          <w:sz w:val="14"/>
          <w:szCs w:val="14"/>
          <w:color w:val="auto"/>
        </w:rPr>
        <w:t>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0735"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3">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
        <w:spacing w:after="0"/>
        <w:rPr>
          <w:sz w:val="20"/>
          <w:szCs w:val="20"/>
          <w:color w:val="auto"/>
        </w:rPr>
      </w:pPr>
      <w:r>
        <w:rPr>
          <w:rFonts w:ascii="Arial" w:cs="Arial" w:eastAsia="Arial" w:hAnsi="Arial"/>
          <w:sz w:val="22"/>
          <w:szCs w:val="22"/>
          <w:b w:val="1"/>
          <w:bCs w:val="1"/>
          <w:color w:val="auto"/>
        </w:rPr>
        <w:t>Exhibit A – Preclearance Certification</w:t>
      </w:r>
    </w:p>
    <w:p>
      <w:pPr>
        <w:spacing w:after="0" w:line="179" w:lineRule="exact"/>
        <w:rPr>
          <w:sz w:val="20"/>
          <w:szCs w:val="20"/>
          <w:color w:val="auto"/>
        </w:rPr>
      </w:pPr>
    </w:p>
    <w:p>
      <w:pPr>
        <w:ind w:left="6" w:right="100"/>
        <w:spacing w:after="0" w:line="226" w:lineRule="auto"/>
        <w:rPr>
          <w:sz w:val="20"/>
          <w:szCs w:val="20"/>
          <w:color w:val="auto"/>
        </w:rPr>
      </w:pPr>
      <w:r>
        <w:rPr>
          <w:rFonts w:ascii="Arial" w:cs="Arial" w:eastAsia="Arial" w:hAnsi="Arial"/>
          <w:sz w:val="17"/>
          <w:szCs w:val="17"/>
          <w:b w:val="1"/>
          <w:bCs w:val="1"/>
          <w:color w:val="auto"/>
        </w:rPr>
        <w:t xml:space="preserve">Instructions: </w:t>
      </w:r>
      <w:r>
        <w:rPr>
          <w:rFonts w:ascii="Arial" w:cs="Arial" w:eastAsia="Arial" w:hAnsi="Arial"/>
          <w:sz w:val="17"/>
          <w:szCs w:val="17"/>
          <w:color w:val="auto"/>
        </w:rPr>
        <w:t>To request the preclearance of a trade in MarketWise, Inc. securities, complete the certification below and paste into an email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addressed to </w:t>
      </w:r>
      <w:r>
        <w:rPr>
          <w:rFonts w:ascii="Arial" w:cs="Arial" w:eastAsia="Arial" w:hAnsi="Arial"/>
          <w:sz w:val="17"/>
          <w:szCs w:val="17"/>
          <w:u w:val="single" w:color="auto"/>
          <w:color w:val="0563C1"/>
        </w:rPr>
        <w:t>preclear@marketwise.com</w:t>
      </w:r>
      <w:r>
        <w:rPr>
          <w:rFonts w:ascii="Arial" w:cs="Arial" w:eastAsia="Arial" w:hAnsi="Arial"/>
          <w:sz w:val="17"/>
          <w:szCs w:val="17"/>
          <w:color w:val="auto"/>
        </w:rPr>
        <w:t xml:space="preserve"> with subject “Preclearance Request.” </w:t>
      </w:r>
      <w:r>
        <w:rPr>
          <w:rFonts w:ascii="Arial" w:cs="Arial" w:eastAsia="Arial" w:hAnsi="Arial"/>
          <w:sz w:val="17"/>
          <w:szCs w:val="17"/>
          <w:i w:val="1"/>
          <w:iCs w:val="1"/>
          <w:color w:val="auto"/>
        </w:rPr>
        <w:t>Reminder – Preclearance requests should be submitted at least two</w:t>
      </w:r>
    </w:p>
    <w:p>
      <w:pPr>
        <w:spacing w:after="0" w:line="1" w:lineRule="exact"/>
        <w:rPr>
          <w:sz w:val="20"/>
          <w:szCs w:val="20"/>
          <w:color w:val="auto"/>
        </w:rPr>
      </w:pPr>
    </w:p>
    <w:p>
      <w:pPr>
        <w:ind w:left="6" w:right="80" w:hanging="6"/>
        <w:spacing w:after="0" w:line="228" w:lineRule="auto"/>
        <w:tabs>
          <w:tab w:leader="none" w:pos="263" w:val="left"/>
        </w:tabs>
        <w:numPr>
          <w:ilvl w:val="0"/>
          <w:numId w:val="4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business days prior to when you wish to execute the transaction to allow adequate time for review and approval. Additionally, approved transactions are to be completed within three (3) business days of receiving approval or less should a blackout period begin. </w:t>
      </w:r>
      <w:r>
        <w:rPr>
          <w:rFonts w:ascii="Arial" w:cs="Arial" w:eastAsia="Arial" w:hAnsi="Arial"/>
          <w:sz w:val="17"/>
          <w:szCs w:val="17"/>
          <w:b w:val="1"/>
          <w:bCs w:val="1"/>
          <w:i w:val="1"/>
          <w:iCs w:val="1"/>
          <w:color w:val="auto"/>
        </w:rPr>
        <w:t>Incomplete requests</w:t>
      </w:r>
      <w:r>
        <w:rPr>
          <w:rFonts w:ascii="Arial" w:cs="Arial" w:eastAsia="Arial" w:hAnsi="Arial"/>
          <w:sz w:val="17"/>
          <w:szCs w:val="17"/>
          <w:i w:val="1"/>
          <w:iCs w:val="1"/>
          <w:color w:val="auto"/>
        </w:rPr>
        <w:t xml:space="preserve"> </w:t>
      </w:r>
      <w:r>
        <w:rPr>
          <w:rFonts w:ascii="Arial" w:cs="Arial" w:eastAsia="Arial" w:hAnsi="Arial"/>
          <w:sz w:val="17"/>
          <w:szCs w:val="17"/>
          <w:b w:val="1"/>
          <w:bCs w:val="1"/>
          <w:i w:val="1"/>
          <w:iCs w:val="1"/>
          <w:color w:val="auto"/>
        </w:rPr>
        <w:t>will not be accepted or approved.</w:t>
      </w:r>
    </w:p>
    <w:p>
      <w:pPr>
        <w:spacing w:after="0" w:line="140" w:lineRule="exact"/>
        <w:rPr>
          <w:sz w:val="20"/>
          <w:szCs w:val="20"/>
          <w:color w:val="auto"/>
        </w:rPr>
      </w:pPr>
    </w:p>
    <w:p>
      <w:pPr>
        <w:jc w:val="center"/>
        <w:ind w:right="-65"/>
        <w:spacing w:after="0"/>
        <w:rPr>
          <w:sz w:val="20"/>
          <w:szCs w:val="20"/>
          <w:color w:val="auto"/>
        </w:rPr>
      </w:pPr>
      <w:r>
        <w:rPr>
          <w:rFonts w:ascii="Arial" w:cs="Arial" w:eastAsia="Arial" w:hAnsi="Arial"/>
          <w:sz w:val="17"/>
          <w:szCs w:val="17"/>
          <w:b w:val="1"/>
          <w:bCs w:val="1"/>
          <w:i w:val="1"/>
          <w:iCs w:val="1"/>
          <w:u w:val="single" w:color="auto"/>
          <w:color w:val="5B9BD5"/>
        </w:rPr>
        <w:t>Copy, Paste &amp; Complete Text below this line into email</w:t>
      </w:r>
    </w:p>
    <w:p>
      <w:pPr>
        <w:spacing w:after="0" w:line="73" w:lineRule="exact"/>
        <w:rPr>
          <w:sz w:val="20"/>
          <w:szCs w:val="20"/>
          <w:color w:val="auto"/>
        </w:rPr>
      </w:pPr>
    </w:p>
    <w:p>
      <w:pPr>
        <w:ind w:left="6"/>
        <w:spacing w:after="0"/>
        <w:rPr>
          <w:sz w:val="20"/>
          <w:szCs w:val="20"/>
          <w:color w:val="auto"/>
        </w:rPr>
      </w:pPr>
      <w:r>
        <w:rPr>
          <w:rFonts w:ascii="Arial" w:cs="Arial" w:eastAsia="Arial" w:hAnsi="Arial"/>
          <w:sz w:val="17"/>
          <w:szCs w:val="17"/>
          <w:color w:val="auto"/>
        </w:rPr>
        <w:t>Via E-mail (signature not required)</w:t>
      </w:r>
    </w:p>
    <w:p>
      <w:pPr>
        <w:spacing w:after="0" w:line="190"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 xml:space="preserve">To: </w:t>
      </w:r>
      <w:r>
        <w:rPr>
          <w:rFonts w:ascii="Arial" w:cs="Arial" w:eastAsia="Arial" w:hAnsi="Arial"/>
          <w:sz w:val="17"/>
          <w:szCs w:val="17"/>
          <w:color w:val="auto"/>
        </w:rPr>
        <w:t>Legal Department</w:t>
      </w:r>
    </w:p>
    <w:p>
      <w:pPr>
        <w:spacing w:after="0" w:line="179"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 xml:space="preserve">From: </w:t>
      </w:r>
      <w:r>
        <w:rPr>
          <w:rFonts w:ascii="Arial" w:cs="Arial" w:eastAsia="Arial" w:hAnsi="Arial"/>
          <w:sz w:val="17"/>
          <w:szCs w:val="17"/>
          <w:color w:val="auto"/>
        </w:rPr>
        <w:t>___________________________________________</w:t>
      </w:r>
    </w:p>
    <w:p>
      <w:pPr>
        <w:spacing w:after="0" w:line="190" w:lineRule="exact"/>
        <w:rPr>
          <w:sz w:val="20"/>
          <w:szCs w:val="20"/>
          <w:color w:val="auto"/>
        </w:rPr>
      </w:pPr>
    </w:p>
    <w:p>
      <w:pPr>
        <w:ind w:left="6"/>
        <w:spacing w:after="0"/>
        <w:rPr>
          <w:sz w:val="20"/>
          <w:szCs w:val="20"/>
          <w:color w:val="auto"/>
        </w:rPr>
      </w:pPr>
      <w:r>
        <w:rPr>
          <w:rFonts w:ascii="Arial" w:cs="Arial" w:eastAsia="Arial" w:hAnsi="Arial"/>
          <w:sz w:val="17"/>
          <w:szCs w:val="17"/>
          <w:b w:val="1"/>
          <w:bCs w:val="1"/>
          <w:color w:val="auto"/>
        </w:rPr>
        <w:t>Re: Request for Preclearance for transactions in MarketWise, Inc. securities.</w:t>
      </w:r>
    </w:p>
    <w:p>
      <w:pPr>
        <w:spacing w:after="0" w:line="190" w:lineRule="exact"/>
        <w:rPr>
          <w:sz w:val="20"/>
          <w:szCs w:val="20"/>
          <w:color w:val="auto"/>
        </w:rPr>
      </w:pPr>
    </w:p>
    <w:p>
      <w:pPr>
        <w:ind w:left="6"/>
        <w:spacing w:after="0"/>
        <w:rPr>
          <w:sz w:val="20"/>
          <w:szCs w:val="20"/>
          <w:color w:val="auto"/>
        </w:rPr>
      </w:pPr>
      <w:r>
        <w:rPr>
          <w:rFonts w:ascii="Arial" w:cs="Arial" w:eastAsia="Arial" w:hAnsi="Arial"/>
          <w:sz w:val="17"/>
          <w:szCs w:val="17"/>
          <w:color w:val="auto"/>
        </w:rPr>
        <w:t>I am requesting preclearance for the following trade of MarketWise, Inc. securities (choose one):</w:t>
      </w:r>
    </w:p>
    <w:p>
      <w:pPr>
        <w:spacing w:after="0" w:line="85" w:lineRule="exact"/>
        <w:rPr>
          <w:sz w:val="20"/>
          <w:szCs w:val="20"/>
          <w:color w:val="auto"/>
        </w:rPr>
      </w:pPr>
    </w:p>
    <w:p>
      <w:pPr>
        <w:ind w:left="546" w:hanging="266"/>
        <w:spacing w:after="0"/>
        <w:tabs>
          <w:tab w:leader="none" w:pos="546"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Purchase: _____________ shares of MarketWise, Inc.</w:t>
      </w:r>
    </w:p>
    <w:p>
      <w:pPr>
        <w:spacing w:after="0" w:line="28" w:lineRule="exact"/>
        <w:rPr>
          <w:rFonts w:ascii="Times New Roman" w:cs="Times New Roman" w:eastAsia="Times New Roman" w:hAnsi="Times New Roman"/>
          <w:sz w:val="17"/>
          <w:szCs w:val="17"/>
          <w:color w:val="auto"/>
        </w:rPr>
      </w:pPr>
    </w:p>
    <w:p>
      <w:pPr>
        <w:ind w:left="546" w:hanging="266"/>
        <w:spacing w:after="0"/>
        <w:tabs>
          <w:tab w:leader="none" w:pos="546"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Sell: ____________ shares of MarketWise, Inc.</w:t>
      </w:r>
    </w:p>
    <w:p>
      <w:pPr>
        <w:spacing w:after="0" w:line="25" w:lineRule="exact"/>
        <w:rPr>
          <w:rFonts w:ascii="Times New Roman" w:cs="Times New Roman" w:eastAsia="Times New Roman" w:hAnsi="Times New Roman"/>
          <w:sz w:val="17"/>
          <w:szCs w:val="17"/>
          <w:color w:val="auto"/>
        </w:rPr>
      </w:pPr>
    </w:p>
    <w:p>
      <w:pPr>
        <w:ind w:left="846" w:right="320" w:hanging="281"/>
        <w:spacing w:after="0" w:line="246" w:lineRule="auto"/>
        <w:rPr>
          <w:rFonts w:ascii="Times New Roman" w:cs="Times New Roman" w:eastAsia="Times New Roman" w:hAnsi="Times New Roman"/>
          <w:sz w:val="17"/>
          <w:szCs w:val="17"/>
          <w:color w:val="auto"/>
        </w:rPr>
      </w:pPr>
      <w:r>
        <w:rPr>
          <w:rFonts w:ascii="Courier New" w:cs="Courier New" w:eastAsia="Courier New" w:hAnsi="Courier New"/>
          <w:sz w:val="17"/>
          <w:szCs w:val="17"/>
          <w:color w:val="auto"/>
        </w:rPr>
        <w:t xml:space="preserve">o </w:t>
      </w:r>
      <w:r>
        <w:rPr>
          <w:rFonts w:ascii="Arial" w:cs="Arial" w:eastAsia="Arial" w:hAnsi="Arial"/>
          <w:sz w:val="17"/>
          <w:szCs w:val="17"/>
          <w:color w:val="auto"/>
        </w:rPr>
        <w:t>________ of these shares will be sold through broker-assisted cashless (option) exercises occurring in connection with the proposed</w:t>
      </w:r>
      <w:r>
        <w:rPr>
          <w:rFonts w:ascii="Courier New" w:cs="Courier New" w:eastAsia="Courier New" w:hAnsi="Courier New"/>
          <w:sz w:val="17"/>
          <w:szCs w:val="17"/>
          <w:color w:val="auto"/>
        </w:rPr>
        <w:t xml:space="preserve"> </w:t>
      </w:r>
      <w:r>
        <w:rPr>
          <w:rFonts w:ascii="Arial" w:cs="Arial" w:eastAsia="Arial" w:hAnsi="Arial"/>
          <w:sz w:val="17"/>
          <w:szCs w:val="17"/>
          <w:color w:val="auto"/>
        </w:rPr>
        <w:t>sale.</w:t>
      </w:r>
    </w:p>
    <w:p>
      <w:pPr>
        <w:spacing w:after="0" w:line="1" w:lineRule="exact"/>
        <w:rPr>
          <w:rFonts w:ascii="Times New Roman" w:cs="Times New Roman" w:eastAsia="Times New Roman" w:hAnsi="Times New Roman"/>
          <w:sz w:val="17"/>
          <w:szCs w:val="17"/>
          <w:color w:val="auto"/>
        </w:rPr>
      </w:pPr>
    </w:p>
    <w:p>
      <w:pPr>
        <w:ind w:left="846" w:right="100" w:hanging="281"/>
        <w:spacing w:after="0" w:line="253" w:lineRule="auto"/>
        <w:rPr>
          <w:rFonts w:ascii="Times New Roman" w:cs="Times New Roman" w:eastAsia="Times New Roman" w:hAnsi="Times New Roman"/>
          <w:sz w:val="17"/>
          <w:szCs w:val="17"/>
          <w:color w:val="auto"/>
        </w:rPr>
      </w:pPr>
      <w:r>
        <w:rPr>
          <w:rFonts w:ascii="Courier New" w:cs="Courier New" w:eastAsia="Courier New" w:hAnsi="Courier New"/>
          <w:sz w:val="17"/>
          <w:szCs w:val="17"/>
          <w:color w:val="auto"/>
        </w:rPr>
        <w:t xml:space="preserve">o </w:t>
      </w:r>
      <w:r>
        <w:rPr>
          <w:rFonts w:ascii="Arial" w:cs="Arial" w:eastAsia="Arial" w:hAnsi="Arial"/>
          <w:sz w:val="17"/>
          <w:szCs w:val="17"/>
          <w:color w:val="auto"/>
        </w:rPr>
        <w:t>________ of these shares are already owned by me (i) from prior purchases, (ii) the vesting of restricted stock (either at the time of sale</w:t>
      </w:r>
      <w:r>
        <w:rPr>
          <w:rFonts w:ascii="Courier New" w:cs="Courier New" w:eastAsia="Courier New" w:hAnsi="Courier New"/>
          <w:sz w:val="17"/>
          <w:szCs w:val="17"/>
          <w:color w:val="auto"/>
        </w:rPr>
        <w:t xml:space="preserve"> </w:t>
      </w:r>
      <w:r>
        <w:rPr>
          <w:rFonts w:ascii="Arial" w:cs="Arial" w:eastAsia="Arial" w:hAnsi="Arial"/>
          <w:sz w:val="17"/>
          <w:szCs w:val="17"/>
          <w:color w:val="auto"/>
        </w:rPr>
        <w:t>or previously) or (iii) prior option exercises where shares were acquired.</w:t>
      </w:r>
    </w:p>
    <w:p>
      <w:pPr>
        <w:ind w:left="546" w:hanging="266"/>
        <w:spacing w:after="0"/>
        <w:tabs>
          <w:tab w:leader="none" w:pos="546" w:val="left"/>
        </w:tabs>
        <w:numPr>
          <w:ilvl w:val="0"/>
          <w:numId w:val="50"/>
        </w:numPr>
        <w:rPr>
          <w:rFonts w:ascii="Times New Roman" w:cs="Times New Roman" w:eastAsia="Times New Roman" w:hAnsi="Times New Roman"/>
          <w:sz w:val="17"/>
          <w:szCs w:val="17"/>
          <w:color w:val="auto"/>
        </w:rPr>
      </w:pPr>
      <w:r>
        <w:rPr>
          <w:rFonts w:ascii="Arial" w:cs="Arial" w:eastAsia="Arial" w:hAnsi="Arial"/>
          <w:sz w:val="17"/>
          <w:szCs w:val="17"/>
          <w:color w:val="auto"/>
        </w:rPr>
        <w:t>Other: _______________ shares of MarketWise, Inc. are a:</w:t>
      </w:r>
    </w:p>
    <w:p>
      <w:pPr>
        <w:spacing w:after="0" w:line="14" w:lineRule="exact"/>
        <w:rPr>
          <w:rFonts w:ascii="Times New Roman" w:cs="Times New Roman" w:eastAsia="Times New Roman" w:hAnsi="Times New Roman"/>
          <w:sz w:val="17"/>
          <w:szCs w:val="17"/>
          <w:color w:val="auto"/>
        </w:rPr>
      </w:pPr>
    </w:p>
    <w:p>
      <w:pPr>
        <w:ind w:left="566"/>
        <w:spacing w:after="0"/>
        <w:rPr>
          <w:rFonts w:ascii="Times New Roman" w:cs="Times New Roman" w:eastAsia="Times New Roman" w:hAnsi="Times New Roman"/>
          <w:sz w:val="17"/>
          <w:szCs w:val="17"/>
          <w:color w:val="auto"/>
        </w:rPr>
      </w:pPr>
      <w:r>
        <w:rPr>
          <w:rFonts w:ascii="Courier New" w:cs="Courier New" w:eastAsia="Courier New" w:hAnsi="Courier New"/>
          <w:sz w:val="17"/>
          <w:szCs w:val="17"/>
          <w:color w:val="auto"/>
        </w:rPr>
        <w:t xml:space="preserve">o  </w:t>
      </w:r>
      <w:r>
        <w:rPr>
          <w:rFonts w:ascii="Arial" w:cs="Arial" w:eastAsia="Arial" w:hAnsi="Arial"/>
          <w:sz w:val="17"/>
          <w:szCs w:val="17"/>
          <w:color w:val="auto"/>
        </w:rPr>
        <w:t>Gift (please explain):__________________________________________________.</w:t>
      </w:r>
    </w:p>
    <w:p>
      <w:pPr>
        <w:spacing w:after="0" w:line="24" w:lineRule="exact"/>
        <w:rPr>
          <w:rFonts w:ascii="Times New Roman" w:cs="Times New Roman" w:eastAsia="Times New Roman" w:hAnsi="Times New Roman"/>
          <w:sz w:val="17"/>
          <w:szCs w:val="17"/>
          <w:color w:val="auto"/>
        </w:rPr>
      </w:pPr>
    </w:p>
    <w:p>
      <w:pPr>
        <w:ind w:left="566"/>
        <w:spacing w:after="0" w:line="226" w:lineRule="auto"/>
        <w:rPr>
          <w:rFonts w:ascii="Times New Roman" w:cs="Times New Roman" w:eastAsia="Times New Roman" w:hAnsi="Times New Roman"/>
          <w:sz w:val="17"/>
          <w:szCs w:val="17"/>
          <w:color w:val="auto"/>
        </w:rPr>
      </w:pPr>
      <w:r>
        <w:rPr>
          <w:rFonts w:ascii="Courier New" w:cs="Courier New" w:eastAsia="Courier New" w:hAnsi="Courier New"/>
          <w:sz w:val="17"/>
          <w:szCs w:val="17"/>
          <w:color w:val="auto"/>
        </w:rPr>
        <w:t xml:space="preserve">o  </w:t>
      </w:r>
      <w:r>
        <w:rPr>
          <w:rFonts w:ascii="Arial" w:cs="Arial" w:eastAsia="Arial" w:hAnsi="Arial"/>
          <w:sz w:val="17"/>
          <w:szCs w:val="17"/>
          <w:color w:val="auto"/>
        </w:rPr>
        <w:t>Transfer for estate planning/divorce/bequest (please explain):__________________</w:t>
      </w:r>
    </w:p>
    <w:p>
      <w:pPr>
        <w:jc w:val="both"/>
        <w:ind w:left="566" w:right="3940" w:firstLine="281"/>
        <w:spacing w:after="0" w:line="294" w:lineRule="auto"/>
        <w:rPr>
          <w:rFonts w:ascii="Times New Roman" w:cs="Times New Roman" w:eastAsia="Times New Roman" w:hAnsi="Times New Roman"/>
          <w:sz w:val="17"/>
          <w:szCs w:val="17"/>
          <w:color w:val="auto"/>
        </w:rPr>
      </w:pPr>
      <w:r>
        <w:rPr>
          <w:rFonts w:ascii="Arial" w:cs="Arial" w:eastAsia="Arial" w:hAnsi="Arial"/>
          <w:sz w:val="17"/>
          <w:szCs w:val="17"/>
          <w:color w:val="auto"/>
        </w:rPr>
        <w:t xml:space="preserve">___________________________________________________________________. </w:t>
      </w:r>
      <w:r>
        <w:rPr>
          <w:rFonts w:ascii="Courier New" w:cs="Courier New" w:eastAsia="Courier New" w:hAnsi="Courier New"/>
          <w:sz w:val="17"/>
          <w:szCs w:val="17"/>
          <w:color w:val="auto"/>
        </w:rPr>
        <w:t xml:space="preserve">o </w:t>
      </w:r>
      <w:r>
        <w:rPr>
          <w:rFonts w:ascii="Arial" w:cs="Arial" w:eastAsia="Arial" w:hAnsi="Arial"/>
          <w:sz w:val="17"/>
          <w:szCs w:val="17"/>
          <w:color w:val="auto"/>
        </w:rPr>
        <w:t>Other (please explain): ________________________________________________.</w:t>
      </w:r>
    </w:p>
    <w:p>
      <w:pPr>
        <w:spacing w:after="0" w:line="1" w:lineRule="exact"/>
        <w:rPr>
          <w:sz w:val="20"/>
          <w:szCs w:val="20"/>
          <w:color w:val="auto"/>
        </w:rPr>
      </w:pPr>
    </w:p>
    <w:p>
      <w:pPr>
        <w:ind w:left="6"/>
        <w:spacing w:after="0"/>
        <w:rPr>
          <w:sz w:val="20"/>
          <w:szCs w:val="20"/>
          <w:color w:val="auto"/>
        </w:rPr>
      </w:pPr>
      <w:r>
        <w:rPr>
          <w:rFonts w:ascii="Arial" w:cs="Arial" w:eastAsia="Arial" w:hAnsi="Arial"/>
          <w:sz w:val="17"/>
          <w:szCs w:val="17"/>
          <w:color w:val="auto"/>
        </w:rPr>
        <w:t>By completing this form and submitting it to the MarketWise Legal Department, I hereby represent all of the following:</w:t>
      </w:r>
    </w:p>
    <w:p>
      <w:pPr>
        <w:spacing w:after="0" w:line="30" w:lineRule="exact"/>
        <w:rPr>
          <w:sz w:val="20"/>
          <w:szCs w:val="20"/>
          <w:color w:val="auto"/>
        </w:rPr>
      </w:pPr>
    </w:p>
    <w:p>
      <w:pPr>
        <w:ind w:left="566" w:right="60" w:hanging="286"/>
        <w:spacing w:after="0" w:line="265" w:lineRule="auto"/>
        <w:tabs>
          <w:tab w:leader="none" w:pos="557" w:val="left"/>
        </w:tabs>
        <w:numPr>
          <w:ilvl w:val="0"/>
          <w:numId w:val="51"/>
        </w:numPr>
        <w:rPr>
          <w:rFonts w:ascii="Arial" w:cs="Arial" w:eastAsia="Arial" w:hAnsi="Arial"/>
          <w:sz w:val="17"/>
          <w:szCs w:val="17"/>
          <w:color w:val="auto"/>
        </w:rPr>
      </w:pPr>
      <w:r>
        <w:rPr>
          <w:rFonts w:ascii="Arial" w:cs="Arial" w:eastAsia="Arial" w:hAnsi="Arial"/>
          <w:sz w:val="17"/>
          <w:szCs w:val="17"/>
          <w:color w:val="auto"/>
        </w:rPr>
        <w:t>I have read and am in compliance with the MarketWise, Inc. Insider Trading Policy, including the Preclearance and Blackout requirements of the Insider Trading Policy.</w:t>
      </w:r>
    </w:p>
    <w:p>
      <w:pPr>
        <w:ind w:left="566" w:right="320" w:hanging="286"/>
        <w:spacing w:after="0" w:line="265" w:lineRule="auto"/>
        <w:tabs>
          <w:tab w:leader="none" w:pos="557" w:val="left"/>
        </w:tabs>
        <w:numPr>
          <w:ilvl w:val="0"/>
          <w:numId w:val="51"/>
        </w:numPr>
        <w:rPr>
          <w:rFonts w:ascii="Arial" w:cs="Arial" w:eastAsia="Arial" w:hAnsi="Arial"/>
          <w:sz w:val="17"/>
          <w:szCs w:val="17"/>
          <w:color w:val="auto"/>
        </w:rPr>
      </w:pPr>
      <w:r>
        <w:rPr>
          <w:rFonts w:ascii="Arial" w:cs="Arial" w:eastAsia="Arial" w:hAnsi="Arial"/>
          <w:sz w:val="17"/>
          <w:szCs w:val="17"/>
          <w:color w:val="auto"/>
        </w:rPr>
        <w:t>I am not currently in possession of material non-public information regarding MarketWise, Inc., and at the time I complete the transaction noted above, I will not be in possession of material non-public information regarding MarketWise, Inc.</w:t>
      </w:r>
    </w:p>
    <w:p>
      <w:pPr>
        <w:ind w:left="566" w:right="120" w:hanging="286"/>
        <w:spacing w:after="0" w:line="276" w:lineRule="auto"/>
        <w:tabs>
          <w:tab w:leader="none" w:pos="557" w:val="left"/>
        </w:tabs>
        <w:numPr>
          <w:ilvl w:val="0"/>
          <w:numId w:val="51"/>
        </w:numPr>
        <w:rPr>
          <w:rFonts w:ascii="Arial" w:cs="Arial" w:eastAsia="Arial" w:hAnsi="Arial"/>
          <w:sz w:val="17"/>
          <w:szCs w:val="17"/>
          <w:color w:val="auto"/>
        </w:rPr>
      </w:pPr>
      <w:r>
        <w:rPr>
          <w:rFonts w:ascii="Arial" w:cs="Arial" w:eastAsia="Arial" w:hAnsi="Arial"/>
          <w:sz w:val="17"/>
          <w:szCs w:val="17"/>
          <w:color w:val="auto"/>
        </w:rPr>
        <w:t>I understand that preclearance is good for three (3) business days (or less if the normal quarterly Blackout Period starts or a special trading blackout is declared).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407670</wp:posOffset>
            </wp:positionV>
            <wp:extent cx="7150735"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4">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
        <w:spacing w:after="0"/>
        <w:tabs>
          <w:tab w:leader="none" w:pos="10286" w:val="left"/>
        </w:tabs>
        <w:rPr>
          <w:sz w:val="20"/>
          <w:szCs w:val="20"/>
          <w:color w:val="auto"/>
        </w:rPr>
      </w:pPr>
      <w:r>
        <w:rPr>
          <w:rFonts w:ascii="Arial" w:cs="Arial" w:eastAsia="Arial" w:hAnsi="Arial"/>
          <w:sz w:val="12"/>
          <w:szCs w:val="12"/>
          <w:i w:val="1"/>
          <w:iCs w:val="1"/>
          <w:color w:val="auto"/>
        </w:rPr>
        <w:t>CONFIDENTIAL &amp; PROPRIETARY – FOR INTERNAL DISTRIBUTION ONLY</w:t>
      </w:r>
      <w:r>
        <w:rPr>
          <w:sz w:val="20"/>
          <w:szCs w:val="20"/>
          <w:color w:val="auto"/>
        </w:rPr>
        <w:tab/>
      </w:r>
      <w:r>
        <w:rPr>
          <w:rFonts w:ascii="Arial" w:cs="Arial" w:eastAsia="Arial" w:hAnsi="Arial"/>
          <w:sz w:val="12"/>
          <w:szCs w:val="12"/>
          <w:color w:val="auto"/>
        </w:rPr>
        <w:t xml:space="preserve">PAGE 13 OF </w:t>
      </w:r>
      <w:r>
        <w:rPr>
          <w:rFonts w:ascii="Arial" w:cs="Arial" w:eastAsia="Arial" w:hAnsi="Arial"/>
          <w:sz w:val="12"/>
          <w:szCs w:val="12"/>
          <w:u w:val="single" w:color="auto"/>
          <w:color w:val="auto"/>
        </w:rPr>
        <w:t>13</w:t>
      </w:r>
    </w:p>
    <w:p>
      <w:pPr>
        <w:sectPr>
          <w:pgSz w:w="11900" w:h="16838" w:orient="portrait"/>
          <w:cols w:equalWidth="0" w:num="1">
            <w:col w:w="11206"/>
          </w:cols>
          <w:pgMar w:left="314" w:top="162" w:right="37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960" w:type="dxa"/>
            <w:vAlign w:val="bottom"/>
          </w:tcPr>
          <w:p>
            <w:pPr>
              <w:spacing w:after="0"/>
              <w:rPr>
                <w:sz w:val="18"/>
                <w:szCs w:val="18"/>
                <w:color w:val="auto"/>
              </w:rPr>
            </w:pPr>
          </w:p>
        </w:tc>
        <w:tc>
          <w:tcPr>
            <w:tcW w:w="7300" w:type="dxa"/>
            <w:vAlign w:val="bottom"/>
            <w:gridSpan w:val="5"/>
          </w:tcPr>
          <w:p>
            <w:pPr>
              <w:ind w:left="360"/>
              <w:spacing w:after="0"/>
              <w:rPr>
                <w:sz w:val="20"/>
                <w:szCs w:val="20"/>
                <w:color w:val="auto"/>
              </w:rPr>
            </w:pPr>
            <w:r>
              <w:rPr>
                <w:rFonts w:ascii="Times New Roman" w:cs="Times New Roman" w:eastAsia="Times New Roman" w:hAnsi="Times New Roman"/>
                <w:sz w:val="19"/>
                <w:szCs w:val="19"/>
                <w:b w:val="1"/>
                <w:bCs w:val="1"/>
                <w:color w:val="auto"/>
              </w:rPr>
              <w:t>Subsidiaries of MarketWise, Inc.</w:t>
            </w:r>
          </w:p>
        </w:tc>
      </w:tr>
      <w:tr>
        <w:trPr>
          <w:trHeight w:val="732"/>
        </w:trPr>
        <w:tc>
          <w:tcPr>
            <w:tcW w:w="3960" w:type="dxa"/>
            <w:vAlign w:val="bottom"/>
            <w:tcBorders>
              <w:bottom w:val="single" w:sz="8" w:color="auto"/>
            </w:tcBorders>
          </w:tcPr>
          <w:p>
            <w:pPr>
              <w:ind w:left="2680"/>
              <w:spacing w:after="0"/>
              <w:rPr>
                <w:sz w:val="20"/>
                <w:szCs w:val="20"/>
                <w:color w:val="auto"/>
              </w:rPr>
            </w:pPr>
            <w:r>
              <w:rPr>
                <w:rFonts w:ascii="Times New Roman" w:cs="Times New Roman" w:eastAsia="Times New Roman" w:hAnsi="Times New Roman"/>
                <w:sz w:val="17"/>
                <w:szCs w:val="17"/>
                <w:b w:val="1"/>
                <w:bCs w:val="1"/>
                <w:color w:val="auto"/>
              </w:rPr>
              <w:t>Entity Name</w:t>
            </w:r>
          </w:p>
        </w:tc>
        <w:tc>
          <w:tcPr>
            <w:tcW w:w="360" w:type="dxa"/>
            <w:vAlign w:val="bottom"/>
            <w:tcBorders>
              <w:bottom w:val="single" w:sz="8" w:color="auto"/>
            </w:tcBorders>
          </w:tcPr>
          <w:p>
            <w:pPr>
              <w:spacing w:after="0"/>
              <w:rPr>
                <w:sz w:val="24"/>
                <w:szCs w:val="24"/>
                <w:color w:val="auto"/>
              </w:rPr>
            </w:pPr>
          </w:p>
        </w:tc>
        <w:tc>
          <w:tcPr>
            <w:tcW w:w="198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Jurisdiction of Formation</w:t>
            </w:r>
          </w:p>
        </w:tc>
      </w:tr>
      <w:tr>
        <w:trPr>
          <w:trHeight w:val="239"/>
        </w:trPr>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MarketWise, LLC</w:t>
            </w:r>
          </w:p>
        </w:tc>
        <w:tc>
          <w:tcPr>
            <w:tcW w:w="3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r>
      <w:tr>
        <w:trPr>
          <w:trHeight w:val="257"/>
        </w:trPr>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Alta Finance Group, LLC</w:t>
            </w:r>
          </w:p>
        </w:tc>
        <w:tc>
          <w:tcPr>
            <w:tcW w:w="3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r>
      <w:tr>
        <w:trPr>
          <w:trHeight w:val="257"/>
        </w:trPr>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MarketWise Solutions, LLC</w:t>
            </w:r>
          </w:p>
        </w:tc>
        <w:tc>
          <w:tcPr>
            <w:tcW w:w="3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Maryland</w:t>
            </w:r>
          </w:p>
        </w:tc>
      </w:tr>
      <w:tr>
        <w:trPr>
          <w:trHeight w:val="257"/>
        </w:trPr>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Bonner &amp; Partners, LLC</w:t>
            </w:r>
          </w:p>
        </w:tc>
        <w:tc>
          <w:tcPr>
            <w:tcW w:w="3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Maryland</w:t>
            </w:r>
          </w:p>
        </w:tc>
      </w:tr>
      <w:tr>
        <w:trPr>
          <w:trHeight w:val="257"/>
        </w:trPr>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Casey Research, LLC</w:t>
            </w:r>
          </w:p>
        </w:tc>
        <w:tc>
          <w:tcPr>
            <w:tcW w:w="3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r>
      <w:tr>
        <w:trPr>
          <w:trHeight w:val="257"/>
        </w:trPr>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Chaikin Resources, LLC</w:t>
            </w:r>
          </w:p>
        </w:tc>
        <w:tc>
          <w:tcPr>
            <w:tcW w:w="3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r>
      <w:tr>
        <w:trPr>
          <w:trHeight w:val="257"/>
        </w:trPr>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Chaikin Analytics, LLC</w:t>
            </w:r>
          </w:p>
        </w:tc>
        <w:tc>
          <w:tcPr>
            <w:tcW w:w="3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r>
      <w:tr>
        <w:trPr>
          <w:trHeight w:val="257"/>
        </w:trPr>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Chaikin Investments, LLC</w:t>
            </w:r>
          </w:p>
        </w:tc>
        <w:tc>
          <w:tcPr>
            <w:tcW w:w="3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r>
      <w:tr>
        <w:trPr>
          <w:trHeight w:val="257"/>
        </w:trPr>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Common Sense Publishing, LLC</w:t>
            </w:r>
          </w:p>
        </w:tc>
        <w:tc>
          <w:tcPr>
            <w:tcW w:w="3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r>
      <w:tr>
        <w:trPr>
          <w:trHeight w:val="257"/>
        </w:trPr>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Empire Financial Research, LLC</w:t>
            </w:r>
          </w:p>
        </w:tc>
        <w:tc>
          <w:tcPr>
            <w:tcW w:w="3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r>
      <w:tr>
        <w:trPr>
          <w:trHeight w:val="257"/>
        </w:trPr>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1729 Research, LLC</w:t>
            </w:r>
          </w:p>
        </w:tc>
        <w:tc>
          <w:tcPr>
            <w:tcW w:w="3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Maryland</w:t>
            </w:r>
          </w:p>
        </w:tc>
      </w:tr>
      <w:tr>
        <w:trPr>
          <w:trHeight w:val="257"/>
        </w:trPr>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InvestorPlace Media, LLC</w:t>
            </w:r>
          </w:p>
        </w:tc>
        <w:tc>
          <w:tcPr>
            <w:tcW w:w="3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r>
      <w:tr>
        <w:trPr>
          <w:trHeight w:val="257"/>
        </w:trPr>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KOC Publishing, LLC</w:t>
            </w:r>
          </w:p>
        </w:tc>
        <w:tc>
          <w:tcPr>
            <w:tcW w:w="3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r>
      <w:tr>
        <w:trPr>
          <w:trHeight w:val="257"/>
        </w:trPr>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Legacy Research Group, LLC</w:t>
            </w:r>
          </w:p>
        </w:tc>
        <w:tc>
          <w:tcPr>
            <w:tcW w:w="3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r>
      <w:tr>
        <w:trPr>
          <w:trHeight w:val="257"/>
        </w:trPr>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Moat Research, LLC</w:t>
            </w:r>
          </w:p>
        </w:tc>
        <w:tc>
          <w:tcPr>
            <w:tcW w:w="3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r>
      <w:tr>
        <w:trPr>
          <w:trHeight w:val="257"/>
        </w:trPr>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Omnia Research, LLC</w:t>
            </w:r>
          </w:p>
        </w:tc>
        <w:tc>
          <w:tcPr>
            <w:tcW w:w="3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r>
      <w:tr>
        <w:trPr>
          <w:trHeight w:val="257"/>
        </w:trPr>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Roundtable Research, LLC</w:t>
            </w:r>
          </w:p>
        </w:tc>
        <w:tc>
          <w:tcPr>
            <w:tcW w:w="3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r>
      <w:tr>
        <w:trPr>
          <w:trHeight w:val="257"/>
        </w:trPr>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Signal to Noise, LLC</w:t>
            </w:r>
          </w:p>
        </w:tc>
        <w:tc>
          <w:tcPr>
            <w:tcW w:w="3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r>
      <w:tr>
        <w:trPr>
          <w:trHeight w:val="257"/>
        </w:trPr>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Stansberry &amp; Associates Investment Research, LLC</w:t>
            </w:r>
          </w:p>
        </w:tc>
        <w:tc>
          <w:tcPr>
            <w:tcW w:w="3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Maryland</w:t>
            </w:r>
          </w:p>
        </w:tc>
      </w:tr>
      <w:tr>
        <w:trPr>
          <w:trHeight w:val="257"/>
        </w:trPr>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Stansberry China, LLC</w:t>
            </w:r>
          </w:p>
        </w:tc>
        <w:tc>
          <w:tcPr>
            <w:tcW w:w="3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r>
      <w:tr>
        <w:trPr>
          <w:trHeight w:val="257"/>
        </w:trPr>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Tradesmith, LLC</w:t>
            </w:r>
          </w:p>
        </w:tc>
        <w:tc>
          <w:tcPr>
            <w:tcW w:w="3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Florida</w:t>
            </w:r>
          </w:p>
        </w:tc>
      </w:tr>
      <w:tr>
        <w:trPr>
          <w:trHeight w:val="257"/>
        </w:trPr>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VRSH, LLC d/b/a Altimetry</w:t>
            </w:r>
          </w:p>
        </w:tc>
        <w:tc>
          <w:tcPr>
            <w:tcW w:w="3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r>
      <w:tr>
        <w:trPr>
          <w:trHeight w:val="257"/>
        </w:trPr>
        <w:tc>
          <w:tcPr>
            <w:tcW w:w="3960" w:type="dxa"/>
            <w:vAlign w:val="bottom"/>
          </w:tcPr>
          <w:p>
            <w:pPr>
              <w:spacing w:after="0"/>
              <w:rPr>
                <w:sz w:val="20"/>
                <w:szCs w:val="20"/>
                <w:color w:val="auto"/>
              </w:rPr>
            </w:pPr>
            <w:r>
              <w:rPr>
                <w:rFonts w:ascii="Times New Roman" w:cs="Times New Roman" w:eastAsia="Times New Roman" w:hAnsi="Times New Roman"/>
                <w:sz w:val="17"/>
                <w:szCs w:val="17"/>
                <w:color w:val="auto"/>
              </w:rPr>
              <w:t>Winans Media Group, LLC</w:t>
            </w:r>
          </w:p>
        </w:tc>
        <w:tc>
          <w:tcPr>
            <w:tcW w:w="36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Maryland</w:t>
            </w:r>
          </w:p>
        </w:tc>
      </w:tr>
    </w:tbl>
    <w:p>
      <w:pPr>
        <w:sectPr>
          <w:pgSz w:w="11900" w:h="16838" w:orient="portrait"/>
          <w:cols w:equalWidth="0" w:num="1">
            <w:col w:w="11260"/>
          </w:cols>
          <w:pgMar w:left="320" w:top="128" w:right="319" w:bottom="1440" w:gutter="0" w:footer="0" w:header="0"/>
        </w:sectPr>
      </w:pPr>
    </w:p>
    <w:bookmarkStart w:id="140" w:name="page141"/>
    <w:bookmarkEnd w:id="140"/>
    <w:p>
      <w:pPr>
        <w:spacing w:after="0" w:line="79" w:lineRule="exact"/>
        <w:rPr>
          <w:sz w:val="20"/>
          <w:szCs w:val="20"/>
          <w:color w:val="auto"/>
        </w:rPr>
      </w:pPr>
    </w:p>
    <w:p>
      <w:pPr>
        <w:spacing w:after="0"/>
        <w:rPr>
          <w:sz w:val="20"/>
          <w:szCs w:val="20"/>
          <w:color w:val="auto"/>
        </w:rPr>
      </w:pPr>
      <w:r>
        <w:rPr>
          <w:rFonts w:ascii="Verdana" w:cs="Verdana" w:eastAsia="Verdana" w:hAnsi="Verdana"/>
          <w:sz w:val="19"/>
          <w:szCs w:val="19"/>
          <w:b w:val="1"/>
          <w:bCs w:val="1"/>
          <w:color w:val="auto"/>
        </w:rPr>
        <w:t>CONSENT OF INDEPENDENT REGISTERED PUBLIC ACCOUNTING FIRM</w:t>
      </w:r>
    </w:p>
    <w:p>
      <w:pPr>
        <w:spacing w:after="0" w:line="366" w:lineRule="exact"/>
        <w:rPr>
          <w:sz w:val="20"/>
          <w:szCs w:val="20"/>
          <w:color w:val="auto"/>
        </w:rPr>
      </w:pPr>
    </w:p>
    <w:p>
      <w:pPr>
        <w:spacing w:after="0" w:line="239" w:lineRule="auto"/>
        <w:rPr>
          <w:sz w:val="20"/>
          <w:szCs w:val="20"/>
          <w:color w:val="auto"/>
        </w:rPr>
      </w:pPr>
      <w:r>
        <w:rPr>
          <w:rFonts w:ascii="Verdana" w:cs="Verdana" w:eastAsia="Verdana" w:hAnsi="Verdana"/>
          <w:sz w:val="13"/>
          <w:szCs w:val="13"/>
          <w:color w:val="auto"/>
        </w:rPr>
        <w:t>We consent to the incorporation by reference in Registration Statement No. 333-258734 on Form S-3 and Registration Statement No. 333-259822 on Form S-8 of our report dated March 7, 2024, relating to the financial statements of MarketWise, Inc. appearing in this Annual Report on Form 10-K for the year ended</w:t>
      </w:r>
    </w:p>
    <w:p>
      <w:pPr>
        <w:spacing w:after="0" w:line="1" w:lineRule="exact"/>
        <w:rPr>
          <w:sz w:val="20"/>
          <w:szCs w:val="20"/>
          <w:color w:val="auto"/>
        </w:rPr>
      </w:pPr>
    </w:p>
    <w:p>
      <w:pPr>
        <w:spacing w:after="0"/>
        <w:rPr>
          <w:sz w:val="20"/>
          <w:szCs w:val="20"/>
          <w:color w:val="auto"/>
        </w:rPr>
      </w:pPr>
      <w:r>
        <w:rPr>
          <w:rFonts w:ascii="Verdana" w:cs="Verdana" w:eastAsia="Verdana" w:hAnsi="Verdana"/>
          <w:sz w:val="14"/>
          <w:szCs w:val="14"/>
          <w:color w:val="auto"/>
        </w:rPr>
        <w:t>December 31, 2023.</w:t>
      </w:r>
    </w:p>
    <w:p>
      <w:pPr>
        <w:spacing w:after="0" w:line="391" w:lineRule="exact"/>
        <w:rPr>
          <w:sz w:val="20"/>
          <w:szCs w:val="20"/>
          <w:color w:val="auto"/>
        </w:rPr>
      </w:pPr>
    </w:p>
    <w:p>
      <w:pPr>
        <w:spacing w:after="0"/>
        <w:rPr>
          <w:sz w:val="20"/>
          <w:szCs w:val="20"/>
          <w:color w:val="auto"/>
        </w:rPr>
      </w:pPr>
      <w:r>
        <w:rPr>
          <w:rFonts w:ascii="Verdana" w:cs="Verdana" w:eastAsia="Verdana" w:hAnsi="Verdana"/>
          <w:sz w:val="14"/>
          <w:szCs w:val="14"/>
          <w:color w:val="auto"/>
        </w:rPr>
        <w:t>/s/ Deloitte &amp; Touche LLP</w:t>
      </w:r>
    </w:p>
    <w:p>
      <w:pPr>
        <w:spacing w:after="0" w:line="181" w:lineRule="exact"/>
        <w:rPr>
          <w:sz w:val="20"/>
          <w:szCs w:val="20"/>
          <w:color w:val="auto"/>
        </w:rPr>
      </w:pPr>
    </w:p>
    <w:p>
      <w:pPr>
        <w:spacing w:after="0"/>
        <w:rPr>
          <w:sz w:val="20"/>
          <w:szCs w:val="20"/>
          <w:color w:val="auto"/>
        </w:rPr>
      </w:pPr>
      <w:r>
        <w:rPr>
          <w:rFonts w:ascii="Verdana" w:cs="Verdana" w:eastAsia="Verdana" w:hAnsi="Verdana"/>
          <w:sz w:val="14"/>
          <w:szCs w:val="14"/>
          <w:color w:val="auto"/>
        </w:rPr>
        <w:t>Baltimore, MD</w:t>
      </w:r>
    </w:p>
    <w:p>
      <w:pPr>
        <w:spacing w:after="0" w:line="181" w:lineRule="exact"/>
        <w:rPr>
          <w:sz w:val="20"/>
          <w:szCs w:val="20"/>
          <w:color w:val="auto"/>
        </w:rPr>
      </w:pPr>
    </w:p>
    <w:p>
      <w:pPr>
        <w:spacing w:after="0"/>
        <w:rPr>
          <w:sz w:val="20"/>
          <w:szCs w:val="20"/>
          <w:color w:val="auto"/>
        </w:rPr>
      </w:pPr>
      <w:r>
        <w:rPr>
          <w:rFonts w:ascii="Verdana" w:cs="Verdana" w:eastAsia="Verdana" w:hAnsi="Verdana"/>
          <w:sz w:val="14"/>
          <w:szCs w:val="14"/>
          <w:color w:val="auto"/>
        </w:rPr>
        <w:t>March 7, 2024</w:t>
      </w:r>
    </w:p>
    <w:p>
      <w:pPr>
        <w:sectPr>
          <w:pgSz w:w="11900" w:h="16838" w:orient="portrait"/>
          <w:cols w:equalWidth="0" w:num="1">
            <w:col w:w="11200"/>
          </w:cols>
          <w:pgMar w:left="320" w:top="1440" w:right="37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4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b w:val="1"/>
          <w:bCs w:val="1"/>
          <w:color w:val="auto"/>
        </w:rPr>
        <w:t>Certification by the Chief Executive Officer pursuant to</w:t>
      </w:r>
    </w:p>
    <w:p>
      <w:pPr>
        <w:spacing w:after="0" w:line="2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6"/>
          <w:szCs w:val="16"/>
          <w:b w:val="1"/>
          <w:bCs w:val="1"/>
          <w:color w:val="auto"/>
        </w:rPr>
        <w:t>Securities Exchange Act Rules 13a-14(a) and 15d-14(a)</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Porter Stansberry, certify that:</w:t>
      </w:r>
    </w:p>
    <w:p>
      <w:pPr>
        <w:spacing w:after="0" w:line="143" w:lineRule="exact"/>
        <w:rPr>
          <w:sz w:val="20"/>
          <w:szCs w:val="20"/>
          <w:color w:val="auto"/>
        </w:rPr>
      </w:pPr>
    </w:p>
    <w:p>
      <w:pPr>
        <w:ind w:left="560" w:hanging="286"/>
        <w:spacing w:after="0"/>
        <w:tabs>
          <w:tab w:leader="none" w:pos="5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MarketWise, Inc. (the “registrant”) for the fiscal year ended December 31, 2023;</w:t>
      </w:r>
    </w:p>
    <w:p>
      <w:pPr>
        <w:spacing w:after="0" w:line="143" w:lineRule="exact"/>
        <w:rPr>
          <w:rFonts w:ascii="Times New Roman" w:cs="Times New Roman" w:eastAsia="Times New Roman" w:hAnsi="Times New Roman"/>
          <w:sz w:val="16"/>
          <w:szCs w:val="16"/>
          <w:color w:val="auto"/>
        </w:rPr>
      </w:pPr>
    </w:p>
    <w:p>
      <w:pPr>
        <w:ind w:left="560" w:right="40" w:hanging="286"/>
        <w:spacing w:after="0" w:line="268" w:lineRule="auto"/>
        <w:tabs>
          <w:tab w:leader="none" w:pos="5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3" w:lineRule="exact"/>
        <w:rPr>
          <w:rFonts w:ascii="Times New Roman" w:cs="Times New Roman" w:eastAsia="Times New Roman" w:hAnsi="Times New Roman"/>
          <w:sz w:val="16"/>
          <w:szCs w:val="16"/>
          <w:color w:val="auto"/>
        </w:rPr>
      </w:pPr>
    </w:p>
    <w:p>
      <w:pPr>
        <w:ind w:left="560" w:right="360" w:hanging="286"/>
        <w:spacing w:after="0" w:line="268" w:lineRule="auto"/>
        <w:tabs>
          <w:tab w:leader="none" w:pos="5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Times New Roman" w:cs="Times New Roman" w:eastAsia="Times New Roman" w:hAnsi="Times New Roman"/>
          <w:sz w:val="16"/>
          <w:szCs w:val="16"/>
          <w:color w:val="auto"/>
        </w:rPr>
      </w:pPr>
    </w:p>
    <w:p>
      <w:pPr>
        <w:ind w:left="560" w:right="340" w:hanging="286"/>
        <w:spacing w:after="0" w:line="341" w:lineRule="auto"/>
        <w:tabs>
          <w:tab w:leader="none" w:pos="56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Times New Roman" w:cs="Times New Roman" w:eastAsia="Times New Roman" w:hAnsi="Times New Roman"/>
          <w:sz w:val="14"/>
          <w:szCs w:val="14"/>
          <w:color w:val="auto"/>
        </w:rPr>
      </w:pPr>
    </w:p>
    <w:p>
      <w:pPr>
        <w:jc w:val="both"/>
        <w:ind w:left="1120" w:right="40" w:hanging="285"/>
        <w:spacing w:after="0" w:line="256" w:lineRule="auto"/>
        <w:tabs>
          <w:tab w:leader="none" w:pos="1111"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6"/>
          <w:szCs w:val="16"/>
          <w:color w:val="auto"/>
        </w:rPr>
      </w:pPr>
    </w:p>
    <w:p>
      <w:pPr>
        <w:ind w:left="1120" w:right="80" w:hanging="285"/>
        <w:spacing w:after="0" w:line="256" w:lineRule="auto"/>
        <w:tabs>
          <w:tab w:leader="none" w:pos="1120"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6"/>
          <w:szCs w:val="16"/>
          <w:color w:val="auto"/>
        </w:rPr>
      </w:pPr>
    </w:p>
    <w:p>
      <w:pPr>
        <w:ind w:left="1120" w:right="520" w:hanging="285"/>
        <w:spacing w:after="0" w:line="268" w:lineRule="auto"/>
        <w:tabs>
          <w:tab w:leader="none" w:pos="1111"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3" w:lineRule="exact"/>
        <w:rPr>
          <w:rFonts w:ascii="Times New Roman" w:cs="Times New Roman" w:eastAsia="Times New Roman" w:hAnsi="Times New Roman"/>
          <w:sz w:val="16"/>
          <w:szCs w:val="16"/>
          <w:color w:val="auto"/>
        </w:rPr>
      </w:pPr>
    </w:p>
    <w:p>
      <w:pPr>
        <w:ind w:left="1120" w:right="200" w:hanging="285"/>
        <w:spacing w:after="0" w:line="256" w:lineRule="auto"/>
        <w:tabs>
          <w:tab w:leader="none" w:pos="1120"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2" w:lineRule="exact"/>
        <w:rPr>
          <w:rFonts w:ascii="Times New Roman" w:cs="Times New Roman" w:eastAsia="Times New Roman" w:hAnsi="Times New Roman"/>
          <w:sz w:val="16"/>
          <w:szCs w:val="16"/>
          <w:color w:val="auto"/>
        </w:rPr>
      </w:pPr>
    </w:p>
    <w:p>
      <w:pPr>
        <w:ind w:left="560" w:right="40" w:hanging="286"/>
        <w:spacing w:after="0" w:line="268" w:lineRule="auto"/>
        <w:tabs>
          <w:tab w:leader="none" w:pos="560" w:val="left"/>
        </w:tabs>
        <w:numPr>
          <w:ilvl w:val="0"/>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Times New Roman" w:cs="Times New Roman" w:eastAsia="Times New Roman" w:hAnsi="Times New Roman"/>
          <w:sz w:val="16"/>
          <w:szCs w:val="16"/>
          <w:color w:val="auto"/>
        </w:rPr>
      </w:pPr>
    </w:p>
    <w:p>
      <w:pPr>
        <w:ind w:left="1120" w:right="40" w:hanging="285"/>
        <w:spacing w:after="0" w:line="268" w:lineRule="auto"/>
        <w:tabs>
          <w:tab w:leader="none" w:pos="1111"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3" w:lineRule="exact"/>
        <w:rPr>
          <w:rFonts w:ascii="Times New Roman" w:cs="Times New Roman" w:eastAsia="Times New Roman" w:hAnsi="Times New Roman"/>
          <w:sz w:val="16"/>
          <w:szCs w:val="16"/>
          <w:color w:val="auto"/>
        </w:rPr>
      </w:pPr>
    </w:p>
    <w:p>
      <w:pPr>
        <w:ind w:left="1120" w:right="300" w:hanging="285"/>
        <w:spacing w:after="0" w:line="268" w:lineRule="auto"/>
        <w:tabs>
          <w:tab w:leader="none" w:pos="1120" w:val="left"/>
        </w:tabs>
        <w:numPr>
          <w:ilvl w:val="1"/>
          <w:numId w:val="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620" w:type="dxa"/>
            <w:vAlign w:val="bottom"/>
          </w:tcPr>
          <w:p>
            <w:pPr>
              <w:spacing w:after="0"/>
              <w:rPr>
                <w:sz w:val="19"/>
                <w:szCs w:val="19"/>
                <w:color w:val="auto"/>
              </w:rPr>
            </w:pPr>
          </w:p>
        </w:tc>
        <w:tc>
          <w:tcPr>
            <w:tcW w:w="7620" w:type="dxa"/>
            <w:vAlign w:val="bottom"/>
            <w:gridSpan w:val="2"/>
          </w:tcPr>
          <w:p>
            <w:pPr>
              <w:ind w:left="2320"/>
              <w:spacing w:after="0"/>
              <w:rPr>
                <w:sz w:val="20"/>
                <w:szCs w:val="20"/>
                <w:color w:val="auto"/>
              </w:rPr>
            </w:pPr>
            <w:r>
              <w:rPr>
                <w:rFonts w:ascii="Times New Roman" w:cs="Times New Roman" w:eastAsia="Times New Roman" w:hAnsi="Times New Roman"/>
                <w:sz w:val="17"/>
                <w:szCs w:val="17"/>
                <w:b w:val="1"/>
                <w:bCs w:val="1"/>
                <w:color w:val="auto"/>
              </w:rPr>
              <w:t>MarketWise, Inc.</w:t>
            </w:r>
          </w:p>
        </w:tc>
        <w:tc>
          <w:tcPr>
            <w:tcW w:w="0" w:type="dxa"/>
            <w:vAlign w:val="bottom"/>
          </w:tcPr>
          <w:p>
            <w:pPr>
              <w:spacing w:after="0"/>
              <w:rPr>
                <w:sz w:val="1"/>
                <w:szCs w:val="1"/>
                <w:color w:val="auto"/>
              </w:rPr>
            </w:pPr>
          </w:p>
        </w:tc>
      </w:tr>
      <w:tr>
        <w:trPr>
          <w:trHeight w:val="450"/>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Date: March 7, 2024</w:t>
            </w:r>
          </w:p>
        </w:tc>
        <w:tc>
          <w:tcPr>
            <w:tcW w:w="3140" w:type="dxa"/>
            <w:vAlign w:val="bottom"/>
          </w:tcPr>
          <w:p>
            <w:pPr>
              <w:ind w:left="2320"/>
              <w:spacing w:after="0"/>
              <w:rPr>
                <w:sz w:val="20"/>
                <w:szCs w:val="20"/>
                <w:color w:val="auto"/>
              </w:rPr>
            </w:pPr>
            <w:r>
              <w:rPr>
                <w:rFonts w:ascii="Times New Roman" w:cs="Times New Roman" w:eastAsia="Times New Roman" w:hAnsi="Times New Roman"/>
                <w:sz w:val="16"/>
                <w:szCs w:val="16"/>
                <w:color w:val="auto"/>
              </w:rPr>
              <w:t>By:</w:t>
            </w:r>
          </w:p>
        </w:tc>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Porter Stansberry</w:t>
            </w:r>
          </w:p>
        </w:tc>
        <w:tc>
          <w:tcPr>
            <w:tcW w:w="0" w:type="dxa"/>
            <w:vAlign w:val="bottom"/>
          </w:tcPr>
          <w:p>
            <w:pPr>
              <w:spacing w:after="0"/>
              <w:rPr>
                <w:sz w:val="1"/>
                <w:szCs w:val="1"/>
                <w:color w:val="auto"/>
              </w:rPr>
            </w:pPr>
          </w:p>
        </w:tc>
      </w:tr>
      <w:tr>
        <w:trPr>
          <w:trHeight w:val="164"/>
        </w:trPr>
        <w:tc>
          <w:tcPr>
            <w:tcW w:w="3620" w:type="dxa"/>
            <w:vAlign w:val="bottom"/>
          </w:tcPr>
          <w:p>
            <w:pPr>
              <w:spacing w:after="0"/>
              <w:rPr>
                <w:sz w:val="14"/>
                <w:szCs w:val="14"/>
                <w:color w:val="auto"/>
              </w:rPr>
            </w:pPr>
          </w:p>
        </w:tc>
        <w:tc>
          <w:tcPr>
            <w:tcW w:w="3140" w:type="dxa"/>
            <w:vAlign w:val="bottom"/>
            <w:vMerge w:val="restart"/>
          </w:tcPr>
          <w:p>
            <w:pPr>
              <w:ind w:left="2320"/>
              <w:spacing w:after="0"/>
              <w:rPr>
                <w:sz w:val="20"/>
                <w:szCs w:val="20"/>
                <w:color w:val="auto"/>
              </w:rPr>
            </w:pPr>
            <w:r>
              <w:rPr>
                <w:rFonts w:ascii="Times New Roman" w:cs="Times New Roman" w:eastAsia="Times New Roman" w:hAnsi="Times New Roman"/>
                <w:sz w:val="16"/>
                <w:szCs w:val="16"/>
                <w:color w:val="auto"/>
              </w:rPr>
              <w:t>Name:</w:t>
            </w:r>
          </w:p>
        </w:tc>
        <w:tc>
          <w:tcPr>
            <w:tcW w:w="4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620" w:type="dxa"/>
            <w:vAlign w:val="bottom"/>
          </w:tcPr>
          <w:p>
            <w:pPr>
              <w:spacing w:after="0"/>
              <w:rPr>
                <w:sz w:val="16"/>
                <w:szCs w:val="16"/>
                <w:color w:val="auto"/>
              </w:rPr>
            </w:pPr>
          </w:p>
        </w:tc>
        <w:tc>
          <w:tcPr>
            <w:tcW w:w="3140" w:type="dxa"/>
            <w:vAlign w:val="bottom"/>
            <w:vMerge w:val="continue"/>
          </w:tcPr>
          <w:p>
            <w:pPr>
              <w:spacing w:after="0"/>
              <w:rPr>
                <w:sz w:val="16"/>
                <w:szCs w:val="16"/>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Porter Stansberry</w:t>
            </w:r>
          </w:p>
        </w:tc>
        <w:tc>
          <w:tcPr>
            <w:tcW w:w="0" w:type="dxa"/>
            <w:vAlign w:val="bottom"/>
          </w:tcPr>
          <w:p>
            <w:pPr>
              <w:spacing w:after="0"/>
              <w:rPr>
                <w:sz w:val="1"/>
                <w:szCs w:val="1"/>
                <w:color w:val="auto"/>
              </w:rPr>
            </w:pPr>
          </w:p>
        </w:tc>
      </w:tr>
      <w:tr>
        <w:trPr>
          <w:trHeight w:val="369"/>
        </w:trPr>
        <w:tc>
          <w:tcPr>
            <w:tcW w:w="3620" w:type="dxa"/>
            <w:vAlign w:val="bottom"/>
          </w:tcPr>
          <w:p>
            <w:pPr>
              <w:spacing w:after="0"/>
              <w:rPr>
                <w:sz w:val="24"/>
                <w:szCs w:val="24"/>
                <w:color w:val="auto"/>
              </w:rPr>
            </w:pPr>
          </w:p>
        </w:tc>
        <w:tc>
          <w:tcPr>
            <w:tcW w:w="3140" w:type="dxa"/>
            <w:vAlign w:val="bottom"/>
          </w:tcPr>
          <w:p>
            <w:pPr>
              <w:ind w:left="2320"/>
              <w:spacing w:after="0"/>
              <w:rPr>
                <w:sz w:val="20"/>
                <w:szCs w:val="20"/>
                <w:color w:val="auto"/>
              </w:rPr>
            </w:pPr>
            <w:r>
              <w:rPr>
                <w:rFonts w:ascii="Times New Roman" w:cs="Times New Roman" w:eastAsia="Times New Roman" w:hAnsi="Times New Roman"/>
                <w:sz w:val="16"/>
                <w:szCs w:val="16"/>
                <w:color w:val="auto"/>
              </w:rPr>
              <w:t>Title:</w:t>
            </w:r>
          </w:p>
        </w:tc>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w:t>
            </w:r>
          </w:p>
        </w:tc>
        <w:tc>
          <w:tcPr>
            <w:tcW w:w="0" w:type="dxa"/>
            <w:vAlign w:val="bottom"/>
          </w:tcPr>
          <w:p>
            <w:pPr>
              <w:spacing w:after="0"/>
              <w:rPr>
                <w:sz w:val="1"/>
                <w:szCs w:val="1"/>
                <w:color w:val="auto"/>
              </w:rPr>
            </w:pPr>
          </w:p>
        </w:tc>
      </w:tr>
    </w:tbl>
    <w:p>
      <w:pPr>
        <w:sectPr>
          <w:pgSz w:w="11900" w:h="16838" w:orient="portrait"/>
          <w:cols w:equalWidth="0" w:num="1">
            <w:col w:w="11260"/>
          </w:cols>
          <w:pgMar w:left="320" w:top="752" w:right="31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43"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6"/>
          <w:szCs w:val="16"/>
          <w:b w:val="1"/>
          <w:bCs w:val="1"/>
          <w:color w:val="auto"/>
        </w:rPr>
        <w:t>Certification by the Chief Financial Officer pursuant to</w:t>
      </w:r>
    </w:p>
    <w:p>
      <w:pPr>
        <w:spacing w:after="0" w:line="21"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6"/>
          <w:szCs w:val="16"/>
          <w:b w:val="1"/>
          <w:bCs w:val="1"/>
          <w:color w:val="auto"/>
        </w:rPr>
        <w:t>Securities Exchange Act Rules 13a-14(a) and 15d-14(a)</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302 of the Sarbanes-Oxley Act of 2002</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Erik Mickels, certify that:</w:t>
      </w:r>
    </w:p>
    <w:p>
      <w:pPr>
        <w:spacing w:after="0" w:line="143" w:lineRule="exact"/>
        <w:rPr>
          <w:sz w:val="20"/>
          <w:szCs w:val="20"/>
          <w:color w:val="auto"/>
        </w:rPr>
      </w:pPr>
    </w:p>
    <w:p>
      <w:pPr>
        <w:ind w:left="560" w:hanging="286"/>
        <w:spacing w:after="0"/>
        <w:tabs>
          <w:tab w:leader="none" w:pos="5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10-K of MarketWise, Inc. (the “registrant”) for the fiscal year ended December 31, 2023;</w:t>
      </w:r>
    </w:p>
    <w:p>
      <w:pPr>
        <w:spacing w:after="0" w:line="143" w:lineRule="exact"/>
        <w:rPr>
          <w:rFonts w:ascii="Times New Roman" w:cs="Times New Roman" w:eastAsia="Times New Roman" w:hAnsi="Times New Roman"/>
          <w:sz w:val="16"/>
          <w:szCs w:val="16"/>
          <w:color w:val="auto"/>
        </w:rPr>
      </w:pPr>
    </w:p>
    <w:p>
      <w:pPr>
        <w:ind w:left="560" w:right="40" w:hanging="286"/>
        <w:spacing w:after="0" w:line="268" w:lineRule="auto"/>
        <w:tabs>
          <w:tab w:leader="none" w:pos="5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3" w:lineRule="exact"/>
        <w:rPr>
          <w:rFonts w:ascii="Times New Roman" w:cs="Times New Roman" w:eastAsia="Times New Roman" w:hAnsi="Times New Roman"/>
          <w:sz w:val="16"/>
          <w:szCs w:val="16"/>
          <w:color w:val="auto"/>
        </w:rPr>
      </w:pPr>
    </w:p>
    <w:p>
      <w:pPr>
        <w:ind w:left="560" w:right="360" w:hanging="286"/>
        <w:spacing w:after="0" w:line="268" w:lineRule="auto"/>
        <w:tabs>
          <w:tab w:leader="none" w:pos="5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3" w:lineRule="exact"/>
        <w:rPr>
          <w:rFonts w:ascii="Times New Roman" w:cs="Times New Roman" w:eastAsia="Times New Roman" w:hAnsi="Times New Roman"/>
          <w:sz w:val="16"/>
          <w:szCs w:val="16"/>
          <w:color w:val="auto"/>
        </w:rPr>
      </w:pPr>
    </w:p>
    <w:p>
      <w:pPr>
        <w:ind w:left="560" w:right="340" w:hanging="286"/>
        <w:spacing w:after="0" w:line="341" w:lineRule="auto"/>
        <w:tabs>
          <w:tab w:leader="none" w:pos="5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7" w:lineRule="exact"/>
        <w:rPr>
          <w:rFonts w:ascii="Times New Roman" w:cs="Times New Roman" w:eastAsia="Times New Roman" w:hAnsi="Times New Roman"/>
          <w:sz w:val="14"/>
          <w:szCs w:val="14"/>
          <w:color w:val="auto"/>
        </w:rPr>
      </w:pPr>
    </w:p>
    <w:p>
      <w:pPr>
        <w:jc w:val="both"/>
        <w:ind w:left="1120" w:right="40" w:hanging="285"/>
        <w:spacing w:after="0" w:line="256" w:lineRule="auto"/>
        <w:tabs>
          <w:tab w:leader="none" w:pos="1111"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6"/>
          <w:szCs w:val="16"/>
          <w:color w:val="auto"/>
        </w:rPr>
      </w:pPr>
    </w:p>
    <w:p>
      <w:pPr>
        <w:ind w:left="1120" w:right="80" w:hanging="285"/>
        <w:spacing w:after="0" w:line="256" w:lineRule="auto"/>
        <w:tabs>
          <w:tab w:leader="none" w:pos="1120"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6"/>
          <w:szCs w:val="16"/>
          <w:color w:val="auto"/>
        </w:rPr>
      </w:pPr>
    </w:p>
    <w:p>
      <w:pPr>
        <w:ind w:left="1120" w:right="520" w:hanging="285"/>
        <w:spacing w:after="0" w:line="268" w:lineRule="auto"/>
        <w:tabs>
          <w:tab w:leader="none" w:pos="1111"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3" w:lineRule="exact"/>
        <w:rPr>
          <w:rFonts w:ascii="Times New Roman" w:cs="Times New Roman" w:eastAsia="Times New Roman" w:hAnsi="Times New Roman"/>
          <w:sz w:val="16"/>
          <w:szCs w:val="16"/>
          <w:color w:val="auto"/>
        </w:rPr>
      </w:pPr>
    </w:p>
    <w:p>
      <w:pPr>
        <w:ind w:left="1120" w:right="200" w:hanging="285"/>
        <w:spacing w:after="0" w:line="256" w:lineRule="auto"/>
        <w:tabs>
          <w:tab w:leader="none" w:pos="1120"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2" w:lineRule="exact"/>
        <w:rPr>
          <w:rFonts w:ascii="Times New Roman" w:cs="Times New Roman" w:eastAsia="Times New Roman" w:hAnsi="Times New Roman"/>
          <w:sz w:val="16"/>
          <w:szCs w:val="16"/>
          <w:color w:val="auto"/>
        </w:rPr>
      </w:pPr>
    </w:p>
    <w:p>
      <w:pPr>
        <w:ind w:left="560" w:right="40" w:hanging="286"/>
        <w:spacing w:after="0" w:line="268" w:lineRule="auto"/>
        <w:tabs>
          <w:tab w:leader="none" w:pos="560"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3" w:lineRule="exact"/>
        <w:rPr>
          <w:rFonts w:ascii="Times New Roman" w:cs="Times New Roman" w:eastAsia="Times New Roman" w:hAnsi="Times New Roman"/>
          <w:sz w:val="16"/>
          <w:szCs w:val="16"/>
          <w:color w:val="auto"/>
        </w:rPr>
      </w:pPr>
    </w:p>
    <w:p>
      <w:pPr>
        <w:ind w:left="1120" w:right="40" w:hanging="285"/>
        <w:spacing w:after="0" w:line="268" w:lineRule="auto"/>
        <w:tabs>
          <w:tab w:leader="none" w:pos="1111"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3" w:lineRule="exact"/>
        <w:rPr>
          <w:rFonts w:ascii="Times New Roman" w:cs="Times New Roman" w:eastAsia="Times New Roman" w:hAnsi="Times New Roman"/>
          <w:sz w:val="16"/>
          <w:szCs w:val="16"/>
          <w:color w:val="auto"/>
        </w:rPr>
      </w:pPr>
    </w:p>
    <w:p>
      <w:pPr>
        <w:ind w:left="1120" w:right="300" w:hanging="285"/>
        <w:spacing w:after="0" w:line="268" w:lineRule="auto"/>
        <w:tabs>
          <w:tab w:leader="none" w:pos="1120" w:val="left"/>
        </w:tabs>
        <w:numPr>
          <w:ilvl w:val="1"/>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620" w:type="dxa"/>
            <w:vAlign w:val="bottom"/>
          </w:tcPr>
          <w:p>
            <w:pPr>
              <w:spacing w:after="0"/>
              <w:rPr>
                <w:sz w:val="19"/>
                <w:szCs w:val="19"/>
                <w:color w:val="auto"/>
              </w:rPr>
            </w:pPr>
          </w:p>
        </w:tc>
        <w:tc>
          <w:tcPr>
            <w:tcW w:w="7620" w:type="dxa"/>
            <w:vAlign w:val="bottom"/>
            <w:gridSpan w:val="2"/>
          </w:tcPr>
          <w:p>
            <w:pPr>
              <w:ind w:left="2320"/>
              <w:spacing w:after="0"/>
              <w:rPr>
                <w:sz w:val="20"/>
                <w:szCs w:val="20"/>
                <w:color w:val="auto"/>
              </w:rPr>
            </w:pPr>
            <w:r>
              <w:rPr>
                <w:rFonts w:ascii="Times New Roman" w:cs="Times New Roman" w:eastAsia="Times New Roman" w:hAnsi="Times New Roman"/>
                <w:sz w:val="17"/>
                <w:szCs w:val="17"/>
                <w:b w:val="1"/>
                <w:bCs w:val="1"/>
                <w:color w:val="auto"/>
              </w:rPr>
              <w:t>MarketWise, Inc.</w:t>
            </w:r>
          </w:p>
        </w:tc>
        <w:tc>
          <w:tcPr>
            <w:tcW w:w="0" w:type="dxa"/>
            <w:vAlign w:val="bottom"/>
          </w:tcPr>
          <w:p>
            <w:pPr>
              <w:spacing w:after="0"/>
              <w:rPr>
                <w:sz w:val="1"/>
                <w:szCs w:val="1"/>
                <w:color w:val="auto"/>
              </w:rPr>
            </w:pPr>
          </w:p>
        </w:tc>
      </w:tr>
      <w:tr>
        <w:trPr>
          <w:trHeight w:val="450"/>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Date: March 7, 2024</w:t>
            </w:r>
          </w:p>
        </w:tc>
        <w:tc>
          <w:tcPr>
            <w:tcW w:w="3140" w:type="dxa"/>
            <w:vAlign w:val="bottom"/>
          </w:tcPr>
          <w:p>
            <w:pPr>
              <w:ind w:left="2320"/>
              <w:spacing w:after="0"/>
              <w:rPr>
                <w:sz w:val="20"/>
                <w:szCs w:val="20"/>
                <w:color w:val="auto"/>
              </w:rPr>
            </w:pPr>
            <w:r>
              <w:rPr>
                <w:rFonts w:ascii="Times New Roman" w:cs="Times New Roman" w:eastAsia="Times New Roman" w:hAnsi="Times New Roman"/>
                <w:sz w:val="16"/>
                <w:szCs w:val="16"/>
                <w:color w:val="auto"/>
              </w:rPr>
              <w:t>By:</w:t>
            </w:r>
          </w:p>
        </w:tc>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Erik Mickels</w:t>
            </w:r>
          </w:p>
        </w:tc>
        <w:tc>
          <w:tcPr>
            <w:tcW w:w="0" w:type="dxa"/>
            <w:vAlign w:val="bottom"/>
          </w:tcPr>
          <w:p>
            <w:pPr>
              <w:spacing w:after="0"/>
              <w:rPr>
                <w:sz w:val="1"/>
                <w:szCs w:val="1"/>
                <w:color w:val="auto"/>
              </w:rPr>
            </w:pPr>
          </w:p>
        </w:tc>
      </w:tr>
      <w:tr>
        <w:trPr>
          <w:trHeight w:val="164"/>
        </w:trPr>
        <w:tc>
          <w:tcPr>
            <w:tcW w:w="3620" w:type="dxa"/>
            <w:vAlign w:val="bottom"/>
          </w:tcPr>
          <w:p>
            <w:pPr>
              <w:spacing w:after="0"/>
              <w:rPr>
                <w:sz w:val="14"/>
                <w:szCs w:val="14"/>
                <w:color w:val="auto"/>
              </w:rPr>
            </w:pPr>
          </w:p>
        </w:tc>
        <w:tc>
          <w:tcPr>
            <w:tcW w:w="3140" w:type="dxa"/>
            <w:vAlign w:val="bottom"/>
            <w:vMerge w:val="restart"/>
          </w:tcPr>
          <w:p>
            <w:pPr>
              <w:ind w:left="2320"/>
              <w:spacing w:after="0"/>
              <w:rPr>
                <w:sz w:val="20"/>
                <w:szCs w:val="20"/>
                <w:color w:val="auto"/>
              </w:rPr>
            </w:pPr>
            <w:r>
              <w:rPr>
                <w:rFonts w:ascii="Times New Roman" w:cs="Times New Roman" w:eastAsia="Times New Roman" w:hAnsi="Times New Roman"/>
                <w:sz w:val="16"/>
                <w:szCs w:val="16"/>
                <w:color w:val="auto"/>
              </w:rPr>
              <w:t>Name:</w:t>
            </w:r>
          </w:p>
        </w:tc>
        <w:tc>
          <w:tcPr>
            <w:tcW w:w="4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620" w:type="dxa"/>
            <w:vAlign w:val="bottom"/>
          </w:tcPr>
          <w:p>
            <w:pPr>
              <w:spacing w:after="0"/>
              <w:rPr>
                <w:sz w:val="16"/>
                <w:szCs w:val="16"/>
                <w:color w:val="auto"/>
              </w:rPr>
            </w:pPr>
          </w:p>
        </w:tc>
        <w:tc>
          <w:tcPr>
            <w:tcW w:w="3140" w:type="dxa"/>
            <w:vAlign w:val="bottom"/>
            <w:vMerge w:val="continue"/>
          </w:tcPr>
          <w:p>
            <w:pPr>
              <w:spacing w:after="0"/>
              <w:rPr>
                <w:sz w:val="16"/>
                <w:szCs w:val="16"/>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Erik Mickels</w:t>
            </w:r>
          </w:p>
        </w:tc>
        <w:tc>
          <w:tcPr>
            <w:tcW w:w="0" w:type="dxa"/>
            <w:vAlign w:val="bottom"/>
          </w:tcPr>
          <w:p>
            <w:pPr>
              <w:spacing w:after="0"/>
              <w:rPr>
                <w:sz w:val="1"/>
                <w:szCs w:val="1"/>
                <w:color w:val="auto"/>
              </w:rPr>
            </w:pPr>
          </w:p>
        </w:tc>
      </w:tr>
      <w:tr>
        <w:trPr>
          <w:trHeight w:val="369"/>
        </w:trPr>
        <w:tc>
          <w:tcPr>
            <w:tcW w:w="3620" w:type="dxa"/>
            <w:vAlign w:val="bottom"/>
          </w:tcPr>
          <w:p>
            <w:pPr>
              <w:spacing w:after="0"/>
              <w:rPr>
                <w:sz w:val="24"/>
                <w:szCs w:val="24"/>
                <w:color w:val="auto"/>
              </w:rPr>
            </w:pPr>
          </w:p>
        </w:tc>
        <w:tc>
          <w:tcPr>
            <w:tcW w:w="3140" w:type="dxa"/>
            <w:vAlign w:val="bottom"/>
          </w:tcPr>
          <w:p>
            <w:pPr>
              <w:ind w:left="2320"/>
              <w:spacing w:after="0"/>
              <w:rPr>
                <w:sz w:val="20"/>
                <w:szCs w:val="20"/>
                <w:color w:val="auto"/>
              </w:rPr>
            </w:pPr>
            <w:r>
              <w:rPr>
                <w:rFonts w:ascii="Times New Roman" w:cs="Times New Roman" w:eastAsia="Times New Roman" w:hAnsi="Times New Roman"/>
                <w:sz w:val="16"/>
                <w:szCs w:val="16"/>
                <w:color w:val="auto"/>
              </w:rPr>
              <w:t>Title:</w:t>
            </w:r>
          </w:p>
        </w:tc>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60"/>
          </w:cols>
          <w:pgMar w:left="320" w:top="752" w:right="31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338" w:lineRule="exact"/>
        <w:rPr>
          <w:sz w:val="20"/>
          <w:szCs w:val="20"/>
          <w:color w:val="auto"/>
        </w:rPr>
      </w:pPr>
    </w:p>
    <w:p>
      <w:pPr>
        <w:ind w:right="120"/>
        <w:spacing w:after="0" w:line="310" w:lineRule="auto"/>
        <w:rPr>
          <w:sz w:val="20"/>
          <w:szCs w:val="20"/>
          <w:color w:val="auto"/>
        </w:rPr>
      </w:pPr>
      <w:r>
        <w:rPr>
          <w:rFonts w:ascii="Times New Roman" w:cs="Times New Roman" w:eastAsia="Times New Roman" w:hAnsi="Times New Roman"/>
          <w:sz w:val="14"/>
          <w:szCs w:val="14"/>
          <w:color w:val="auto"/>
        </w:rPr>
        <w:t>I, Porter Stansberry, certify, pursuant to 18 U.S.C. Section 1350, as adopted pursuant to Section 906 of the Sarbanes-Oxley Act of 2002, that the Annual Report on Form 10-K of MarketWise, Inc. for the fiscal year ended December 31, 2023 fully complies with the requirements of Section 13(a) or 15(d) of the Securities Exchange Act of 1934, as amended, and that information contained in such Annual Report on Form 10-K fairly presents, in all material respects, the financial condition and results of operations of MarketWise, Inc.</w:t>
      </w: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620" w:type="dxa"/>
            <w:vAlign w:val="bottom"/>
          </w:tcPr>
          <w:p>
            <w:pPr>
              <w:spacing w:after="0"/>
              <w:rPr>
                <w:sz w:val="19"/>
                <w:szCs w:val="19"/>
                <w:color w:val="auto"/>
              </w:rPr>
            </w:pPr>
          </w:p>
        </w:tc>
        <w:tc>
          <w:tcPr>
            <w:tcW w:w="7620" w:type="dxa"/>
            <w:vAlign w:val="bottom"/>
            <w:gridSpan w:val="2"/>
          </w:tcPr>
          <w:p>
            <w:pPr>
              <w:ind w:left="2320"/>
              <w:spacing w:after="0"/>
              <w:rPr>
                <w:sz w:val="20"/>
                <w:szCs w:val="20"/>
                <w:color w:val="auto"/>
              </w:rPr>
            </w:pPr>
            <w:r>
              <w:rPr>
                <w:rFonts w:ascii="Times New Roman" w:cs="Times New Roman" w:eastAsia="Times New Roman" w:hAnsi="Times New Roman"/>
                <w:sz w:val="17"/>
                <w:szCs w:val="17"/>
                <w:b w:val="1"/>
                <w:bCs w:val="1"/>
                <w:color w:val="auto"/>
              </w:rPr>
              <w:t>MarketWise, Inc.</w:t>
            </w:r>
          </w:p>
        </w:tc>
        <w:tc>
          <w:tcPr>
            <w:tcW w:w="0" w:type="dxa"/>
            <w:vAlign w:val="bottom"/>
          </w:tcPr>
          <w:p>
            <w:pPr>
              <w:spacing w:after="0"/>
              <w:rPr>
                <w:sz w:val="1"/>
                <w:szCs w:val="1"/>
                <w:color w:val="auto"/>
              </w:rPr>
            </w:pPr>
          </w:p>
        </w:tc>
      </w:tr>
      <w:tr>
        <w:trPr>
          <w:trHeight w:val="450"/>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Date: March 7, 2024</w:t>
            </w:r>
          </w:p>
        </w:tc>
        <w:tc>
          <w:tcPr>
            <w:tcW w:w="3140" w:type="dxa"/>
            <w:vAlign w:val="bottom"/>
          </w:tcPr>
          <w:p>
            <w:pPr>
              <w:ind w:left="2320"/>
              <w:spacing w:after="0"/>
              <w:rPr>
                <w:sz w:val="20"/>
                <w:szCs w:val="20"/>
                <w:color w:val="auto"/>
              </w:rPr>
            </w:pPr>
            <w:r>
              <w:rPr>
                <w:rFonts w:ascii="Times New Roman" w:cs="Times New Roman" w:eastAsia="Times New Roman" w:hAnsi="Times New Roman"/>
                <w:sz w:val="16"/>
                <w:szCs w:val="16"/>
                <w:color w:val="auto"/>
              </w:rPr>
              <w:t>By:</w:t>
            </w:r>
          </w:p>
        </w:tc>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Porter Stansberry</w:t>
            </w:r>
          </w:p>
        </w:tc>
        <w:tc>
          <w:tcPr>
            <w:tcW w:w="0" w:type="dxa"/>
            <w:vAlign w:val="bottom"/>
          </w:tcPr>
          <w:p>
            <w:pPr>
              <w:spacing w:after="0"/>
              <w:rPr>
                <w:sz w:val="1"/>
                <w:szCs w:val="1"/>
                <w:color w:val="auto"/>
              </w:rPr>
            </w:pPr>
          </w:p>
        </w:tc>
      </w:tr>
      <w:tr>
        <w:trPr>
          <w:trHeight w:val="164"/>
        </w:trPr>
        <w:tc>
          <w:tcPr>
            <w:tcW w:w="3620" w:type="dxa"/>
            <w:vAlign w:val="bottom"/>
          </w:tcPr>
          <w:p>
            <w:pPr>
              <w:spacing w:after="0"/>
              <w:rPr>
                <w:sz w:val="14"/>
                <w:szCs w:val="14"/>
                <w:color w:val="auto"/>
              </w:rPr>
            </w:pPr>
          </w:p>
        </w:tc>
        <w:tc>
          <w:tcPr>
            <w:tcW w:w="3140" w:type="dxa"/>
            <w:vAlign w:val="bottom"/>
            <w:vMerge w:val="restart"/>
          </w:tcPr>
          <w:p>
            <w:pPr>
              <w:ind w:left="2320"/>
              <w:spacing w:after="0"/>
              <w:rPr>
                <w:sz w:val="20"/>
                <w:szCs w:val="20"/>
                <w:color w:val="auto"/>
              </w:rPr>
            </w:pPr>
            <w:r>
              <w:rPr>
                <w:rFonts w:ascii="Times New Roman" w:cs="Times New Roman" w:eastAsia="Times New Roman" w:hAnsi="Times New Roman"/>
                <w:sz w:val="16"/>
                <w:szCs w:val="16"/>
                <w:color w:val="auto"/>
              </w:rPr>
              <w:t>Name:</w:t>
            </w:r>
          </w:p>
        </w:tc>
        <w:tc>
          <w:tcPr>
            <w:tcW w:w="4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620" w:type="dxa"/>
            <w:vAlign w:val="bottom"/>
          </w:tcPr>
          <w:p>
            <w:pPr>
              <w:spacing w:after="0"/>
              <w:rPr>
                <w:sz w:val="16"/>
                <w:szCs w:val="16"/>
                <w:color w:val="auto"/>
              </w:rPr>
            </w:pPr>
          </w:p>
        </w:tc>
        <w:tc>
          <w:tcPr>
            <w:tcW w:w="3140" w:type="dxa"/>
            <w:vAlign w:val="bottom"/>
            <w:vMerge w:val="continue"/>
          </w:tcPr>
          <w:p>
            <w:pPr>
              <w:spacing w:after="0"/>
              <w:rPr>
                <w:sz w:val="16"/>
                <w:szCs w:val="16"/>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Porter Stansberry</w:t>
            </w:r>
          </w:p>
        </w:tc>
        <w:tc>
          <w:tcPr>
            <w:tcW w:w="0" w:type="dxa"/>
            <w:vAlign w:val="bottom"/>
          </w:tcPr>
          <w:p>
            <w:pPr>
              <w:spacing w:after="0"/>
              <w:rPr>
                <w:sz w:val="1"/>
                <w:szCs w:val="1"/>
                <w:color w:val="auto"/>
              </w:rPr>
            </w:pPr>
          </w:p>
        </w:tc>
      </w:tr>
      <w:tr>
        <w:trPr>
          <w:trHeight w:val="369"/>
        </w:trPr>
        <w:tc>
          <w:tcPr>
            <w:tcW w:w="3620" w:type="dxa"/>
            <w:vAlign w:val="bottom"/>
          </w:tcPr>
          <w:p>
            <w:pPr>
              <w:spacing w:after="0"/>
              <w:rPr>
                <w:sz w:val="24"/>
                <w:szCs w:val="24"/>
                <w:color w:val="auto"/>
              </w:rPr>
            </w:pPr>
          </w:p>
        </w:tc>
        <w:tc>
          <w:tcPr>
            <w:tcW w:w="3140" w:type="dxa"/>
            <w:vAlign w:val="bottom"/>
          </w:tcPr>
          <w:p>
            <w:pPr>
              <w:ind w:left="2320"/>
              <w:spacing w:after="0"/>
              <w:rPr>
                <w:sz w:val="20"/>
                <w:szCs w:val="20"/>
                <w:color w:val="auto"/>
              </w:rPr>
            </w:pPr>
            <w:r>
              <w:rPr>
                <w:rFonts w:ascii="Times New Roman" w:cs="Times New Roman" w:eastAsia="Times New Roman" w:hAnsi="Times New Roman"/>
                <w:sz w:val="16"/>
                <w:szCs w:val="16"/>
                <w:color w:val="auto"/>
              </w:rPr>
              <w:t>Title:</w:t>
            </w:r>
          </w:p>
        </w:tc>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w:t>
            </w:r>
          </w:p>
        </w:tc>
        <w:tc>
          <w:tcPr>
            <w:tcW w:w="0" w:type="dxa"/>
            <w:vAlign w:val="bottom"/>
          </w:tcPr>
          <w:p>
            <w:pPr>
              <w:spacing w:after="0"/>
              <w:rPr>
                <w:sz w:val="1"/>
                <w:szCs w:val="1"/>
                <w:color w:val="auto"/>
              </w:rPr>
            </w:pPr>
          </w:p>
        </w:tc>
      </w:tr>
    </w:tbl>
    <w:p>
      <w:pPr>
        <w:sectPr>
          <w:pgSz w:w="11900" w:h="16838" w:orient="portrait"/>
          <w:cols w:equalWidth="0" w:num="1">
            <w:col w:w="11260"/>
          </w:cols>
          <w:pgMar w:left="320" w:top="752" w:right="31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6"/>
          <w:szCs w:val="16"/>
          <w:b w:val="1"/>
          <w:bCs w:val="1"/>
          <w:color w:val="auto"/>
        </w:rPr>
        <w:t>Exhibit 32.2</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18 U.S.C. Section 1350,</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338" w:lineRule="exact"/>
        <w:rPr>
          <w:sz w:val="20"/>
          <w:szCs w:val="20"/>
          <w:color w:val="auto"/>
        </w:rPr>
      </w:pPr>
    </w:p>
    <w:p>
      <w:pPr>
        <w:ind w:right="120"/>
        <w:spacing w:after="0" w:line="310" w:lineRule="auto"/>
        <w:rPr>
          <w:sz w:val="20"/>
          <w:szCs w:val="20"/>
          <w:color w:val="auto"/>
        </w:rPr>
      </w:pPr>
      <w:r>
        <w:rPr>
          <w:rFonts w:ascii="Times New Roman" w:cs="Times New Roman" w:eastAsia="Times New Roman" w:hAnsi="Times New Roman"/>
          <w:sz w:val="14"/>
          <w:szCs w:val="14"/>
          <w:color w:val="auto"/>
        </w:rPr>
        <w:t>I, Erik Mickels, certify, pursuant to 18 U.S.C. Section 1350, as adopted pursuant to Section 906 of the Sarbanes-Oxley Act of 2002, that the Annual Report on Form 10-K of MarketWise, Inc. for the fiscal year ended December 31, 2023 fully complies with the requirements of Section 13(a) or 15(d) of the Securities Exchange Act of 1934, as amended, and that information contained in such Annual Report on Form 10-K fairly presents, in all material respects, the financial condition and results of operations of MarketWise, Inc.</w:t>
      </w: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3620" w:type="dxa"/>
            <w:vAlign w:val="bottom"/>
          </w:tcPr>
          <w:p>
            <w:pPr>
              <w:spacing w:after="0"/>
              <w:rPr>
                <w:sz w:val="19"/>
                <w:szCs w:val="19"/>
                <w:color w:val="auto"/>
              </w:rPr>
            </w:pPr>
          </w:p>
        </w:tc>
        <w:tc>
          <w:tcPr>
            <w:tcW w:w="7620" w:type="dxa"/>
            <w:vAlign w:val="bottom"/>
            <w:gridSpan w:val="2"/>
          </w:tcPr>
          <w:p>
            <w:pPr>
              <w:ind w:left="2320"/>
              <w:spacing w:after="0"/>
              <w:rPr>
                <w:sz w:val="20"/>
                <w:szCs w:val="20"/>
                <w:color w:val="auto"/>
              </w:rPr>
            </w:pPr>
            <w:r>
              <w:rPr>
                <w:rFonts w:ascii="Times New Roman" w:cs="Times New Roman" w:eastAsia="Times New Roman" w:hAnsi="Times New Roman"/>
                <w:sz w:val="17"/>
                <w:szCs w:val="17"/>
                <w:b w:val="1"/>
                <w:bCs w:val="1"/>
                <w:color w:val="auto"/>
              </w:rPr>
              <w:t>MarketWise, Inc.</w:t>
            </w:r>
          </w:p>
        </w:tc>
        <w:tc>
          <w:tcPr>
            <w:tcW w:w="0" w:type="dxa"/>
            <w:vAlign w:val="bottom"/>
          </w:tcPr>
          <w:p>
            <w:pPr>
              <w:spacing w:after="0"/>
              <w:rPr>
                <w:sz w:val="1"/>
                <w:szCs w:val="1"/>
                <w:color w:val="auto"/>
              </w:rPr>
            </w:pPr>
          </w:p>
        </w:tc>
      </w:tr>
      <w:tr>
        <w:trPr>
          <w:trHeight w:val="450"/>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Date: March 7, 2024</w:t>
            </w:r>
          </w:p>
        </w:tc>
        <w:tc>
          <w:tcPr>
            <w:tcW w:w="3140" w:type="dxa"/>
            <w:vAlign w:val="bottom"/>
          </w:tcPr>
          <w:p>
            <w:pPr>
              <w:ind w:left="2320"/>
              <w:spacing w:after="0"/>
              <w:rPr>
                <w:sz w:val="20"/>
                <w:szCs w:val="20"/>
                <w:color w:val="auto"/>
              </w:rPr>
            </w:pPr>
            <w:r>
              <w:rPr>
                <w:rFonts w:ascii="Times New Roman" w:cs="Times New Roman" w:eastAsia="Times New Roman" w:hAnsi="Times New Roman"/>
                <w:sz w:val="16"/>
                <w:szCs w:val="16"/>
                <w:color w:val="auto"/>
              </w:rPr>
              <w:t>By:</w:t>
            </w:r>
          </w:p>
        </w:tc>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Erik Mickels</w:t>
            </w:r>
          </w:p>
        </w:tc>
        <w:tc>
          <w:tcPr>
            <w:tcW w:w="0" w:type="dxa"/>
            <w:vAlign w:val="bottom"/>
          </w:tcPr>
          <w:p>
            <w:pPr>
              <w:spacing w:after="0"/>
              <w:rPr>
                <w:sz w:val="1"/>
                <w:szCs w:val="1"/>
                <w:color w:val="auto"/>
              </w:rPr>
            </w:pPr>
          </w:p>
        </w:tc>
      </w:tr>
      <w:tr>
        <w:trPr>
          <w:trHeight w:val="164"/>
        </w:trPr>
        <w:tc>
          <w:tcPr>
            <w:tcW w:w="3620" w:type="dxa"/>
            <w:vAlign w:val="bottom"/>
          </w:tcPr>
          <w:p>
            <w:pPr>
              <w:spacing w:after="0"/>
              <w:rPr>
                <w:sz w:val="14"/>
                <w:szCs w:val="14"/>
                <w:color w:val="auto"/>
              </w:rPr>
            </w:pPr>
          </w:p>
        </w:tc>
        <w:tc>
          <w:tcPr>
            <w:tcW w:w="3140" w:type="dxa"/>
            <w:vAlign w:val="bottom"/>
            <w:vMerge w:val="restart"/>
          </w:tcPr>
          <w:p>
            <w:pPr>
              <w:ind w:left="2320"/>
              <w:spacing w:after="0"/>
              <w:rPr>
                <w:sz w:val="20"/>
                <w:szCs w:val="20"/>
                <w:color w:val="auto"/>
              </w:rPr>
            </w:pPr>
            <w:r>
              <w:rPr>
                <w:rFonts w:ascii="Times New Roman" w:cs="Times New Roman" w:eastAsia="Times New Roman" w:hAnsi="Times New Roman"/>
                <w:sz w:val="16"/>
                <w:szCs w:val="16"/>
                <w:color w:val="auto"/>
              </w:rPr>
              <w:t>Name:</w:t>
            </w:r>
          </w:p>
        </w:tc>
        <w:tc>
          <w:tcPr>
            <w:tcW w:w="44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620" w:type="dxa"/>
            <w:vAlign w:val="bottom"/>
          </w:tcPr>
          <w:p>
            <w:pPr>
              <w:spacing w:after="0"/>
              <w:rPr>
                <w:sz w:val="16"/>
                <w:szCs w:val="16"/>
                <w:color w:val="auto"/>
              </w:rPr>
            </w:pPr>
          </w:p>
        </w:tc>
        <w:tc>
          <w:tcPr>
            <w:tcW w:w="3140" w:type="dxa"/>
            <w:vAlign w:val="bottom"/>
            <w:vMerge w:val="continue"/>
          </w:tcPr>
          <w:p>
            <w:pPr>
              <w:spacing w:after="0"/>
              <w:rPr>
                <w:sz w:val="16"/>
                <w:szCs w:val="16"/>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Erik Mickels</w:t>
            </w:r>
          </w:p>
        </w:tc>
        <w:tc>
          <w:tcPr>
            <w:tcW w:w="0" w:type="dxa"/>
            <w:vAlign w:val="bottom"/>
          </w:tcPr>
          <w:p>
            <w:pPr>
              <w:spacing w:after="0"/>
              <w:rPr>
                <w:sz w:val="1"/>
                <w:szCs w:val="1"/>
                <w:color w:val="auto"/>
              </w:rPr>
            </w:pPr>
          </w:p>
        </w:tc>
      </w:tr>
      <w:tr>
        <w:trPr>
          <w:trHeight w:val="369"/>
        </w:trPr>
        <w:tc>
          <w:tcPr>
            <w:tcW w:w="3620" w:type="dxa"/>
            <w:vAlign w:val="bottom"/>
          </w:tcPr>
          <w:p>
            <w:pPr>
              <w:spacing w:after="0"/>
              <w:rPr>
                <w:sz w:val="24"/>
                <w:szCs w:val="24"/>
                <w:color w:val="auto"/>
              </w:rPr>
            </w:pPr>
          </w:p>
        </w:tc>
        <w:tc>
          <w:tcPr>
            <w:tcW w:w="3140" w:type="dxa"/>
            <w:vAlign w:val="bottom"/>
          </w:tcPr>
          <w:p>
            <w:pPr>
              <w:ind w:left="2320"/>
              <w:spacing w:after="0"/>
              <w:rPr>
                <w:sz w:val="20"/>
                <w:szCs w:val="20"/>
                <w:color w:val="auto"/>
              </w:rPr>
            </w:pPr>
            <w:r>
              <w:rPr>
                <w:rFonts w:ascii="Times New Roman" w:cs="Times New Roman" w:eastAsia="Times New Roman" w:hAnsi="Times New Roman"/>
                <w:sz w:val="16"/>
                <w:szCs w:val="16"/>
                <w:color w:val="auto"/>
              </w:rPr>
              <w:t>Title:</w:t>
            </w:r>
          </w:p>
        </w:tc>
        <w:tc>
          <w:tcPr>
            <w:tcW w:w="4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60"/>
          </w:cols>
          <w:pgMar w:left="320" w:top="752" w:right="31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9"/>
          <w:szCs w:val="19"/>
          <w:b w:val="1"/>
          <w:bCs w:val="1"/>
          <w:color w:val="auto"/>
        </w:rPr>
        <w:t>Exhibit 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249555</wp:posOffset>
            </wp:positionV>
            <wp:extent cx="3296920" cy="4902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5">
                      <a:extLst>
                        <a:ext uri="{28A0092B-C50C-407E-A947-70E740481C1C}"/>
                      </a:extLst>
                    </a:blip>
                    <a:srcRect/>
                    <a:stretch>
                      <a:fillRect/>
                    </a:stretch>
                  </pic:blipFill>
                  <pic:spPr bwMode="auto">
                    <a:xfrm>
                      <a:off x="0" y="0"/>
                      <a:ext cx="3296920" cy="490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620"/>
        <w:spacing w:after="0" w:line="249" w:lineRule="auto"/>
        <w:rPr>
          <w:sz w:val="20"/>
          <w:szCs w:val="20"/>
          <w:color w:val="auto"/>
        </w:rPr>
      </w:pPr>
      <w:r>
        <w:rPr>
          <w:rFonts w:ascii="Arial" w:cs="Arial" w:eastAsia="Arial" w:hAnsi="Arial"/>
          <w:sz w:val="55"/>
          <w:szCs w:val="55"/>
          <w:b w:val="1"/>
          <w:bCs w:val="1"/>
          <w:color w:val="auto"/>
        </w:rPr>
        <w:t>POLICY FOR RECOVERY OF ERRONEOUSLY AWARDED COMPENSATION</w:t>
      </w:r>
    </w:p>
    <w:p>
      <w:pPr>
        <w:spacing w:after="0" w:line="27" w:lineRule="exact"/>
        <w:rPr>
          <w:sz w:val="20"/>
          <w:szCs w:val="20"/>
          <w:color w:val="auto"/>
        </w:rPr>
      </w:pPr>
    </w:p>
    <w:p>
      <w:pPr>
        <w:spacing w:after="0"/>
        <w:rPr>
          <w:sz w:val="20"/>
          <w:szCs w:val="20"/>
          <w:color w:val="auto"/>
        </w:rPr>
      </w:pPr>
      <w:r>
        <w:rPr>
          <w:rFonts w:ascii="Arial" w:cs="Arial" w:eastAsia="Arial" w:hAnsi="Arial"/>
          <w:sz w:val="41"/>
          <w:szCs w:val="41"/>
          <w:color w:val="auto"/>
        </w:rPr>
        <w:t>Effective October 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150735"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6">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0440"/>
        <w:spacing w:after="0"/>
        <w:rPr>
          <w:sz w:val="20"/>
          <w:szCs w:val="20"/>
          <w:color w:val="auto"/>
        </w:rPr>
      </w:pPr>
      <w:r>
        <w:rPr>
          <w:rFonts w:ascii="Arial" w:cs="Arial" w:eastAsia="Arial" w:hAnsi="Arial"/>
          <w:sz w:val="12"/>
          <w:szCs w:val="12"/>
          <w:color w:val="auto"/>
        </w:rPr>
        <w:t>PAGE 1 OF 6</w:t>
      </w:r>
    </w:p>
    <w:p>
      <w:pPr>
        <w:sectPr>
          <w:pgSz w:w="11900" w:h="16838" w:orient="portrait"/>
          <w:cols w:equalWidth="0" w:num="1">
            <w:col w:w="11260"/>
          </w:cols>
          <w:pgMar w:left="320" w:top="311" w:right="319" w:bottom="1440" w:gutter="0" w:footer="0" w:header="0"/>
        </w:sectPr>
      </w:pPr>
    </w:p>
    <w:bookmarkStart w:id="146" w:name="page147"/>
    <w:bookmarkEnd w:id="146"/>
    <w:p>
      <w:pPr>
        <w:ind w:left="6266"/>
        <w:spacing w:after="0"/>
        <w:rPr>
          <w:sz w:val="20"/>
          <w:szCs w:val="20"/>
          <w:color w:val="auto"/>
        </w:rPr>
      </w:pPr>
      <w:r>
        <w:rPr>
          <w:rFonts w:ascii="Arial" w:cs="Arial" w:eastAsia="Arial" w:hAnsi="Arial"/>
          <w:sz w:val="14"/>
          <w:szCs w:val="14"/>
          <w:color w:val="auto"/>
        </w:rPr>
        <w:t>POLICY FOR RECOVERY OF ERRONEOUSLY AWARDED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0735"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7">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66"/>
        <w:spacing w:after="0"/>
        <w:rPr>
          <w:sz w:val="20"/>
          <w:szCs w:val="20"/>
          <w:color w:val="auto"/>
        </w:rPr>
      </w:pPr>
      <w:r>
        <w:rPr>
          <w:rFonts w:ascii="Arial" w:cs="Arial" w:eastAsia="Arial" w:hAnsi="Arial"/>
          <w:sz w:val="25"/>
          <w:szCs w:val="25"/>
          <w:b w:val="1"/>
          <w:bCs w:val="1"/>
          <w:color w:val="auto"/>
        </w:rPr>
        <w:t>INTRODUCTION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50735"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8">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35" w:lineRule="exact"/>
        <w:rPr>
          <w:sz w:val="20"/>
          <w:szCs w:val="20"/>
          <w:color w:val="auto"/>
        </w:rPr>
      </w:pPr>
    </w:p>
    <w:p>
      <w:pPr>
        <w:jc w:val="both"/>
        <w:ind w:left="26" w:right="40"/>
        <w:spacing w:after="0" w:line="229" w:lineRule="auto"/>
        <w:rPr>
          <w:sz w:val="20"/>
          <w:szCs w:val="20"/>
          <w:color w:val="auto"/>
        </w:rPr>
      </w:pPr>
      <w:r>
        <w:rPr>
          <w:rFonts w:ascii="Arial" w:cs="Arial" w:eastAsia="Arial" w:hAnsi="Arial"/>
          <w:sz w:val="17"/>
          <w:szCs w:val="17"/>
          <w:color w:val="auto"/>
        </w:rPr>
        <w:t>MarketWise,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has adopted this Policy for Recovery of Erroneously Awarded Compensation (the “</w:t>
      </w:r>
      <w:r>
        <w:rPr>
          <w:rFonts w:ascii="Arial" w:cs="Arial" w:eastAsia="Arial" w:hAnsi="Arial"/>
          <w:sz w:val="17"/>
          <w:szCs w:val="17"/>
          <w:b w:val="1"/>
          <w:bCs w:val="1"/>
          <w:i w:val="1"/>
          <w:iCs w:val="1"/>
          <w:color w:val="auto"/>
        </w:rPr>
        <w:t>Policy</w:t>
      </w:r>
      <w:r>
        <w:rPr>
          <w:rFonts w:ascii="Arial" w:cs="Arial" w:eastAsia="Arial" w:hAnsi="Arial"/>
          <w:sz w:val="17"/>
          <w:szCs w:val="17"/>
          <w:color w:val="auto"/>
        </w:rPr>
        <w:t>”), effective as of October 2, 2023 (the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Capitalized terms used in this Policy but not otherwise defined herein are defined in Section 1.</w:t>
      </w:r>
    </w:p>
    <w:p>
      <w:pPr>
        <w:spacing w:after="0" w:line="1" w:lineRule="exact"/>
        <w:rPr>
          <w:sz w:val="20"/>
          <w:szCs w:val="20"/>
          <w:color w:val="auto"/>
        </w:rPr>
      </w:pPr>
    </w:p>
    <w:p>
      <w:pPr>
        <w:ind w:left="66"/>
        <w:spacing w:after="0"/>
        <w:rPr>
          <w:sz w:val="20"/>
          <w:szCs w:val="20"/>
          <w:color w:val="auto"/>
        </w:rPr>
      </w:pPr>
      <w:r>
        <w:rPr>
          <w:rFonts w:ascii="Arial" w:cs="Arial" w:eastAsia="Arial" w:hAnsi="Arial"/>
          <w:sz w:val="25"/>
          <w:szCs w:val="25"/>
          <w:b w:val="1"/>
          <w:bCs w:val="1"/>
          <w:color w:val="auto"/>
        </w:rPr>
        <w:t>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wp:posOffset>
            </wp:positionV>
            <wp:extent cx="7150735"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9">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9" w:lineRule="exact"/>
        <w:rPr>
          <w:sz w:val="20"/>
          <w:szCs w:val="20"/>
          <w:color w:val="auto"/>
        </w:rPr>
      </w:pPr>
    </w:p>
    <w:p>
      <w:pPr>
        <w:jc w:val="both"/>
        <w:ind w:left="26" w:right="40"/>
        <w:spacing w:after="0" w:line="229" w:lineRule="auto"/>
        <w:rPr>
          <w:sz w:val="20"/>
          <w:szCs w:val="20"/>
          <w:color w:val="auto"/>
        </w:rPr>
      </w:pPr>
      <w:r>
        <w:rPr>
          <w:rFonts w:ascii="Arial" w:cs="Arial" w:eastAsia="Arial" w:hAnsi="Arial"/>
          <w:sz w:val="17"/>
          <w:szCs w:val="17"/>
          <w:color w:val="auto"/>
        </w:rPr>
        <w:t xml:space="preserve">The purpose of this Policy is to describe certain circumstances in which Officers will be required to repay or return Erroneously Awarded Compensation to the Company. Each Officer shall be required to sign and return to the Company the Acknowledgement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pursuant to which such Officer shall acknowledge that he or she shall be bound by the terms and comply with this Policy.</w:t>
      </w:r>
    </w:p>
    <w:p>
      <w:pPr>
        <w:spacing w:after="0" w:line="233" w:lineRule="exact"/>
        <w:rPr>
          <w:sz w:val="20"/>
          <w:szCs w:val="20"/>
          <w:color w:val="auto"/>
        </w:rPr>
      </w:pPr>
    </w:p>
    <w:p>
      <w:pPr>
        <w:ind w:left="486" w:hanging="486"/>
        <w:spacing w:after="0"/>
        <w:tabs>
          <w:tab w:leader="none" w:pos="486" w:val="left"/>
        </w:tabs>
        <w:numPr>
          <w:ilvl w:val="0"/>
          <w:numId w:val="54"/>
        </w:numPr>
        <w:rPr>
          <w:rFonts w:ascii="Arial" w:cs="Arial" w:eastAsia="Arial" w:hAnsi="Arial"/>
          <w:sz w:val="25"/>
          <w:szCs w:val="25"/>
          <w:b w:val="1"/>
          <w:bCs w:val="1"/>
          <w:color w:val="auto"/>
        </w:rPr>
      </w:pPr>
      <w:r>
        <w:rPr>
          <w:rFonts w:ascii="Arial" w:cs="Arial" w:eastAsia="Arial" w:hAnsi="Arial"/>
          <w:sz w:val="25"/>
          <w:szCs w:val="25"/>
          <w:b w:val="1"/>
          <w:bCs w:val="1"/>
          <w:color w:val="auto"/>
        </w:rPr>
        <w:t>DEFINITIONS</w:t>
      </w:r>
    </w:p>
    <w:p>
      <w:pPr>
        <w:spacing w:after="0" w:line="187" w:lineRule="exact"/>
        <w:rPr>
          <w:sz w:val="20"/>
          <w:szCs w:val="20"/>
          <w:color w:val="auto"/>
        </w:rPr>
      </w:pPr>
    </w:p>
    <w:p>
      <w:pPr>
        <w:ind w:left="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Applicable Rules</w:t>
      </w:r>
      <w:r>
        <w:rPr>
          <w:rFonts w:ascii="Arial" w:cs="Arial" w:eastAsia="Arial" w:hAnsi="Arial"/>
          <w:sz w:val="17"/>
          <w:szCs w:val="17"/>
          <w:color w:val="auto"/>
        </w:rPr>
        <w:t>” means Section 10D of the Exchange Act, Rule 10D-1 promulgated thereunder, the listing rules of the national securities</w:t>
      </w:r>
    </w:p>
    <w:p>
      <w:pPr>
        <w:ind w:left="6"/>
        <w:spacing w:after="0" w:line="235" w:lineRule="auto"/>
        <w:rPr>
          <w:sz w:val="20"/>
          <w:szCs w:val="20"/>
          <w:color w:val="auto"/>
        </w:rPr>
      </w:pPr>
      <w:r>
        <w:rPr>
          <w:rFonts w:ascii="Arial" w:cs="Arial" w:eastAsia="Arial" w:hAnsi="Arial"/>
          <w:sz w:val="17"/>
          <w:szCs w:val="17"/>
          <w:color w:val="auto"/>
        </w:rPr>
        <w:t>exchange or association on which the Company’s securities are listed, and any applicable rules, standards or other guidance adopted by the Securities and Exchange Commission (“</w:t>
      </w:r>
      <w:r>
        <w:rPr>
          <w:rFonts w:ascii="Arial" w:cs="Arial" w:eastAsia="Arial" w:hAnsi="Arial"/>
          <w:sz w:val="17"/>
          <w:szCs w:val="17"/>
          <w:b w:val="1"/>
          <w:bCs w:val="1"/>
          <w:i w:val="1"/>
          <w:iCs w:val="1"/>
          <w:color w:val="auto"/>
        </w:rPr>
        <w:t>SEC</w:t>
      </w:r>
      <w:r>
        <w:rPr>
          <w:rFonts w:ascii="Arial" w:cs="Arial" w:eastAsia="Arial" w:hAnsi="Arial"/>
          <w:sz w:val="17"/>
          <w:szCs w:val="17"/>
          <w:color w:val="auto"/>
        </w:rPr>
        <w:t>”) or any national securities exchange or association on which the Company’s securities are listed.</w:t>
      </w:r>
    </w:p>
    <w:p>
      <w:pPr>
        <w:spacing w:after="0" w:line="151" w:lineRule="exact"/>
        <w:rPr>
          <w:sz w:val="20"/>
          <w:szCs w:val="20"/>
          <w:color w:val="auto"/>
        </w:rPr>
      </w:pPr>
    </w:p>
    <w:p>
      <w:pPr>
        <w:ind w:left="6" w:right="20"/>
        <w:spacing w:after="0" w:line="25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spacing w:after="0" w:line="141" w:lineRule="exact"/>
        <w:rPr>
          <w:sz w:val="20"/>
          <w:szCs w:val="20"/>
          <w:color w:val="auto"/>
        </w:rPr>
      </w:pPr>
    </w:p>
    <w:p>
      <w:pPr>
        <w:ind w:left="6" w:right="20"/>
        <w:spacing w:after="0" w:line="22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Erroneously Awarded Compensation</w:t>
      </w:r>
      <w:r>
        <w:rPr>
          <w:rFonts w:ascii="Arial" w:cs="Arial" w:eastAsia="Arial" w:hAnsi="Arial"/>
          <w:sz w:val="17"/>
          <w:szCs w:val="17"/>
          <w:color w:val="auto"/>
        </w:rPr>
        <w:t>” means the amount of Incentive-Based Compensation received by a current or former Officer that exceeds the amount of Incentive-Based Compensation that would have been received by such current or former Officer based on a restated Financial</w:t>
      </w:r>
    </w:p>
    <w:p>
      <w:pPr>
        <w:ind w:left="6"/>
        <w:spacing w:after="0" w:line="208" w:lineRule="auto"/>
        <w:rPr>
          <w:sz w:val="20"/>
          <w:szCs w:val="20"/>
          <w:color w:val="auto"/>
        </w:rPr>
      </w:pPr>
      <w:r>
        <w:rPr>
          <w:rFonts w:ascii="Arial" w:cs="Arial" w:eastAsia="Arial" w:hAnsi="Arial"/>
          <w:sz w:val="17"/>
          <w:szCs w:val="17"/>
          <w:color w:val="auto"/>
        </w:rPr>
        <w:t>Reporting Measure, as determined on a pre-tax basis in accordance with the Applicable Rules; provided, however, that for Incentive-Based Compensation based on stock price or total shareholder return, where the amount of Erroneously Awarded Compensation is not subject to</w:t>
      </w:r>
    </w:p>
    <w:p>
      <w:pPr>
        <w:ind w:left="6"/>
        <w:spacing w:after="0" w:line="215" w:lineRule="auto"/>
        <w:rPr>
          <w:sz w:val="20"/>
          <w:szCs w:val="20"/>
          <w:color w:val="auto"/>
        </w:rPr>
      </w:pPr>
      <w:r>
        <w:rPr>
          <w:rFonts w:ascii="Arial" w:cs="Arial" w:eastAsia="Arial" w:hAnsi="Arial"/>
          <w:sz w:val="17"/>
          <w:szCs w:val="17"/>
          <w:color w:val="auto"/>
        </w:rPr>
        <w:t>mathematical recalculation directly from the information in a Restatement: (i) the amount of Erroneously Awarded Compensation must be based on</w:t>
      </w:r>
    </w:p>
    <w:p>
      <w:pPr>
        <w:spacing w:after="0" w:line="1" w:lineRule="exact"/>
        <w:rPr>
          <w:sz w:val="20"/>
          <w:szCs w:val="20"/>
          <w:color w:val="auto"/>
        </w:rPr>
      </w:pPr>
    </w:p>
    <w:p>
      <w:pPr>
        <w:ind w:left="6"/>
        <w:spacing w:after="0" w:line="208" w:lineRule="auto"/>
        <w:rPr>
          <w:sz w:val="20"/>
          <w:szCs w:val="20"/>
          <w:color w:val="auto"/>
        </w:rPr>
      </w:pPr>
      <w:r>
        <w:rPr>
          <w:rFonts w:ascii="Arial" w:cs="Arial" w:eastAsia="Arial" w:hAnsi="Arial"/>
          <w:sz w:val="17"/>
          <w:szCs w:val="17"/>
          <w:color w:val="auto"/>
        </w:rPr>
        <w:t>a reasonable estimate of the effect of the Restatement on the stock price or total shareholder return measure upon which the Incentive-Based Compensation was received; and (ii) the Company must maintain documentation of the determination of that reasonable estimate and provide such</w:t>
      </w:r>
    </w:p>
    <w:p>
      <w:pPr>
        <w:ind w:left="6"/>
        <w:spacing w:after="0"/>
        <w:rPr>
          <w:sz w:val="20"/>
          <w:szCs w:val="20"/>
          <w:color w:val="auto"/>
        </w:rPr>
      </w:pPr>
      <w:r>
        <w:rPr>
          <w:rFonts w:ascii="Arial" w:cs="Arial" w:eastAsia="Arial" w:hAnsi="Arial"/>
          <w:sz w:val="17"/>
          <w:szCs w:val="17"/>
          <w:color w:val="auto"/>
        </w:rPr>
        <w:t>documentation to the stock exchange.</w:t>
      </w:r>
    </w:p>
    <w:p>
      <w:pPr>
        <w:spacing w:after="0" w:line="174" w:lineRule="exact"/>
        <w:rPr>
          <w:sz w:val="20"/>
          <w:szCs w:val="20"/>
          <w:color w:val="auto"/>
        </w:rPr>
      </w:pPr>
    </w:p>
    <w:p>
      <w:pPr>
        <w:ind w:left="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w:t>
      </w:r>
    </w:p>
    <w:p>
      <w:pPr>
        <w:spacing w:after="0" w:line="179" w:lineRule="exact"/>
        <w:rPr>
          <w:sz w:val="20"/>
          <w:szCs w:val="20"/>
          <w:color w:val="auto"/>
        </w:rPr>
      </w:pPr>
    </w:p>
    <w:p>
      <w:pPr>
        <w:ind w:left="6"/>
        <w:spacing w:after="0" w:line="22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Financial Reporting Measure</w:t>
      </w:r>
      <w:r>
        <w:rPr>
          <w:rFonts w:ascii="Arial" w:cs="Arial" w:eastAsia="Arial" w:hAnsi="Arial"/>
          <w:sz w:val="17"/>
          <w:szCs w:val="17"/>
          <w:color w:val="auto"/>
        </w:rPr>
        <w:t>” means any measure determined and presented in accordance with the accounting principles used in preparing the Company’s financial statements, and any measures derived wholly or in part from such measures, including GAAP, IFRS and non-GAAP/IFRS</w:t>
      </w:r>
    </w:p>
    <w:p>
      <w:pPr>
        <w:ind w:left="6" w:right="20"/>
        <w:spacing w:after="0" w:line="228" w:lineRule="auto"/>
        <w:rPr>
          <w:sz w:val="20"/>
          <w:szCs w:val="20"/>
          <w:color w:val="auto"/>
        </w:rPr>
      </w:pPr>
      <w:r>
        <w:rPr>
          <w:rFonts w:ascii="Arial" w:cs="Arial" w:eastAsia="Arial" w:hAnsi="Arial"/>
          <w:sz w:val="17"/>
          <w:szCs w:val="17"/>
          <w:color w:val="auto"/>
        </w:rPr>
        <w:t>financial measures, as well as stock or share price and total shareholder return. For the avoidance of doubt, a Financial Reporting Measure need not be presented in the Company’s financial statements or included in a filing with the SEC.</w:t>
      </w:r>
    </w:p>
    <w:p>
      <w:pPr>
        <w:spacing w:after="0" w:line="162" w:lineRule="exact"/>
        <w:rPr>
          <w:sz w:val="20"/>
          <w:szCs w:val="20"/>
          <w:color w:val="auto"/>
        </w:rPr>
      </w:pPr>
    </w:p>
    <w:p>
      <w:pPr>
        <w:ind w:left="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GAAP</w:t>
      </w:r>
      <w:r>
        <w:rPr>
          <w:rFonts w:ascii="Arial" w:cs="Arial" w:eastAsia="Arial" w:hAnsi="Arial"/>
          <w:sz w:val="17"/>
          <w:szCs w:val="17"/>
          <w:color w:val="auto"/>
        </w:rPr>
        <w:t>” means United States generally accepted accounting principles.</w:t>
      </w:r>
    </w:p>
    <w:p>
      <w:pPr>
        <w:spacing w:after="0" w:line="190" w:lineRule="exact"/>
        <w:rPr>
          <w:sz w:val="20"/>
          <w:szCs w:val="20"/>
          <w:color w:val="auto"/>
        </w:rPr>
      </w:pPr>
    </w:p>
    <w:p>
      <w:pPr>
        <w:ind w:left="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IFRS</w:t>
      </w:r>
      <w:r>
        <w:rPr>
          <w:rFonts w:ascii="Arial" w:cs="Arial" w:eastAsia="Arial" w:hAnsi="Arial"/>
          <w:sz w:val="17"/>
          <w:szCs w:val="17"/>
          <w:color w:val="auto"/>
        </w:rPr>
        <w:t>” means international financial reporting standards as adopted by the International Accounting Standards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393065</wp:posOffset>
            </wp:positionV>
            <wp:extent cx="7150735"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0">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446"/>
        <w:spacing w:after="0"/>
        <w:rPr>
          <w:sz w:val="20"/>
          <w:szCs w:val="20"/>
          <w:color w:val="auto"/>
        </w:rPr>
      </w:pPr>
      <w:r>
        <w:rPr>
          <w:rFonts w:ascii="Arial" w:cs="Arial" w:eastAsia="Arial" w:hAnsi="Arial"/>
          <w:sz w:val="12"/>
          <w:szCs w:val="12"/>
          <w:color w:val="auto"/>
        </w:rPr>
        <w:t>PAGE 2 OF 6</w:t>
      </w:r>
    </w:p>
    <w:p>
      <w:pPr>
        <w:sectPr>
          <w:pgSz w:w="11900" w:h="16838" w:orient="portrait"/>
          <w:cols w:equalWidth="0" w:num="1">
            <w:col w:w="11266"/>
          </w:cols>
          <w:pgMar w:left="314" w:top="162" w:right="319" w:bottom="1440" w:gutter="0" w:footer="0" w:header="0"/>
        </w:sectPr>
      </w:pPr>
    </w:p>
    <w:bookmarkStart w:id="147" w:name="page148"/>
    <w:bookmarkEnd w:id="147"/>
    <w:p>
      <w:pPr>
        <w:ind w:left="6266"/>
        <w:spacing w:after="0"/>
        <w:rPr>
          <w:sz w:val="20"/>
          <w:szCs w:val="20"/>
          <w:color w:val="auto"/>
        </w:rPr>
      </w:pPr>
      <w:r>
        <w:rPr>
          <w:rFonts w:ascii="Arial" w:cs="Arial" w:eastAsia="Arial" w:hAnsi="Arial"/>
          <w:sz w:val="14"/>
          <w:szCs w:val="14"/>
          <w:color w:val="auto"/>
        </w:rPr>
        <w:t>POLICY FOR RECOVERY OF ERRONEOUSLY AWARDED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0735"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1">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6"/>
        <w:spacing w:after="0" w:line="22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Impracticable</w:t>
      </w:r>
      <w:r>
        <w:rPr>
          <w:rFonts w:ascii="Arial" w:cs="Arial" w:eastAsia="Arial" w:hAnsi="Arial"/>
          <w:sz w:val="17"/>
          <w:szCs w:val="17"/>
          <w:color w:val="auto"/>
        </w:rPr>
        <w:t>” means (a) the direct costs paid to third parties to assist in enforcing recovery would exceed the Erroneously Awarded Compensation; provided that the Company (i) has made reasonable attempts to recover the Erroneously Awarded Compensation, (ii) documented</w:t>
      </w:r>
    </w:p>
    <w:p>
      <w:pPr>
        <w:ind w:left="6"/>
        <w:spacing w:after="0" w:line="208" w:lineRule="auto"/>
        <w:rPr>
          <w:sz w:val="20"/>
          <w:szCs w:val="20"/>
          <w:color w:val="auto"/>
        </w:rPr>
      </w:pPr>
      <w:r>
        <w:rPr>
          <w:rFonts w:ascii="Arial" w:cs="Arial" w:eastAsia="Arial" w:hAnsi="Arial"/>
          <w:sz w:val="17"/>
          <w:szCs w:val="17"/>
          <w:color w:val="auto"/>
        </w:rPr>
        <w:t>such attempt(s), and (iii) provided such documentation to the relevant listing exchange or association, (b) to the extent permitted by the Applicable Rules, the recovery would violate the Company’s home country laws pursuant to an opinion of home country counsel; provided that the Company</w:t>
      </w:r>
    </w:p>
    <w:p>
      <w:pPr>
        <w:ind w:left="6"/>
        <w:spacing w:after="0" w:line="208" w:lineRule="auto"/>
        <w:rPr>
          <w:sz w:val="20"/>
          <w:szCs w:val="20"/>
          <w:color w:val="auto"/>
        </w:rPr>
      </w:pPr>
      <w:r>
        <w:rPr>
          <w:rFonts w:ascii="Arial" w:cs="Arial" w:eastAsia="Arial" w:hAnsi="Arial"/>
          <w:sz w:val="17"/>
          <w:szCs w:val="17"/>
          <w:color w:val="auto"/>
        </w:rPr>
        <w:t>has (i) obtained an opinion of home country counsel, acceptable to the relevant listing exchange or association, that recovery would result in such violation, and (ii) provided such opinion to the relevant listing exchange or association, or (c) recovery would likely cause an otherwise tax-qualified</w:t>
      </w:r>
    </w:p>
    <w:p>
      <w:pPr>
        <w:ind w:left="6" w:right="20"/>
        <w:spacing w:after="0" w:line="236" w:lineRule="auto"/>
        <w:rPr>
          <w:sz w:val="20"/>
          <w:szCs w:val="20"/>
          <w:color w:val="auto"/>
        </w:rPr>
      </w:pPr>
      <w:r>
        <w:rPr>
          <w:rFonts w:ascii="Arial" w:cs="Arial" w:eastAsia="Arial" w:hAnsi="Arial"/>
          <w:sz w:val="17"/>
          <w:szCs w:val="17"/>
          <w:color w:val="auto"/>
        </w:rPr>
        <w:t>retirement plan, under which benefits are broadly available to employees of the Company, to fail to meet the requirements of 26 U.S.C. 401(a)(13) or 26 U.S.C. 411(a) and the regulations thereunder.</w:t>
      </w:r>
    </w:p>
    <w:p>
      <w:pPr>
        <w:spacing w:after="0" w:line="149" w:lineRule="exact"/>
        <w:rPr>
          <w:sz w:val="20"/>
          <w:szCs w:val="20"/>
          <w:color w:val="auto"/>
        </w:rPr>
      </w:pPr>
    </w:p>
    <w:p>
      <w:pPr>
        <w:ind w:left="6"/>
        <w:spacing w:after="0" w:line="22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Incentive-Based Compensation</w:t>
      </w:r>
      <w:r>
        <w:rPr>
          <w:rFonts w:ascii="Arial" w:cs="Arial" w:eastAsia="Arial" w:hAnsi="Arial"/>
          <w:sz w:val="17"/>
          <w:szCs w:val="17"/>
          <w:color w:val="auto"/>
        </w:rPr>
        <w:t>” means, with respect to a Restatement, any compensation that is granted, earned, or vested based wholly or in part upon the attainment of one or more Financial Reporting Measures and received by a person: (a) after beginning service as an Officer; (b) who</w:t>
      </w:r>
    </w:p>
    <w:p>
      <w:pPr>
        <w:ind w:left="6"/>
        <w:spacing w:after="0" w:line="228" w:lineRule="auto"/>
        <w:rPr>
          <w:sz w:val="20"/>
          <w:szCs w:val="20"/>
          <w:color w:val="auto"/>
        </w:rPr>
      </w:pPr>
      <w:r>
        <w:rPr>
          <w:rFonts w:ascii="Arial" w:cs="Arial" w:eastAsia="Arial" w:hAnsi="Arial"/>
          <w:sz w:val="17"/>
          <w:szCs w:val="17"/>
          <w:color w:val="auto"/>
        </w:rPr>
        <w:t>served as an Officer at any time during the performance period for that compensation; (c) while the issuer has a class of its securities listed on a national securities exchange or association; and (d) during the applicable Three-Year Period.</w:t>
      </w:r>
    </w:p>
    <w:p>
      <w:pPr>
        <w:spacing w:after="0" w:line="162" w:lineRule="exact"/>
        <w:rPr>
          <w:sz w:val="20"/>
          <w:szCs w:val="20"/>
          <w:color w:val="auto"/>
        </w:rPr>
      </w:pPr>
    </w:p>
    <w:p>
      <w:pPr>
        <w:ind w:left="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Officer</w:t>
      </w:r>
      <w:r>
        <w:rPr>
          <w:rFonts w:ascii="Arial" w:cs="Arial" w:eastAsia="Arial" w:hAnsi="Arial"/>
          <w:sz w:val="17"/>
          <w:szCs w:val="17"/>
          <w:color w:val="auto"/>
        </w:rPr>
        <w:t>” means each person who serves as an executive officer of the Company, as defined in Rule 10D-1(d) under the Exchange Act.</w:t>
      </w:r>
    </w:p>
    <w:p>
      <w:pPr>
        <w:spacing w:after="0" w:line="190" w:lineRule="exact"/>
        <w:rPr>
          <w:sz w:val="20"/>
          <w:szCs w:val="20"/>
          <w:color w:val="auto"/>
        </w:rPr>
      </w:pPr>
    </w:p>
    <w:p>
      <w:pPr>
        <w:ind w:left="6"/>
        <w:spacing w:after="0" w:line="21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Restatement</w:t>
      </w:r>
      <w:r>
        <w:rPr>
          <w:rFonts w:ascii="Arial" w:cs="Arial" w:eastAsia="Arial" w:hAnsi="Arial"/>
          <w:sz w:val="17"/>
          <w:szCs w:val="17"/>
          <w:color w:val="auto"/>
        </w:rPr>
        <w:t>” means an accounting restatement to correct the Company’s material noncompliance with any financial reporting requirement under securities laws, including restatements that correct an error in previously issued financial statements (a) that is material to the previously issued</w:t>
      </w:r>
    </w:p>
    <w:p>
      <w:pPr>
        <w:ind w:left="6"/>
        <w:spacing w:after="0" w:line="236" w:lineRule="auto"/>
        <w:rPr>
          <w:sz w:val="20"/>
          <w:szCs w:val="20"/>
          <w:color w:val="auto"/>
        </w:rPr>
      </w:pPr>
      <w:r>
        <w:rPr>
          <w:rFonts w:ascii="Arial" w:cs="Arial" w:eastAsia="Arial" w:hAnsi="Arial"/>
          <w:sz w:val="17"/>
          <w:szCs w:val="17"/>
          <w:color w:val="auto"/>
        </w:rPr>
        <w:t>financial statements or (b) that would result in a material misstatement if the error were corrected in the current period or left uncorrected in the current period.</w:t>
      </w:r>
    </w:p>
    <w:p>
      <w:pPr>
        <w:spacing w:after="0" w:line="149" w:lineRule="exact"/>
        <w:rPr>
          <w:sz w:val="20"/>
          <w:szCs w:val="20"/>
          <w:color w:val="auto"/>
        </w:rPr>
      </w:pPr>
    </w:p>
    <w:p>
      <w:pPr>
        <w:ind w:left="6"/>
        <w:spacing w:after="0" w:line="22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Three-Year Period</w:t>
      </w:r>
      <w:r>
        <w:rPr>
          <w:rFonts w:ascii="Arial" w:cs="Arial" w:eastAsia="Arial" w:hAnsi="Arial"/>
          <w:sz w:val="17"/>
          <w:szCs w:val="17"/>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w:t>
      </w:r>
    </w:p>
    <w:p>
      <w:pPr>
        <w:ind w:left="6"/>
        <w:spacing w:after="0" w:line="208" w:lineRule="auto"/>
        <w:rPr>
          <w:sz w:val="20"/>
          <w:szCs w:val="20"/>
          <w:color w:val="auto"/>
        </w:rPr>
      </w:pPr>
      <w:r>
        <w:rPr>
          <w:rFonts w:ascii="Arial" w:cs="Arial" w:eastAsia="Arial" w:hAnsi="Arial"/>
          <w:sz w:val="17"/>
          <w:szCs w:val="17"/>
          <w:color w:val="auto"/>
        </w:rPr>
        <w:t>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w:t>
      </w:r>
    </w:p>
    <w:p>
      <w:pPr>
        <w:ind w:left="6"/>
        <w:spacing w:after="0" w:line="215" w:lineRule="auto"/>
        <w:rPr>
          <w:sz w:val="20"/>
          <w:szCs w:val="20"/>
          <w:color w:val="auto"/>
        </w:rPr>
      </w:pPr>
      <w:r>
        <w:rPr>
          <w:rFonts w:ascii="Arial" w:cs="Arial" w:eastAsia="Arial" w:hAnsi="Arial"/>
          <w:sz w:val="17"/>
          <w:szCs w:val="17"/>
          <w:color w:val="auto"/>
        </w:rPr>
        <w:t>results from a change in the Company’s fiscal year) within or immediately following the three completed fiscal years identified in the preceding</w:t>
      </w:r>
    </w:p>
    <w:p>
      <w:pPr>
        <w:spacing w:after="0" w:line="1" w:lineRule="exact"/>
        <w:rPr>
          <w:sz w:val="20"/>
          <w:szCs w:val="20"/>
          <w:color w:val="auto"/>
        </w:rPr>
      </w:pPr>
    </w:p>
    <w:p>
      <w:pPr>
        <w:ind w:left="6"/>
        <w:spacing w:after="0" w:line="228" w:lineRule="auto"/>
        <w:rPr>
          <w:sz w:val="20"/>
          <w:szCs w:val="20"/>
          <w:color w:val="auto"/>
        </w:rPr>
      </w:pPr>
      <w:r>
        <w:rPr>
          <w:rFonts w:ascii="Arial" w:cs="Arial" w:eastAsia="Arial" w:hAnsi="Arial"/>
          <w:sz w:val="17"/>
          <w:szCs w:val="17"/>
          <w:color w:val="auto"/>
        </w:rPr>
        <w:t>sentence. However, a transition period between the last day of the Company’s previous fiscal year end and the first day of its new fiscal year that comprises a period of nine to 12 months shall be deemed a completed fiscal year.</w:t>
      </w:r>
    </w:p>
    <w:p>
      <w:pPr>
        <w:spacing w:after="0" w:line="140" w:lineRule="exact"/>
        <w:rPr>
          <w:sz w:val="20"/>
          <w:szCs w:val="20"/>
          <w:color w:val="auto"/>
        </w:rPr>
      </w:pPr>
    </w:p>
    <w:p>
      <w:pPr>
        <w:ind w:left="486" w:hanging="486"/>
        <w:spacing w:after="0"/>
        <w:tabs>
          <w:tab w:leader="none" w:pos="486" w:val="left"/>
        </w:tabs>
        <w:numPr>
          <w:ilvl w:val="0"/>
          <w:numId w:val="55"/>
        </w:numPr>
        <w:rPr>
          <w:rFonts w:ascii="Arial" w:cs="Arial" w:eastAsia="Arial" w:hAnsi="Arial"/>
          <w:sz w:val="25"/>
          <w:szCs w:val="25"/>
          <w:b w:val="1"/>
          <w:bCs w:val="1"/>
          <w:color w:val="auto"/>
        </w:rPr>
      </w:pPr>
      <w:r>
        <w:rPr>
          <w:rFonts w:ascii="Arial" w:cs="Arial" w:eastAsia="Arial" w:hAnsi="Arial"/>
          <w:sz w:val="25"/>
          <w:szCs w:val="25"/>
          <w:b w:val="1"/>
          <w:bCs w:val="1"/>
          <w:color w:val="auto"/>
        </w:rPr>
        <w:t>PERSONS SUBJECT TO POLICY</w:t>
      </w:r>
    </w:p>
    <w:p>
      <w:pPr>
        <w:spacing w:after="0" w:line="191" w:lineRule="exact"/>
        <w:rPr>
          <w:sz w:val="20"/>
          <w:szCs w:val="20"/>
          <w:color w:val="auto"/>
        </w:rPr>
      </w:pPr>
    </w:p>
    <w:p>
      <w:pPr>
        <w:ind w:left="6"/>
        <w:spacing w:after="0"/>
        <w:rPr>
          <w:sz w:val="20"/>
          <w:szCs w:val="20"/>
          <w:color w:val="auto"/>
        </w:rPr>
      </w:pPr>
      <w:r>
        <w:rPr>
          <w:rFonts w:ascii="Arial" w:cs="Arial" w:eastAsia="Arial" w:hAnsi="Arial"/>
          <w:sz w:val="17"/>
          <w:szCs w:val="17"/>
          <w:color w:val="auto"/>
        </w:rPr>
        <w:t>This Policy shall apply to current and former Officers of the Company.</w:t>
      </w:r>
    </w:p>
    <w:p>
      <w:pPr>
        <w:spacing w:after="0" w:line="168" w:lineRule="exact"/>
        <w:rPr>
          <w:sz w:val="20"/>
          <w:szCs w:val="20"/>
          <w:color w:val="auto"/>
        </w:rPr>
      </w:pPr>
    </w:p>
    <w:p>
      <w:pPr>
        <w:ind w:left="486" w:hanging="486"/>
        <w:spacing w:after="0"/>
        <w:tabs>
          <w:tab w:leader="none" w:pos="486" w:val="left"/>
        </w:tabs>
        <w:numPr>
          <w:ilvl w:val="0"/>
          <w:numId w:val="56"/>
        </w:numPr>
        <w:rPr>
          <w:rFonts w:ascii="Arial" w:cs="Arial" w:eastAsia="Arial" w:hAnsi="Arial"/>
          <w:sz w:val="25"/>
          <w:szCs w:val="25"/>
          <w:b w:val="1"/>
          <w:bCs w:val="1"/>
          <w:color w:val="auto"/>
        </w:rPr>
      </w:pPr>
      <w:r>
        <w:rPr>
          <w:rFonts w:ascii="Arial" w:cs="Arial" w:eastAsia="Arial" w:hAnsi="Arial"/>
          <w:sz w:val="25"/>
          <w:szCs w:val="25"/>
          <w:b w:val="1"/>
          <w:bCs w:val="1"/>
          <w:color w:val="auto"/>
        </w:rPr>
        <w:t>COMPENSATION SUBJECT TO POLICY</w:t>
      </w:r>
    </w:p>
    <w:p>
      <w:pPr>
        <w:spacing w:after="0" w:line="191" w:lineRule="exact"/>
        <w:rPr>
          <w:sz w:val="20"/>
          <w:szCs w:val="20"/>
          <w:color w:val="auto"/>
        </w:rPr>
      </w:pPr>
    </w:p>
    <w:p>
      <w:pPr>
        <w:ind w:left="6"/>
        <w:spacing w:after="0" w:line="225" w:lineRule="auto"/>
        <w:rPr>
          <w:sz w:val="20"/>
          <w:szCs w:val="20"/>
          <w:color w:val="auto"/>
        </w:rPr>
      </w:pPr>
      <w:r>
        <w:rPr>
          <w:rFonts w:ascii="Arial" w:cs="Arial" w:eastAsia="Arial" w:hAnsi="Arial"/>
          <w:sz w:val="17"/>
          <w:szCs w:val="17"/>
          <w:color w:val="auto"/>
        </w:rPr>
        <w:t>This Policy shall apply to Incentive-Based Compensation received on or after the Effective Date. For purposes of this Policy, the date on which Incentive-Based Compensation is “received” shall be determined under the Applicable Rules, which generally provide that Incentive-Based</w:t>
      </w:r>
    </w:p>
    <w:p>
      <w:pPr>
        <w:ind w:left="6" w:right="20"/>
        <w:spacing w:after="0" w:line="228" w:lineRule="auto"/>
        <w:rPr>
          <w:sz w:val="20"/>
          <w:szCs w:val="20"/>
          <w:color w:val="auto"/>
        </w:rPr>
      </w:pPr>
      <w:r>
        <w:rPr>
          <w:rFonts w:ascii="Arial" w:cs="Arial" w:eastAsia="Arial" w:hAnsi="Arial"/>
          <w:sz w:val="17"/>
          <w:szCs w:val="17"/>
          <w:color w:val="auto"/>
        </w:rPr>
        <w:t>Compensation is “received” in the fiscal period during which the relevant Financial Reporting Measure is attained or satisfied, without regard to whether the grant, vesting or payment of the Incentive-Based Compensation occurs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241300</wp:posOffset>
            </wp:positionV>
            <wp:extent cx="7150735"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2">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376" w:lineRule="exact"/>
        <w:rPr>
          <w:sz w:val="20"/>
          <w:szCs w:val="20"/>
          <w:color w:val="auto"/>
        </w:rPr>
      </w:pPr>
    </w:p>
    <w:p>
      <w:pPr>
        <w:ind w:left="10446"/>
        <w:spacing w:after="0"/>
        <w:rPr>
          <w:sz w:val="20"/>
          <w:szCs w:val="20"/>
          <w:color w:val="auto"/>
        </w:rPr>
      </w:pPr>
      <w:r>
        <w:rPr>
          <w:rFonts w:ascii="Arial" w:cs="Arial" w:eastAsia="Arial" w:hAnsi="Arial"/>
          <w:sz w:val="12"/>
          <w:szCs w:val="12"/>
          <w:color w:val="auto"/>
        </w:rPr>
        <w:t>PAGE 3 OF 6</w:t>
      </w:r>
    </w:p>
    <w:p>
      <w:pPr>
        <w:sectPr>
          <w:pgSz w:w="11900" w:h="16838" w:orient="portrait"/>
          <w:cols w:equalWidth="0" w:num="1">
            <w:col w:w="11266"/>
          </w:cols>
          <w:pgMar w:left="314" w:top="162" w:right="319" w:bottom="1440" w:gutter="0" w:footer="0" w:header="0"/>
        </w:sectPr>
      </w:pPr>
    </w:p>
    <w:bookmarkStart w:id="148" w:name="page149"/>
    <w:bookmarkEnd w:id="148"/>
    <w:p>
      <w:pPr>
        <w:ind w:left="6266"/>
        <w:spacing w:after="0"/>
        <w:rPr>
          <w:sz w:val="20"/>
          <w:szCs w:val="20"/>
          <w:color w:val="auto"/>
        </w:rPr>
      </w:pPr>
      <w:r>
        <w:rPr>
          <w:rFonts w:ascii="Arial" w:cs="Arial" w:eastAsia="Arial" w:hAnsi="Arial"/>
          <w:sz w:val="14"/>
          <w:szCs w:val="14"/>
          <w:color w:val="auto"/>
        </w:rPr>
        <w:t>POLICY FOR RECOVERY OF ERRONEOUSLY AWARDED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0735"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3">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86" w:hanging="486"/>
        <w:spacing w:after="0"/>
        <w:tabs>
          <w:tab w:leader="none" w:pos="486" w:val="left"/>
        </w:tabs>
        <w:numPr>
          <w:ilvl w:val="0"/>
          <w:numId w:val="57"/>
        </w:numPr>
        <w:rPr>
          <w:rFonts w:ascii="Arial" w:cs="Arial" w:eastAsia="Arial" w:hAnsi="Arial"/>
          <w:sz w:val="25"/>
          <w:szCs w:val="25"/>
          <w:b w:val="1"/>
          <w:bCs w:val="1"/>
          <w:color w:val="auto"/>
        </w:rPr>
      </w:pPr>
      <w:r>
        <w:rPr>
          <w:rFonts w:ascii="Arial" w:cs="Arial" w:eastAsia="Arial" w:hAnsi="Arial"/>
          <w:sz w:val="25"/>
          <w:szCs w:val="25"/>
          <w:b w:val="1"/>
          <w:bCs w:val="1"/>
          <w:color w:val="auto"/>
        </w:rPr>
        <w:t>RECOVERY OF COMPENSATION</w:t>
      </w:r>
    </w:p>
    <w:p>
      <w:pPr>
        <w:spacing w:after="0" w:line="202" w:lineRule="exact"/>
        <w:rPr>
          <w:sz w:val="20"/>
          <w:szCs w:val="20"/>
          <w:color w:val="auto"/>
        </w:rPr>
      </w:pPr>
    </w:p>
    <w:p>
      <w:pPr>
        <w:jc w:val="both"/>
        <w:ind w:left="6"/>
        <w:spacing w:after="0" w:line="218" w:lineRule="auto"/>
        <w:rPr>
          <w:sz w:val="20"/>
          <w:szCs w:val="20"/>
          <w:color w:val="auto"/>
        </w:rPr>
      </w:pPr>
      <w:r>
        <w:rPr>
          <w:rFonts w:ascii="Arial" w:cs="Arial" w:eastAsia="Arial" w:hAnsi="Arial"/>
          <w:sz w:val="17"/>
          <w:szCs w:val="17"/>
          <w:color w:val="auto"/>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w:t>
      </w:r>
    </w:p>
    <w:p>
      <w:pPr>
        <w:ind w:left="6"/>
        <w:spacing w:after="0" w:line="208" w:lineRule="auto"/>
        <w:rPr>
          <w:sz w:val="20"/>
          <w:szCs w:val="20"/>
          <w:color w:val="auto"/>
        </w:rPr>
      </w:pPr>
      <w:r>
        <w:rPr>
          <w:rFonts w:ascii="Arial" w:cs="Arial" w:eastAsia="Arial" w:hAnsi="Arial"/>
          <w:sz w:val="17"/>
          <w:szCs w:val="17"/>
          <w:color w:val="auto"/>
        </w:rPr>
        <w:t>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w:t>
      </w:r>
    </w:p>
    <w:p>
      <w:pPr>
        <w:ind w:left="6"/>
        <w:spacing w:after="0" w:line="215" w:lineRule="auto"/>
        <w:rPr>
          <w:sz w:val="20"/>
          <w:szCs w:val="20"/>
          <w:color w:val="auto"/>
        </w:rPr>
      </w:pPr>
      <w:r>
        <w:rPr>
          <w:rFonts w:ascii="Arial" w:cs="Arial" w:eastAsia="Arial" w:hAnsi="Arial"/>
          <w:sz w:val="17"/>
          <w:szCs w:val="17"/>
          <w:color w:val="auto"/>
        </w:rPr>
        <w:t>the Company. For clarity, the recovery of Erroneously Awarded Compensation under this Policy will not give rise to any Officer’s right to voluntarily</w:t>
      </w:r>
    </w:p>
    <w:p>
      <w:pPr>
        <w:spacing w:after="0" w:line="1" w:lineRule="exact"/>
        <w:rPr>
          <w:sz w:val="20"/>
          <w:szCs w:val="20"/>
          <w:color w:val="auto"/>
        </w:rPr>
      </w:pPr>
    </w:p>
    <w:p>
      <w:pPr>
        <w:ind w:left="6" w:right="20"/>
        <w:spacing w:after="0" w:line="228" w:lineRule="auto"/>
        <w:rPr>
          <w:sz w:val="20"/>
          <w:szCs w:val="20"/>
          <w:color w:val="auto"/>
        </w:rPr>
      </w:pPr>
      <w:r>
        <w:rPr>
          <w:rFonts w:ascii="Arial" w:cs="Arial" w:eastAsia="Arial" w:hAnsi="Arial"/>
          <w:sz w:val="17"/>
          <w:szCs w:val="17"/>
          <w:color w:val="auto"/>
        </w:rPr>
        <w:t>terminate employment for “good reason,” or due to a “constructive termination” (or any similar term of like effect) under any plan, program or policy of or agreement with the Company or any of its affiliates.</w:t>
      </w:r>
    </w:p>
    <w:p>
      <w:pPr>
        <w:spacing w:after="0" w:line="140" w:lineRule="exact"/>
        <w:rPr>
          <w:sz w:val="20"/>
          <w:szCs w:val="20"/>
          <w:color w:val="auto"/>
        </w:rPr>
      </w:pPr>
    </w:p>
    <w:p>
      <w:pPr>
        <w:ind w:left="486" w:hanging="486"/>
        <w:spacing w:after="0"/>
        <w:tabs>
          <w:tab w:leader="none" w:pos="486" w:val="left"/>
        </w:tabs>
        <w:numPr>
          <w:ilvl w:val="0"/>
          <w:numId w:val="58"/>
        </w:numPr>
        <w:rPr>
          <w:rFonts w:ascii="Arial" w:cs="Arial" w:eastAsia="Arial" w:hAnsi="Arial"/>
          <w:sz w:val="25"/>
          <w:szCs w:val="25"/>
          <w:b w:val="1"/>
          <w:bCs w:val="1"/>
          <w:color w:val="auto"/>
        </w:rPr>
      </w:pPr>
      <w:r>
        <w:rPr>
          <w:rFonts w:ascii="Arial" w:cs="Arial" w:eastAsia="Arial" w:hAnsi="Arial"/>
          <w:sz w:val="25"/>
          <w:szCs w:val="25"/>
          <w:b w:val="1"/>
          <w:bCs w:val="1"/>
          <w:color w:val="auto"/>
        </w:rPr>
        <w:t>MANNER OF RECOVERY; LIMITATION ON DUPLICATIVE RECOVERY</w:t>
      </w:r>
    </w:p>
    <w:p>
      <w:pPr>
        <w:spacing w:after="0" w:line="191" w:lineRule="exact"/>
        <w:rPr>
          <w:sz w:val="20"/>
          <w:szCs w:val="20"/>
          <w:color w:val="auto"/>
        </w:rPr>
      </w:pPr>
    </w:p>
    <w:p>
      <w:pPr>
        <w:ind w:left="6"/>
        <w:spacing w:after="0" w:line="225" w:lineRule="auto"/>
        <w:rPr>
          <w:sz w:val="20"/>
          <w:szCs w:val="20"/>
          <w:color w:val="auto"/>
        </w:rPr>
      </w:pPr>
      <w:r>
        <w:rPr>
          <w:rFonts w:ascii="Arial" w:cs="Arial" w:eastAsia="Arial" w:hAnsi="Arial"/>
          <w:sz w:val="17"/>
          <w:szCs w:val="17"/>
          <w:color w:val="auto"/>
        </w:rPr>
        <w:t>The Committee shall, in its sole discretion, determine the manner of recovery of any Erroneously Awarded Compensation, which may include, without limitation, reduction or cancellation by the Company or an affiliate of the Company of Incentive-Based Compensation or Erroneously</w:t>
      </w:r>
    </w:p>
    <w:p>
      <w:pPr>
        <w:ind w:left="6" w:right="20"/>
        <w:spacing w:after="0" w:line="208" w:lineRule="auto"/>
        <w:rPr>
          <w:sz w:val="20"/>
          <w:szCs w:val="20"/>
          <w:color w:val="auto"/>
        </w:rPr>
      </w:pPr>
      <w:r>
        <w:rPr>
          <w:rFonts w:ascii="Arial" w:cs="Arial" w:eastAsia="Arial" w:hAnsi="Arial"/>
          <w:sz w:val="17"/>
          <w:szCs w:val="17"/>
          <w:color w:val="auto"/>
        </w:rPr>
        <w:t>Awarded Compensation, reimbursement or repayment by any person subject to this Policy of the Erroneously Awarded Compensation, and, to the extent permitted by law, an offset of the Erroneously Awarded Compensation against other compensation payable by the Company or an affiliate of</w:t>
      </w:r>
    </w:p>
    <w:p>
      <w:pPr>
        <w:ind w:left="6"/>
        <w:spacing w:after="0" w:line="215" w:lineRule="auto"/>
        <w:rPr>
          <w:sz w:val="20"/>
          <w:szCs w:val="20"/>
          <w:color w:val="auto"/>
        </w:rPr>
      </w:pPr>
      <w:r>
        <w:rPr>
          <w:rFonts w:ascii="Arial" w:cs="Arial" w:eastAsia="Arial" w:hAnsi="Arial"/>
          <w:sz w:val="17"/>
          <w:szCs w:val="17"/>
          <w:color w:val="auto"/>
        </w:rPr>
        <w:t>the Company to such person. The applicable Officer may be required to reimburse the Company for any and all expenses reasonably incurred</w:t>
      </w:r>
    </w:p>
    <w:p>
      <w:pPr>
        <w:spacing w:after="0" w:line="1" w:lineRule="exact"/>
        <w:rPr>
          <w:sz w:val="20"/>
          <w:szCs w:val="20"/>
          <w:color w:val="auto"/>
        </w:rPr>
      </w:pPr>
    </w:p>
    <w:p>
      <w:pPr>
        <w:ind w:left="6" w:right="20"/>
        <w:spacing w:after="0" w:line="228" w:lineRule="auto"/>
        <w:rPr>
          <w:sz w:val="20"/>
          <w:szCs w:val="20"/>
          <w:color w:val="auto"/>
        </w:rPr>
      </w:pPr>
      <w:r>
        <w:rPr>
          <w:rFonts w:ascii="Arial" w:cs="Arial" w:eastAsia="Arial" w:hAnsi="Arial"/>
          <w:sz w:val="17"/>
          <w:szCs w:val="17"/>
          <w:color w:val="auto"/>
        </w:rPr>
        <w:t>(including legal fees) by the Company in recovering such Erroneously Awarded Compensation in accordance with the immediately preceding sentence.</w:t>
      </w:r>
    </w:p>
    <w:p>
      <w:pPr>
        <w:spacing w:after="0" w:line="158" w:lineRule="exact"/>
        <w:rPr>
          <w:sz w:val="20"/>
          <w:szCs w:val="20"/>
          <w:color w:val="auto"/>
        </w:rPr>
      </w:pPr>
    </w:p>
    <w:p>
      <w:pPr>
        <w:ind w:left="6"/>
        <w:spacing w:after="0"/>
        <w:rPr>
          <w:sz w:val="20"/>
          <w:szCs w:val="20"/>
          <w:color w:val="auto"/>
        </w:rPr>
      </w:pPr>
      <w:r>
        <w:rPr>
          <w:rFonts w:ascii="Arial" w:cs="Arial" w:eastAsia="Arial" w:hAnsi="Arial"/>
          <w:sz w:val="17"/>
          <w:szCs w:val="17"/>
          <w:color w:val="auto"/>
        </w:rPr>
        <w:t>Notwithstanding the foregoing, unless otherwise prohibited by the Applicable Rules, to the extent this Policy provides for recovery of Erroneously</w:t>
      </w:r>
    </w:p>
    <w:p>
      <w:pPr>
        <w:ind w:left="6" w:right="20"/>
        <w:spacing w:after="0" w:line="208" w:lineRule="auto"/>
        <w:rPr>
          <w:sz w:val="20"/>
          <w:szCs w:val="20"/>
          <w:color w:val="auto"/>
        </w:rPr>
      </w:pPr>
      <w:r>
        <w:rPr>
          <w:rFonts w:ascii="Arial" w:cs="Arial" w:eastAsia="Arial" w:hAnsi="Arial"/>
          <w:sz w:val="17"/>
          <w:szCs w:val="17"/>
          <w:color w:val="auto"/>
        </w:rPr>
        <w:t>Awarded Compensation already recovered by the Company pursuant to Section 304 of the Sarbanes-Oxley Act of 2002 or Other Recovery Arrangements, the amount of Erroneously Awarded Compensation already recovered by the Company from the recipient of such Erroneously</w:t>
      </w:r>
    </w:p>
    <w:p>
      <w:pPr>
        <w:ind w:left="6" w:right="20"/>
        <w:spacing w:after="0" w:line="236" w:lineRule="auto"/>
        <w:rPr>
          <w:sz w:val="20"/>
          <w:szCs w:val="20"/>
          <w:color w:val="auto"/>
        </w:rPr>
      </w:pPr>
      <w:r>
        <w:rPr>
          <w:rFonts w:ascii="Arial" w:cs="Arial" w:eastAsia="Arial" w:hAnsi="Arial"/>
          <w:sz w:val="17"/>
          <w:szCs w:val="17"/>
          <w:color w:val="auto"/>
        </w:rPr>
        <w:t>Awarded Compensation may be credited to the amount of Erroneously Awarded Compensation required to be recovered pursuant to this Policy from such person.</w:t>
      </w:r>
    </w:p>
    <w:p>
      <w:pPr>
        <w:spacing w:after="0" w:line="127" w:lineRule="exact"/>
        <w:rPr>
          <w:sz w:val="20"/>
          <w:szCs w:val="20"/>
          <w:color w:val="auto"/>
        </w:rPr>
      </w:pPr>
    </w:p>
    <w:p>
      <w:pPr>
        <w:ind w:left="466" w:hanging="466"/>
        <w:spacing w:after="0"/>
        <w:tabs>
          <w:tab w:leader="none" w:pos="466" w:val="left"/>
        </w:tabs>
        <w:numPr>
          <w:ilvl w:val="0"/>
          <w:numId w:val="59"/>
        </w:numPr>
        <w:rPr>
          <w:rFonts w:ascii="Arial" w:cs="Arial" w:eastAsia="Arial" w:hAnsi="Arial"/>
          <w:sz w:val="25"/>
          <w:szCs w:val="25"/>
          <w:b w:val="1"/>
          <w:bCs w:val="1"/>
          <w:color w:val="auto"/>
        </w:rPr>
      </w:pPr>
      <w:r>
        <w:rPr>
          <w:rFonts w:ascii="Arial" w:cs="Arial" w:eastAsia="Arial" w:hAnsi="Arial"/>
          <w:sz w:val="25"/>
          <w:szCs w:val="25"/>
          <w:b w:val="1"/>
          <w:bCs w:val="1"/>
          <w:color w:val="auto"/>
        </w:rPr>
        <w:t>ADMINISTRATION</w:t>
      </w:r>
    </w:p>
    <w:p>
      <w:pPr>
        <w:spacing w:after="0" w:line="202" w:lineRule="exact"/>
        <w:rPr>
          <w:sz w:val="20"/>
          <w:szCs w:val="20"/>
          <w:color w:val="auto"/>
        </w:rPr>
      </w:pPr>
    </w:p>
    <w:p>
      <w:pPr>
        <w:jc w:val="both"/>
        <w:ind w:left="6" w:right="20"/>
        <w:spacing w:after="0" w:line="218" w:lineRule="auto"/>
        <w:rPr>
          <w:sz w:val="20"/>
          <w:szCs w:val="20"/>
          <w:color w:val="auto"/>
        </w:rPr>
      </w:pPr>
      <w:r>
        <w:rPr>
          <w:rFonts w:ascii="Arial" w:cs="Arial" w:eastAsia="Arial" w:hAnsi="Arial"/>
          <w:sz w:val="17"/>
          <w:szCs w:val="17"/>
          <w:color w:val="auto"/>
        </w:rPr>
        <w:t>This Policy shall be administered, interpreted and construed by the Committee, which is authorized to make all determinations necessary, appropriate or advisable for such purpose. The Board of Directors of the Company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may re-vest in itself the authority to administer,</w:t>
      </w:r>
    </w:p>
    <w:p>
      <w:pPr>
        <w:ind w:left="6"/>
        <w:spacing w:after="0" w:line="215" w:lineRule="auto"/>
        <w:rPr>
          <w:sz w:val="20"/>
          <w:szCs w:val="20"/>
          <w:color w:val="auto"/>
        </w:rPr>
      </w:pPr>
      <w:r>
        <w:rPr>
          <w:rFonts w:ascii="Arial" w:cs="Arial" w:eastAsia="Arial" w:hAnsi="Arial"/>
          <w:sz w:val="17"/>
          <w:szCs w:val="17"/>
          <w:color w:val="auto"/>
        </w:rPr>
        <w:t>interpret and construe this Policy in accordance with applicable law, and in such event references herein to the “Committee” shall be deemed to be</w:t>
      </w:r>
    </w:p>
    <w:p>
      <w:pPr>
        <w:ind w:left="6"/>
        <w:spacing w:after="0" w:line="208" w:lineRule="auto"/>
        <w:rPr>
          <w:sz w:val="20"/>
          <w:szCs w:val="20"/>
          <w:color w:val="auto"/>
        </w:rPr>
      </w:pPr>
      <w:r>
        <w:rPr>
          <w:rFonts w:ascii="Arial" w:cs="Arial" w:eastAsia="Arial" w:hAnsi="Arial"/>
          <w:sz w:val="17"/>
          <w:szCs w:val="17"/>
          <w:color w:val="auto"/>
        </w:rPr>
        <w:t>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w:t>
      </w:r>
    </w:p>
    <w:p>
      <w:pPr>
        <w:ind w:left="6"/>
        <w:spacing w:after="0" w:line="236" w:lineRule="auto"/>
        <w:rPr>
          <w:sz w:val="20"/>
          <w:szCs w:val="20"/>
          <w:color w:val="auto"/>
        </w:rPr>
      </w:pPr>
      <w:r>
        <w:rPr>
          <w:rFonts w:ascii="Arial" w:cs="Arial" w:eastAsia="Arial" w:hAnsi="Arial"/>
          <w:sz w:val="17"/>
          <w:szCs w:val="17"/>
          <w:color w:val="auto"/>
        </w:rPr>
        <w:t>persons, including the Company and its affiliates, equityholders, and employees. The Committee may delegate administrative duties with respect to this Policy to one or more directors or employees of the Company, as permitted under applicable law, including any Applicable Rules.</w:t>
      </w:r>
    </w:p>
    <w:p>
      <w:pPr>
        <w:spacing w:after="0" w:line="127" w:lineRule="exact"/>
        <w:rPr>
          <w:sz w:val="20"/>
          <w:szCs w:val="20"/>
          <w:color w:val="auto"/>
        </w:rPr>
      </w:pPr>
    </w:p>
    <w:p>
      <w:pPr>
        <w:ind w:left="486" w:hanging="486"/>
        <w:spacing w:after="0"/>
        <w:tabs>
          <w:tab w:leader="none" w:pos="486" w:val="left"/>
        </w:tabs>
        <w:numPr>
          <w:ilvl w:val="0"/>
          <w:numId w:val="60"/>
        </w:numPr>
        <w:rPr>
          <w:rFonts w:ascii="Arial" w:cs="Arial" w:eastAsia="Arial" w:hAnsi="Arial"/>
          <w:sz w:val="25"/>
          <w:szCs w:val="25"/>
          <w:b w:val="1"/>
          <w:bCs w:val="1"/>
          <w:color w:val="auto"/>
        </w:rPr>
      </w:pPr>
      <w:r>
        <w:rPr>
          <w:rFonts w:ascii="Arial" w:cs="Arial" w:eastAsia="Arial" w:hAnsi="Arial"/>
          <w:sz w:val="25"/>
          <w:szCs w:val="25"/>
          <w:b w:val="1"/>
          <w:bCs w:val="1"/>
          <w:color w:val="auto"/>
        </w:rPr>
        <w:t>INTERPRETATION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266700</wp:posOffset>
            </wp:positionV>
            <wp:extent cx="7150735"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4">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10446"/>
        <w:spacing w:after="0"/>
        <w:rPr>
          <w:sz w:val="20"/>
          <w:szCs w:val="20"/>
          <w:color w:val="auto"/>
        </w:rPr>
      </w:pPr>
      <w:r>
        <w:rPr>
          <w:rFonts w:ascii="Arial" w:cs="Arial" w:eastAsia="Arial" w:hAnsi="Arial"/>
          <w:sz w:val="12"/>
          <w:szCs w:val="12"/>
          <w:color w:val="auto"/>
        </w:rPr>
        <w:t>PAGE 4 OF 6</w:t>
      </w:r>
    </w:p>
    <w:p>
      <w:pPr>
        <w:sectPr>
          <w:pgSz w:w="11900" w:h="16838" w:orient="portrait"/>
          <w:cols w:equalWidth="0" w:num="1">
            <w:col w:w="11266"/>
          </w:cols>
          <w:pgMar w:left="314" w:top="162" w:right="319" w:bottom="1440" w:gutter="0" w:footer="0" w:header="0"/>
        </w:sectPr>
      </w:pPr>
    </w:p>
    <w:bookmarkStart w:id="149" w:name="page150"/>
    <w:bookmarkEnd w:id="149"/>
    <w:p>
      <w:pPr>
        <w:ind w:left="6266"/>
        <w:spacing w:after="0"/>
        <w:rPr>
          <w:sz w:val="20"/>
          <w:szCs w:val="20"/>
          <w:color w:val="auto"/>
        </w:rPr>
      </w:pPr>
      <w:r>
        <w:rPr>
          <w:rFonts w:ascii="Arial" w:cs="Arial" w:eastAsia="Arial" w:hAnsi="Arial"/>
          <w:sz w:val="14"/>
          <w:szCs w:val="14"/>
          <w:color w:val="auto"/>
        </w:rPr>
        <w:t>POLICY FOR RECOVERY OF ERRONEOUSLY AWARDED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0735"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5">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6"/>
        <w:spacing w:after="0" w:line="251" w:lineRule="auto"/>
        <w:rPr>
          <w:sz w:val="20"/>
          <w:szCs w:val="20"/>
          <w:color w:val="auto"/>
        </w:rPr>
      </w:pPr>
      <w:r>
        <w:rPr>
          <w:rFonts w:ascii="Arial" w:cs="Arial" w:eastAsia="Arial" w:hAnsi="Arial"/>
          <w:sz w:val="17"/>
          <w:szCs w:val="17"/>
          <w:color w:val="auto"/>
        </w:rPr>
        <w:t>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spacing w:after="0" w:line="130" w:lineRule="exact"/>
        <w:rPr>
          <w:sz w:val="20"/>
          <w:szCs w:val="20"/>
          <w:color w:val="auto"/>
        </w:rPr>
      </w:pPr>
    </w:p>
    <w:p>
      <w:pPr>
        <w:ind w:left="486" w:hanging="486"/>
        <w:spacing w:after="0"/>
        <w:tabs>
          <w:tab w:leader="none" w:pos="486" w:val="left"/>
        </w:tabs>
        <w:numPr>
          <w:ilvl w:val="0"/>
          <w:numId w:val="61"/>
        </w:numPr>
        <w:rPr>
          <w:rFonts w:ascii="Arial" w:cs="Arial" w:eastAsia="Arial" w:hAnsi="Arial"/>
          <w:sz w:val="25"/>
          <w:szCs w:val="25"/>
          <w:b w:val="1"/>
          <w:bCs w:val="1"/>
          <w:color w:val="auto"/>
        </w:rPr>
      </w:pPr>
      <w:r>
        <w:rPr>
          <w:rFonts w:ascii="Arial" w:cs="Arial" w:eastAsia="Arial" w:hAnsi="Arial"/>
          <w:sz w:val="25"/>
          <w:szCs w:val="25"/>
          <w:b w:val="1"/>
          <w:bCs w:val="1"/>
          <w:color w:val="auto"/>
        </w:rPr>
        <w:t>NO INDEMNIFICATION; NO LIABILITY</w:t>
      </w:r>
    </w:p>
    <w:p>
      <w:pPr>
        <w:spacing w:after="0" w:line="191" w:lineRule="exact"/>
        <w:rPr>
          <w:sz w:val="20"/>
          <w:szCs w:val="20"/>
          <w:color w:val="auto"/>
        </w:rPr>
      </w:pPr>
    </w:p>
    <w:p>
      <w:pPr>
        <w:ind w:left="6"/>
        <w:spacing w:after="0" w:line="218" w:lineRule="auto"/>
        <w:rPr>
          <w:sz w:val="20"/>
          <w:szCs w:val="20"/>
          <w:color w:val="auto"/>
        </w:rPr>
      </w:pPr>
      <w:r>
        <w:rPr>
          <w:rFonts w:ascii="Arial" w:cs="Arial" w:eastAsia="Arial" w:hAnsi="Arial"/>
          <w:sz w:val="17"/>
          <w:szCs w:val="17"/>
          <w:color w:val="auto"/>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w:t>
      </w:r>
    </w:p>
    <w:p>
      <w:pPr>
        <w:ind w:left="6"/>
        <w:spacing w:after="0" w:line="236" w:lineRule="auto"/>
        <w:rPr>
          <w:sz w:val="20"/>
          <w:szCs w:val="20"/>
          <w:color w:val="auto"/>
        </w:rPr>
      </w:pPr>
      <w:r>
        <w:rPr>
          <w:rFonts w:ascii="Arial" w:cs="Arial" w:eastAsia="Arial" w:hAnsi="Arial"/>
          <w:sz w:val="17"/>
          <w:szCs w:val="17"/>
          <w:color w:val="auto"/>
        </w:rPr>
        <w:t>purchase to fund such person’s potential obligations under this Policy. None of the Company, an affiliate of the Company or any member of the Committee or the Board shall have any liability to any person as a result of actions taken under this Policy.</w:t>
      </w:r>
    </w:p>
    <w:p>
      <w:pPr>
        <w:spacing w:after="0" w:line="127" w:lineRule="exact"/>
        <w:rPr>
          <w:sz w:val="20"/>
          <w:szCs w:val="20"/>
          <w:color w:val="auto"/>
        </w:rPr>
      </w:pPr>
    </w:p>
    <w:p>
      <w:pPr>
        <w:ind w:left="466" w:hanging="466"/>
        <w:spacing w:after="0"/>
        <w:tabs>
          <w:tab w:leader="none" w:pos="466" w:val="left"/>
        </w:tabs>
        <w:numPr>
          <w:ilvl w:val="0"/>
          <w:numId w:val="62"/>
        </w:numPr>
        <w:rPr>
          <w:rFonts w:ascii="Arial" w:cs="Arial" w:eastAsia="Arial" w:hAnsi="Arial"/>
          <w:sz w:val="25"/>
          <w:szCs w:val="25"/>
          <w:b w:val="1"/>
          <w:bCs w:val="1"/>
          <w:color w:val="auto"/>
        </w:rPr>
      </w:pPr>
      <w:r>
        <w:rPr>
          <w:rFonts w:ascii="Arial" w:cs="Arial" w:eastAsia="Arial" w:hAnsi="Arial"/>
          <w:sz w:val="25"/>
          <w:szCs w:val="25"/>
          <w:b w:val="1"/>
          <w:bCs w:val="1"/>
          <w:color w:val="auto"/>
        </w:rPr>
        <w:t>APPLICATION; ENFORCEABILITY</w:t>
      </w:r>
    </w:p>
    <w:p>
      <w:pPr>
        <w:spacing w:after="0" w:line="202" w:lineRule="exact"/>
        <w:rPr>
          <w:sz w:val="20"/>
          <w:szCs w:val="20"/>
          <w:color w:val="auto"/>
        </w:rPr>
      </w:pPr>
    </w:p>
    <w:p>
      <w:pPr>
        <w:ind w:left="6"/>
        <w:spacing w:after="0" w:line="218" w:lineRule="auto"/>
        <w:rPr>
          <w:sz w:val="20"/>
          <w:szCs w:val="20"/>
          <w:color w:val="auto"/>
        </w:rPr>
      </w:pPr>
      <w:r>
        <w:rPr>
          <w:rFonts w:ascii="Arial" w:cs="Arial" w:eastAsia="Arial" w:hAnsi="Arial"/>
          <w:sz w:val="17"/>
          <w:szCs w:val="17"/>
          <w:color w:val="auto"/>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w:t>
      </w:r>
    </w:p>
    <w:p>
      <w:pPr>
        <w:ind w:left="6"/>
        <w:spacing w:after="0" w:line="215" w:lineRule="auto"/>
        <w:rPr>
          <w:sz w:val="20"/>
          <w:szCs w:val="20"/>
          <w:color w:val="auto"/>
        </w:rPr>
      </w:pPr>
      <w:r>
        <w:rPr>
          <w:rFonts w:ascii="Arial" w:cs="Arial" w:eastAsia="Arial" w:hAnsi="Arial"/>
          <w:sz w:val="17"/>
          <w:szCs w:val="17"/>
          <w:color w:val="auto"/>
        </w:rPr>
        <w:t>such effect contained in any employment agreement, bonus plan, incentive plan, equity-based plan or award agreement thereunder or similar plan,</w:t>
      </w:r>
    </w:p>
    <w:p>
      <w:pPr>
        <w:ind w:left="6"/>
        <w:spacing w:after="0" w:line="208" w:lineRule="auto"/>
        <w:rPr>
          <w:sz w:val="20"/>
          <w:szCs w:val="20"/>
          <w:color w:val="auto"/>
        </w:rPr>
      </w:pPr>
      <w:r>
        <w:rPr>
          <w:rFonts w:ascii="Arial" w:cs="Arial" w:eastAsia="Arial" w:hAnsi="Arial"/>
          <w:sz w:val="17"/>
          <w:szCs w:val="17"/>
          <w:color w:val="auto"/>
        </w:rPr>
        <w:t>program or agreement of the Company or an affiliate or required under applicable law (the “</w:t>
      </w:r>
      <w:r>
        <w:rPr>
          <w:rFonts w:ascii="Arial" w:cs="Arial" w:eastAsia="Arial" w:hAnsi="Arial"/>
          <w:sz w:val="17"/>
          <w:szCs w:val="17"/>
          <w:b w:val="1"/>
          <w:bCs w:val="1"/>
          <w:i w:val="1"/>
          <w:iCs w:val="1"/>
          <w:color w:val="auto"/>
        </w:rPr>
        <w:t>Other Recovery Arrangements</w:t>
      </w:r>
      <w:r>
        <w:rPr>
          <w:rFonts w:ascii="Arial" w:cs="Arial" w:eastAsia="Arial" w:hAnsi="Arial"/>
          <w:sz w:val="17"/>
          <w:szCs w:val="17"/>
          <w:color w:val="auto"/>
        </w:rPr>
        <w:t>”). The remedy specified in this Policy shall not be exclusive and shall be in addition to every other right or remedy at law or in equity that may be available to the Company or</w:t>
      </w:r>
    </w:p>
    <w:p>
      <w:pPr>
        <w:ind w:left="6"/>
        <w:spacing w:after="0"/>
        <w:rPr>
          <w:sz w:val="20"/>
          <w:szCs w:val="20"/>
          <w:color w:val="auto"/>
        </w:rPr>
      </w:pPr>
      <w:r>
        <w:rPr>
          <w:rFonts w:ascii="Arial" w:cs="Arial" w:eastAsia="Arial" w:hAnsi="Arial"/>
          <w:sz w:val="17"/>
          <w:szCs w:val="17"/>
          <w:color w:val="auto"/>
        </w:rPr>
        <w:t>an affiliate of the Company.</w:t>
      </w:r>
    </w:p>
    <w:p>
      <w:pPr>
        <w:spacing w:after="0" w:line="152" w:lineRule="exact"/>
        <w:rPr>
          <w:sz w:val="20"/>
          <w:szCs w:val="20"/>
          <w:color w:val="auto"/>
        </w:rPr>
      </w:pPr>
    </w:p>
    <w:p>
      <w:pPr>
        <w:ind w:left="626" w:hanging="626"/>
        <w:spacing w:after="0"/>
        <w:tabs>
          <w:tab w:leader="none" w:pos="626" w:val="left"/>
        </w:tabs>
        <w:numPr>
          <w:ilvl w:val="0"/>
          <w:numId w:val="63"/>
        </w:numPr>
        <w:rPr>
          <w:rFonts w:ascii="Arial" w:cs="Arial" w:eastAsia="Arial" w:hAnsi="Arial"/>
          <w:sz w:val="25"/>
          <w:szCs w:val="25"/>
          <w:b w:val="1"/>
          <w:bCs w:val="1"/>
          <w:color w:val="auto"/>
        </w:rPr>
      </w:pPr>
      <w:r>
        <w:rPr>
          <w:rFonts w:ascii="Arial" w:cs="Arial" w:eastAsia="Arial" w:hAnsi="Arial"/>
          <w:sz w:val="25"/>
          <w:szCs w:val="25"/>
          <w:b w:val="1"/>
          <w:bCs w:val="1"/>
          <w:color w:val="auto"/>
        </w:rPr>
        <w:t>SEVERABILITY</w:t>
      </w:r>
    </w:p>
    <w:p>
      <w:pPr>
        <w:spacing w:after="0" w:line="187" w:lineRule="exact"/>
        <w:rPr>
          <w:sz w:val="20"/>
          <w:szCs w:val="20"/>
          <w:color w:val="auto"/>
        </w:rPr>
      </w:pPr>
    </w:p>
    <w:p>
      <w:pPr>
        <w:ind w:left="6"/>
        <w:spacing w:after="0"/>
        <w:rPr>
          <w:sz w:val="20"/>
          <w:szCs w:val="20"/>
          <w:color w:val="auto"/>
        </w:rPr>
      </w:pPr>
      <w:r>
        <w:rPr>
          <w:rFonts w:ascii="Arial" w:cs="Arial" w:eastAsia="Arial" w:hAnsi="Arial"/>
          <w:sz w:val="17"/>
          <w:szCs w:val="17"/>
          <w:color w:val="auto"/>
        </w:rPr>
        <w:t>The provisions in this Policy are intended to be applied to the fullest extent of the law; provided, however, to the extent that any provision of this</w:t>
      </w:r>
    </w:p>
    <w:p>
      <w:pPr>
        <w:ind w:left="6"/>
        <w:spacing w:after="0" w:line="208" w:lineRule="auto"/>
        <w:rPr>
          <w:sz w:val="20"/>
          <w:szCs w:val="20"/>
          <w:color w:val="auto"/>
        </w:rPr>
      </w:pPr>
      <w:r>
        <w:rPr>
          <w:rFonts w:ascii="Arial" w:cs="Arial" w:eastAsia="Arial" w:hAnsi="Arial"/>
          <w:sz w:val="17"/>
          <w:szCs w:val="17"/>
          <w:color w:val="auto"/>
        </w:rPr>
        <w:t>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w:t>
      </w:r>
    </w:p>
    <w:p>
      <w:pPr>
        <w:ind w:left="6"/>
        <w:spacing w:after="0"/>
        <w:rPr>
          <w:sz w:val="20"/>
          <w:szCs w:val="20"/>
          <w:color w:val="auto"/>
        </w:rPr>
      </w:pPr>
      <w:r>
        <w:rPr>
          <w:rFonts w:ascii="Arial" w:cs="Arial" w:eastAsia="Arial" w:hAnsi="Arial"/>
          <w:sz w:val="17"/>
          <w:szCs w:val="17"/>
          <w:color w:val="auto"/>
        </w:rPr>
        <w:t>applicable law.</w:t>
      </w:r>
    </w:p>
    <w:p>
      <w:pPr>
        <w:spacing w:after="0" w:line="152" w:lineRule="exact"/>
        <w:rPr>
          <w:sz w:val="20"/>
          <w:szCs w:val="20"/>
          <w:color w:val="auto"/>
        </w:rPr>
      </w:pPr>
    </w:p>
    <w:p>
      <w:pPr>
        <w:ind w:left="606" w:hanging="606"/>
        <w:spacing w:after="0"/>
        <w:tabs>
          <w:tab w:leader="none" w:pos="606" w:val="left"/>
        </w:tabs>
        <w:numPr>
          <w:ilvl w:val="0"/>
          <w:numId w:val="64"/>
        </w:numPr>
        <w:rPr>
          <w:rFonts w:ascii="Arial" w:cs="Arial" w:eastAsia="Arial" w:hAnsi="Arial"/>
          <w:sz w:val="25"/>
          <w:szCs w:val="25"/>
          <w:b w:val="1"/>
          <w:bCs w:val="1"/>
          <w:color w:val="auto"/>
        </w:rPr>
      </w:pPr>
      <w:r>
        <w:rPr>
          <w:rFonts w:ascii="Arial" w:cs="Arial" w:eastAsia="Arial" w:hAnsi="Arial"/>
          <w:sz w:val="25"/>
          <w:szCs w:val="25"/>
          <w:b w:val="1"/>
          <w:bCs w:val="1"/>
          <w:color w:val="auto"/>
        </w:rPr>
        <w:t>AMENDMENT AND TERMINATION</w:t>
      </w:r>
    </w:p>
    <w:p>
      <w:pPr>
        <w:spacing w:after="0" w:line="187" w:lineRule="exact"/>
        <w:rPr>
          <w:sz w:val="20"/>
          <w:szCs w:val="20"/>
          <w:color w:val="auto"/>
        </w:rPr>
      </w:pPr>
    </w:p>
    <w:p>
      <w:pPr>
        <w:ind w:left="6"/>
        <w:spacing w:after="0"/>
        <w:rPr>
          <w:sz w:val="20"/>
          <w:szCs w:val="20"/>
          <w:color w:val="auto"/>
        </w:rPr>
      </w:pPr>
      <w:r>
        <w:rPr>
          <w:rFonts w:ascii="Arial" w:cs="Arial" w:eastAsia="Arial" w:hAnsi="Arial"/>
          <w:sz w:val="17"/>
          <w:szCs w:val="17"/>
          <w:color w:val="auto"/>
        </w:rPr>
        <w:t>The Board or the Committee may amend, modify or terminate this Policy in whole or in part at any time and from time to time in its sole discretion.</w:t>
      </w:r>
    </w:p>
    <w:p>
      <w:pPr>
        <w:ind w:left="6" w:right="20"/>
        <w:spacing w:after="0"/>
        <w:rPr>
          <w:sz w:val="20"/>
          <w:szCs w:val="20"/>
          <w:color w:val="auto"/>
        </w:rPr>
      </w:pPr>
      <w:r>
        <w:rPr>
          <w:rFonts w:ascii="Arial" w:cs="Arial" w:eastAsia="Arial" w:hAnsi="Arial"/>
          <w:sz w:val="17"/>
          <w:szCs w:val="17"/>
          <w:color w:val="auto"/>
        </w:rPr>
        <w:t>This Policy will terminate automatically when the Company does not have a class of securities listed on a national securities exchange or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620395</wp:posOffset>
            </wp:positionV>
            <wp:extent cx="7150735"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6">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0446"/>
        <w:spacing w:after="0"/>
        <w:rPr>
          <w:sz w:val="20"/>
          <w:szCs w:val="20"/>
          <w:color w:val="auto"/>
        </w:rPr>
      </w:pPr>
      <w:r>
        <w:rPr>
          <w:rFonts w:ascii="Arial" w:cs="Arial" w:eastAsia="Arial" w:hAnsi="Arial"/>
          <w:sz w:val="12"/>
          <w:szCs w:val="12"/>
          <w:color w:val="auto"/>
        </w:rPr>
        <w:t>PAGE 5 OF 6</w:t>
      </w:r>
    </w:p>
    <w:p>
      <w:pPr>
        <w:sectPr>
          <w:pgSz w:w="11900" w:h="16838" w:orient="portrait"/>
          <w:cols w:equalWidth="0" w:num="1">
            <w:col w:w="11266"/>
          </w:cols>
          <w:pgMar w:left="314" w:top="162" w:right="319" w:bottom="1440" w:gutter="0" w:footer="0" w:header="0"/>
        </w:sectPr>
      </w:pPr>
    </w:p>
    <w:bookmarkStart w:id="150" w:name="page151"/>
    <w:bookmarkEnd w:id="150"/>
    <w:p>
      <w:pPr>
        <w:ind w:left="6260"/>
        <w:spacing w:after="0"/>
        <w:rPr>
          <w:sz w:val="20"/>
          <w:szCs w:val="20"/>
          <w:color w:val="auto"/>
        </w:rPr>
      </w:pPr>
      <w:r>
        <w:rPr>
          <w:rFonts w:ascii="Arial" w:cs="Arial" w:eastAsia="Arial" w:hAnsi="Arial"/>
          <w:sz w:val="14"/>
          <w:szCs w:val="14"/>
          <w:color w:val="auto"/>
        </w:rPr>
        <w:t>POLICY FOR RECOVERY OF ERRONEOUSLY AWARDED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150735"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7">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Exhibit A</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MARKETWISE, INC. POLICY FOR RECOVERY OF ERRONEOUSLY AWARDED COMPENSATION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ACKNOWLEDGEMENT FORM</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By signing below, the undersigned acknowledges and confirms that the undersigned has received and reviewed a copy of the MarketWise, Inc.</w:t>
      </w:r>
    </w:p>
    <w:p>
      <w:pPr>
        <w:spacing w:after="0" w:line="235" w:lineRule="auto"/>
        <w:rPr>
          <w:sz w:val="20"/>
          <w:szCs w:val="20"/>
          <w:color w:val="auto"/>
        </w:rPr>
      </w:pPr>
      <w:r>
        <w:rPr>
          <w:rFonts w:ascii="Arial" w:cs="Arial" w:eastAsia="Arial" w:hAnsi="Arial"/>
          <w:sz w:val="17"/>
          <w:szCs w:val="17"/>
          <w:color w:val="auto"/>
        </w:rPr>
        <w:t>Policy for Recovery of Erroneously Awarded Compensation (the “</w:t>
      </w:r>
      <w:r>
        <w:rPr>
          <w:rFonts w:ascii="Arial" w:cs="Arial" w:eastAsia="Arial" w:hAnsi="Arial"/>
          <w:sz w:val="17"/>
          <w:szCs w:val="17"/>
          <w:b w:val="1"/>
          <w:bCs w:val="1"/>
          <w:i w:val="1"/>
          <w:iCs w:val="1"/>
          <w:color w:val="auto"/>
        </w:rPr>
        <w:t>Policy</w:t>
      </w:r>
      <w:r>
        <w:rPr>
          <w:rFonts w:ascii="Arial" w:cs="Arial" w:eastAsia="Arial" w:hAnsi="Arial"/>
          <w:sz w:val="17"/>
          <w:szCs w:val="17"/>
          <w:color w:val="auto"/>
        </w:rPr>
        <w:t>”). Capitalized terms used but not otherwise defined in this Acknowledgement Form (this “</w:t>
      </w:r>
      <w:r>
        <w:rPr>
          <w:rFonts w:ascii="Arial" w:cs="Arial" w:eastAsia="Arial" w:hAnsi="Arial"/>
          <w:sz w:val="17"/>
          <w:szCs w:val="17"/>
          <w:b w:val="1"/>
          <w:bCs w:val="1"/>
          <w:i w:val="1"/>
          <w:iCs w:val="1"/>
          <w:color w:val="auto"/>
        </w:rPr>
        <w:t>Acknowledgement Form</w:t>
      </w:r>
      <w:r>
        <w:rPr>
          <w:rFonts w:ascii="Arial" w:cs="Arial" w:eastAsia="Arial" w:hAnsi="Arial"/>
          <w:sz w:val="17"/>
          <w:szCs w:val="17"/>
          <w:color w:val="auto"/>
        </w:rPr>
        <w:t>”) shall have the meanings ascribed to such terms in the Policy.</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By signing this Acknowledgement Form, for good and valuable consideration, the receipt of which is acknowledged, the undersigned acknowledges</w:t>
      </w:r>
    </w:p>
    <w:p>
      <w:pPr>
        <w:ind w:right="20"/>
        <w:spacing w:after="0" w:line="208" w:lineRule="auto"/>
        <w:rPr>
          <w:sz w:val="20"/>
          <w:szCs w:val="20"/>
          <w:color w:val="auto"/>
        </w:rPr>
      </w:pPr>
      <w:r>
        <w:rPr>
          <w:rFonts w:ascii="Arial" w:cs="Arial" w:eastAsia="Arial" w:hAnsi="Arial"/>
          <w:sz w:val="17"/>
          <w:szCs w:val="17"/>
          <w:color w:val="auto"/>
        </w:rPr>
        <w:t>and agrees that the undersigned is and will continue to be subject to the Policy, that compensation received by the undersigned may be subject to reduction, cancellation, forfeiture and/or recoupment to the extent necessary to comply with the Policy, notwithstanding any other agreement to the</w:t>
      </w:r>
    </w:p>
    <w:p>
      <w:pPr>
        <w:spacing w:after="0" w:line="215" w:lineRule="auto"/>
        <w:rPr>
          <w:sz w:val="20"/>
          <w:szCs w:val="20"/>
          <w:color w:val="auto"/>
        </w:rPr>
      </w:pPr>
      <w:r>
        <w:rPr>
          <w:rFonts w:ascii="Arial" w:cs="Arial" w:eastAsia="Arial" w:hAnsi="Arial"/>
          <w:sz w:val="17"/>
          <w:szCs w:val="17"/>
          <w:color w:val="auto"/>
        </w:rPr>
        <w:t>contrary, and that the Policy will apply both during and after the undersigned’s employment with the Company as applicable. Further, by signing</w:t>
      </w:r>
    </w:p>
    <w:p>
      <w:pPr>
        <w:spacing w:after="0" w:line="1" w:lineRule="exact"/>
        <w:rPr>
          <w:sz w:val="20"/>
          <w:szCs w:val="20"/>
          <w:color w:val="auto"/>
        </w:rPr>
      </w:pPr>
    </w:p>
    <w:p>
      <w:pPr>
        <w:spacing w:after="0" w:line="228" w:lineRule="auto"/>
        <w:rPr>
          <w:sz w:val="20"/>
          <w:szCs w:val="20"/>
          <w:color w:val="auto"/>
        </w:rPr>
      </w:pPr>
      <w:r>
        <w:rPr>
          <w:rFonts w:ascii="Arial" w:cs="Arial" w:eastAsia="Arial" w:hAnsi="Arial"/>
          <w:sz w:val="17"/>
          <w:szCs w:val="17"/>
          <w:color w:val="auto"/>
        </w:rPr>
        <w:t>below, the undersigned agrees to abide by the terms of the Policy, including, without limitation, by returning any Erroneously Awarded Compensation (as defined in the Policy) to the Company to the extent required by, and in a manner permitted by, the Policy.</w:t>
      </w:r>
    </w:p>
    <w:p>
      <w:pPr>
        <w:spacing w:after="0" w:line="16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 undersigned further acknowledges and agrees that the undersigned is not entitled to indemnification in connection with any enforcement of the Policy and expressly waives any rights to such indemnification under the Company’s organizational documents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963295</wp:posOffset>
            </wp:positionH>
            <wp:positionV relativeFrom="paragraph">
              <wp:posOffset>-118745</wp:posOffset>
            </wp:positionV>
            <wp:extent cx="60452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8">
                      <a:extLst>
                        <a:ext uri="{28A0092B-C50C-407E-A947-70E740481C1C}"/>
                      </a:extLst>
                    </a:blip>
                    <a:srcRect/>
                    <a:stretch>
                      <a:fillRect/>
                    </a:stretch>
                  </pic:blipFill>
                  <pic:spPr bwMode="auto">
                    <a:xfrm>
                      <a:off x="0" y="0"/>
                      <a:ext cx="604520" cy="762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963295</wp:posOffset>
            </wp:positionH>
            <wp:positionV relativeFrom="paragraph">
              <wp:posOffset>-111125</wp:posOffset>
            </wp:positionV>
            <wp:extent cx="60452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9">
                      <a:extLst>
                        <a:ext uri="{28A0092B-C50C-407E-A947-70E740481C1C}"/>
                      </a:extLst>
                    </a:blip>
                    <a:srcRect/>
                    <a:stretch>
                      <a:fillRect/>
                    </a:stretch>
                  </pic:blipFill>
                  <pic:spPr bwMode="auto">
                    <a:xfrm>
                      <a:off x="0" y="0"/>
                      <a:ext cx="604520" cy="762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963295</wp:posOffset>
            </wp:positionH>
            <wp:positionV relativeFrom="paragraph">
              <wp:posOffset>-118745</wp:posOffset>
            </wp:positionV>
            <wp:extent cx="60452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0">
                      <a:extLst>
                        <a:ext uri="{28A0092B-C50C-407E-A947-70E740481C1C}"/>
                      </a:extLst>
                    </a:blip>
                    <a:srcRect/>
                    <a:stretch>
                      <a:fillRect/>
                    </a:stretch>
                  </pic:blipFill>
                  <pic:spPr bwMode="auto">
                    <a:xfrm>
                      <a:off x="0" y="0"/>
                      <a:ext cx="60452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660400</wp:posOffset>
            </wp:positionV>
            <wp:extent cx="7150735"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1">
                      <a:extLst>
                        <a:ext uri="{28A0092B-C50C-407E-A947-70E740481C1C}"/>
                      </a:extLst>
                    </a:blip>
                    <a:srcRect/>
                    <a:stretch>
                      <a:fillRect/>
                    </a:stretch>
                  </pic:blipFill>
                  <pic:spPr bwMode="auto">
                    <a:xfrm>
                      <a:off x="0" y="0"/>
                      <a:ext cx="715073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0440"/>
        <w:spacing w:after="0"/>
        <w:rPr>
          <w:sz w:val="20"/>
          <w:szCs w:val="20"/>
          <w:color w:val="auto"/>
        </w:rPr>
      </w:pPr>
      <w:r>
        <w:rPr>
          <w:rFonts w:ascii="Arial" w:cs="Arial" w:eastAsia="Arial" w:hAnsi="Arial"/>
          <w:sz w:val="12"/>
          <w:szCs w:val="12"/>
          <w:color w:val="auto"/>
        </w:rPr>
        <w:t>PAGE 6 OF 6</w:t>
      </w:r>
    </w:p>
    <w:sectPr>
      <w:pgSz w:w="11900" w:h="16838" w:orient="portrait"/>
      <w:cols w:equalWidth="0" w:num="1">
        <w:col w:w="11260"/>
      </w:cols>
      <w:pgMar w:left="320" w:top="16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1)"/>
      <w:numFmt w:val="decimal"/>
      <w:start w:val="1"/>
    </w:lvl>
  </w:abstractNum>
  <w:abstractNum w:abstractNumId="16">
    <w:nsid w:val="580BD78F"/>
    <w:multiLevelType w:val="hybridMultilevel"/>
    <w:lvl w:ilvl="0">
      <w:lvlJc w:val="left"/>
      <w:lvlText w:val="(%1)"/>
      <w:numFmt w:val="decimal"/>
      <w:start w:val="2"/>
    </w:lvl>
  </w:abstractNum>
  <w:abstractNum w:abstractNumId="17">
    <w:nsid w:val="153EA438"/>
    <w:multiLevelType w:val="hybridMultilevel"/>
    <w:lvl w:ilvl="0">
      <w:lvlJc w:val="left"/>
      <w:lvlText w:val="(%1)"/>
      <w:numFmt w:val="decimal"/>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1)"/>
      <w:numFmt w:val="decimal"/>
      <w:start w:val="1"/>
    </w:lvl>
  </w:abstractNum>
  <w:abstractNum w:abstractNumId="20">
    <w:nsid w:val="6A2342EC"/>
    <w:multiLevelType w:val="hybridMultilevel"/>
    <w:lvl w:ilvl="0">
      <w:lvlJc w:val="left"/>
      <w:lvlText w:val="(%1)"/>
      <w:numFmt w:val="decimal"/>
      <w:start w:val="2"/>
    </w:lvl>
  </w:abstractNum>
  <w:abstractNum w:abstractNumId="21">
    <w:nsid w:val="2A487CB0"/>
    <w:multiLevelType w:val="hybridMultilevel"/>
    <w:lvl w:ilvl="0">
      <w:lvlJc w:val="left"/>
      <w:lvlText w:val="%1."/>
      <w:numFmt w:val="decimal"/>
      <w:start w:val="1"/>
    </w:lvl>
  </w:abstractNum>
  <w:abstractNum w:abstractNumId="22">
    <w:nsid w:val="1D4ED43B"/>
    <w:multiLevelType w:val="hybridMultilevel"/>
    <w:lvl w:ilvl="0">
      <w:lvlJc w:val="left"/>
      <w:lvlText w:val="%1."/>
      <w:numFmt w:val="decimal"/>
      <w:start w:val="2"/>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1."/>
      <w:numFmt w:val="lowerLetter"/>
      <w:start w:val="1"/>
    </w:lvl>
  </w:abstractNum>
  <w:abstractNum w:abstractNumId="25">
    <w:nsid w:val="57E4CCAF"/>
    <w:multiLevelType w:val="hybridMultilevel"/>
    <w:lvl w:ilvl="0">
      <w:lvlJc w:val="left"/>
      <w:lvlText w:val="%1)"/>
      <w:numFmt w:val="decimal"/>
      <w:start w:val="1"/>
    </w:lvl>
  </w:abstractNum>
  <w:abstractNum w:abstractNumId="26">
    <w:nsid w:val="7A6D8D3C"/>
    <w:multiLevelType w:val="hybridMultilevel"/>
    <w:lvl w:ilvl="0">
      <w:lvlJc w:val="left"/>
      <w:lvlText w:val="%1."/>
      <w:numFmt w:val="decimal"/>
      <w:start w:val="3"/>
    </w:lvl>
  </w:abstractNum>
  <w:abstractNum w:abstractNumId="27">
    <w:nsid w:val="4B588F54"/>
    <w:multiLevelType w:val="hybridMultilevel"/>
    <w:lvl w:ilvl="0">
      <w:lvlJc w:val="left"/>
      <w:lvlText w:val="%1."/>
      <w:numFmt w:val="decimal"/>
      <w:start w:val="4"/>
    </w:lvl>
  </w:abstractNum>
  <w:abstractNum w:abstractNumId="28">
    <w:nsid w:val="542289EC"/>
    <w:multiLevelType w:val="hybridMultilevel"/>
    <w:lvl w:ilvl="0">
      <w:lvlJc w:val="left"/>
      <w:lvlText w:val="%1."/>
      <w:numFmt w:val="decimal"/>
      <w:start w:val="5"/>
    </w:lvl>
  </w:abstractNum>
  <w:abstractNum w:abstractNumId="29">
    <w:nsid w:val="6DE91B18"/>
    <w:multiLevelType w:val="hybridMultilevel"/>
    <w:lvl w:ilvl="0">
      <w:lvlJc w:val="left"/>
      <w:lvlText w:val="%1."/>
      <w:numFmt w:val="decimal"/>
      <w:start w:val="6"/>
    </w:lvl>
  </w:abstractNum>
  <w:abstractNum w:abstractNumId="30">
    <w:nsid w:val="38437FDB"/>
    <w:multiLevelType w:val="hybridMultilevel"/>
    <w:lvl w:ilvl="0">
      <w:lvlJc w:val="left"/>
      <w:lvlText w:val="%1."/>
      <w:numFmt w:val="decimal"/>
      <w:start w:val="7"/>
    </w:lvl>
  </w:abstractNum>
  <w:abstractNum w:abstractNumId="31">
    <w:nsid w:val="7644A45C"/>
    <w:multiLevelType w:val="hybridMultilevel"/>
    <w:lvl w:ilvl="0">
      <w:lvlJc w:val="left"/>
      <w:lvlText w:val="%1."/>
      <w:numFmt w:val="decimal"/>
      <w:start w:val="8"/>
    </w:lvl>
  </w:abstractNum>
  <w:abstractNum w:abstractNumId="32">
    <w:nsid w:val="32FFF902"/>
    <w:multiLevelType w:val="hybridMultilevel"/>
    <w:lvl w:ilvl="0">
      <w:lvlJc w:val="left"/>
      <w:lvlText w:val="%1."/>
      <w:numFmt w:val="decimal"/>
      <w:start w:val="9"/>
    </w:lvl>
  </w:abstractNum>
  <w:abstractNum w:abstractNumId="33">
    <w:nsid w:val="684A481A"/>
    <w:multiLevelType w:val="hybridMultilevel"/>
    <w:lvl w:ilvl="0">
      <w:lvlJc w:val="left"/>
      <w:lvlText w:val="%1."/>
      <w:numFmt w:val="decimal"/>
      <w:start w:val="10"/>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1."/>
      <w:numFmt w:val="decimal"/>
      <w:start w:val="12"/>
    </w:lvl>
    <w:lvl w:ilvl="1">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lvl w:ilvl="1">
      <w:lvlJc w:val="left"/>
      <w:lvlText w:val="%2"/>
      <w:numFmt w:val="decimal"/>
      <w:start w:val="104"/>
    </w:lvl>
  </w:abstractNum>
  <w:abstractNum w:abstractNumId="40">
    <w:nsid w:val="12E685FB"/>
    <w:multiLevelType w:val="hybridMultilevel"/>
    <w:lvl w:ilvl="0">
      <w:lvlJc w:val="left"/>
      <w:lvlText w:val="(%1)"/>
      <w:numFmt w:val="decimal"/>
      <w:start w:val="2"/>
    </w:lvl>
  </w:abstractNum>
  <w:abstractNum w:abstractNumId="41">
    <w:nsid w:val="70C6A529"/>
    <w:multiLevelType w:val="hybridMultilevel"/>
    <w:lvl w:ilvl="0">
      <w:lvlJc w:val="left"/>
      <w:lvlText w:val="(%1)"/>
      <w:numFmt w:val="lowerLetter"/>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1."/>
      <w:numFmt w:val="decimal"/>
      <w:start w:val="2"/>
    </w:lvl>
    <w:lvl w:ilvl="1">
      <w:lvlJc w:val="left"/>
      <w:lvlText w:val="•"/>
      <w:numFmt w:val="bullet"/>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1."/>
      <w:numFmt w:val="decimal"/>
      <w:start w:val="8"/>
    </w:lvl>
    <w:lvl w:ilvl="1">
      <w:lvlJc w:val="left"/>
      <w:lvlText w:val="•"/>
      <w:numFmt w:val="bullet"/>
      <w:start w:val="1"/>
    </w:lvl>
  </w:abstractNum>
  <w:abstractNum w:abstractNumId="46">
    <w:nsid w:val="649BB77C"/>
    <w:multiLevelType w:val="hybridMultilevel"/>
    <w:lvl w:ilvl="0">
      <w:lvlJc w:val="left"/>
      <w:lvlText w:val="•"/>
      <w:numFmt w:val="bullet"/>
      <w:start w:val="1"/>
    </w:lvl>
  </w:abstractNum>
  <w:abstractNum w:abstractNumId="47">
    <w:nsid w:val="275AC794"/>
    <w:multiLevelType w:val="hybridMultilevel"/>
    <w:lvl w:ilvl="0">
      <w:lvlJc w:val="left"/>
      <w:lvlText w:val="(%1)"/>
      <w:numFmt w:val="lowerLetter"/>
      <w:start w:val="1"/>
    </w:lvl>
    <w:lvl w:ilvl="1">
      <w:lvlJc w:val="left"/>
      <w:lvlText w:val="(%2)"/>
      <w:numFmt w:val="lowerRoman"/>
      <w:start w:val="1"/>
    </w:lvl>
  </w:abstractNum>
  <w:abstractNum w:abstractNumId="48">
    <w:nsid w:val="39386575"/>
    <w:multiLevelType w:val="hybridMultilevel"/>
    <w:lvl w:ilvl="0">
      <w:lvlJc w:val="left"/>
      <w:lvlText w:val="(%1)"/>
      <w:numFmt w:val="decimal"/>
      <w:start w:val="2"/>
    </w:lvl>
  </w:abstractNum>
  <w:abstractNum w:abstractNumId="49">
    <w:nsid w:val="1CF10FD8"/>
    <w:multiLevelType w:val="hybridMultilevel"/>
    <w:lvl w:ilvl="0">
      <w:lvlJc w:val="left"/>
      <w:lvlText w:val="•"/>
      <w:numFmt w:val="bullet"/>
      <w:start w:val="1"/>
    </w:lvl>
  </w:abstractNum>
  <w:abstractNum w:abstractNumId="50">
    <w:nsid w:val="180115BE"/>
    <w:multiLevelType w:val="hybridMultilevel"/>
    <w:lvl w:ilvl="0">
      <w:lvlJc w:val="left"/>
      <w:lvlText w:val="%1."/>
      <w:numFmt w:val="decimal"/>
      <w:start w:val="1"/>
    </w:lvl>
  </w:abstractNum>
  <w:abstractNum w:abstractNumId="51">
    <w:nsid w:val="235BA861"/>
    <w:multiLevelType w:val="hybridMultilevel"/>
    <w:lvl w:ilvl="0">
      <w:lvlJc w:val="left"/>
      <w:lvlText w:val="%1."/>
      <w:numFmt w:val="decimal"/>
      <w:start w:val="1"/>
    </w:lvl>
    <w:lvl w:ilvl="1">
      <w:lvlJc w:val="left"/>
      <w:lvlText w:val="%2."/>
      <w:numFmt w:val="lowerLetter"/>
      <w:start w:val="1"/>
    </w:lvl>
  </w:abstractNum>
  <w:abstractNum w:abstractNumId="52">
    <w:nsid w:val="47398C89"/>
    <w:multiLevelType w:val="hybridMultilevel"/>
    <w:lvl w:ilvl="0">
      <w:lvlJc w:val="left"/>
      <w:lvlText w:val="%1."/>
      <w:numFmt w:val="decimal"/>
      <w:start w:val="1"/>
    </w:lvl>
    <w:lvl w:ilvl="1">
      <w:lvlJc w:val="left"/>
      <w:lvlText w:val="%2."/>
      <w:numFmt w:val="lowerLetter"/>
      <w:start w:val="1"/>
    </w:lvl>
  </w:abstractNum>
  <w:abstractNum w:abstractNumId="53">
    <w:nsid w:val="354FE9F9"/>
    <w:multiLevelType w:val="hybridMultilevel"/>
    <w:lvl w:ilvl="0">
      <w:lvlJc w:val="left"/>
      <w:lvlText w:val="%1."/>
      <w:numFmt w:val="decimal"/>
      <w:start w:val="1"/>
    </w:lvl>
  </w:abstractNum>
  <w:abstractNum w:abstractNumId="54">
    <w:nsid w:val="15B5AF5C"/>
    <w:multiLevelType w:val="hybridMultilevel"/>
    <w:lvl w:ilvl="0">
      <w:lvlJc w:val="left"/>
      <w:lvlText w:val="%1."/>
      <w:numFmt w:val="decimal"/>
      <w:start w:val="2"/>
    </w:lvl>
  </w:abstractNum>
  <w:abstractNum w:abstractNumId="55">
    <w:nsid w:val="741226BB"/>
    <w:multiLevelType w:val="hybridMultilevel"/>
    <w:lvl w:ilvl="0">
      <w:lvlJc w:val="left"/>
      <w:lvlText w:val="%1."/>
      <w:numFmt w:val="decimal"/>
      <w:start w:val="3"/>
    </w:lvl>
  </w:abstractNum>
  <w:abstractNum w:abstractNumId="56">
    <w:nsid w:val="D34B6A8"/>
    <w:multiLevelType w:val="hybridMultilevel"/>
    <w:lvl w:ilvl="0">
      <w:lvlJc w:val="left"/>
      <w:lvlText w:val="%1."/>
      <w:numFmt w:val="decimal"/>
      <w:start w:val="4"/>
    </w:lvl>
  </w:abstractNum>
  <w:abstractNum w:abstractNumId="57">
    <w:nsid w:val="10233C99"/>
    <w:multiLevelType w:val="hybridMultilevel"/>
    <w:lvl w:ilvl="0">
      <w:lvlJc w:val="left"/>
      <w:lvlText w:val="%1."/>
      <w:numFmt w:val="decimal"/>
      <w:start w:val="5"/>
    </w:lvl>
  </w:abstractNum>
  <w:abstractNum w:abstractNumId="58">
    <w:nsid w:val="3F6AB60F"/>
    <w:multiLevelType w:val="hybridMultilevel"/>
    <w:lvl w:ilvl="0">
      <w:lvlJc w:val="left"/>
      <w:lvlText w:val="%1."/>
      <w:numFmt w:val="decimal"/>
      <w:start w:val="6"/>
    </w:lvl>
  </w:abstractNum>
  <w:abstractNum w:abstractNumId="59">
    <w:nsid w:val="61574095"/>
    <w:multiLevelType w:val="hybridMultilevel"/>
    <w:lvl w:ilvl="0">
      <w:lvlJc w:val="left"/>
      <w:lvlText w:val="%1."/>
      <w:numFmt w:val="decimal"/>
      <w:start w:val="7"/>
    </w:lvl>
  </w:abstractNum>
  <w:abstractNum w:abstractNumId="60">
    <w:nsid w:val="7E0C57B1"/>
    <w:multiLevelType w:val="hybridMultilevel"/>
    <w:lvl w:ilvl="0">
      <w:lvlJc w:val="left"/>
      <w:lvlText w:val="%1."/>
      <w:numFmt w:val="decimal"/>
      <w:start w:val="8"/>
    </w:lvl>
  </w:abstractNum>
  <w:abstractNum w:abstractNumId="61">
    <w:nsid w:val="77AE35EB"/>
    <w:multiLevelType w:val="hybridMultilevel"/>
    <w:lvl w:ilvl="0">
      <w:lvlJc w:val="left"/>
      <w:lvlText w:val="%1."/>
      <w:numFmt w:val="decimal"/>
      <w:start w:val="9"/>
    </w:lvl>
  </w:abstractNum>
  <w:abstractNum w:abstractNumId="62">
    <w:nsid w:val="579BE4F1"/>
    <w:multiLevelType w:val="hybridMultilevel"/>
    <w:lvl w:ilvl="0">
      <w:lvlJc w:val="left"/>
      <w:lvlText w:val="%1."/>
      <w:numFmt w:val="decimal"/>
      <w:start w:val="10"/>
    </w:lvl>
  </w:abstractNum>
  <w:abstractNum w:abstractNumId="63">
    <w:nsid w:val="310C50B3"/>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46" Type="http://schemas.openxmlformats.org/officeDocument/2006/relationships/image" Target="media/image130.png"/><Relationship Id="rId164" Type="http://schemas.openxmlformats.org/officeDocument/2006/relationships/image" Target="media/image131.png"/><Relationship Id="rId179" Type="http://schemas.openxmlformats.org/officeDocument/2006/relationships/image" Target="media/image132.png"/><Relationship Id="rId180" Type="http://schemas.openxmlformats.org/officeDocument/2006/relationships/image" Target="media/image133.png"/><Relationship Id="rId181" Type="http://schemas.openxmlformats.org/officeDocument/2006/relationships/image" Target="media/image134.png"/><Relationship Id="rId182" Type="http://schemas.openxmlformats.org/officeDocument/2006/relationships/image" Target="media/image135.png"/><Relationship Id="rId183" Type="http://schemas.openxmlformats.org/officeDocument/2006/relationships/image" Target="media/image136.png"/><Relationship Id="rId184" Type="http://schemas.openxmlformats.org/officeDocument/2006/relationships/image" Target="media/image137.png"/><Relationship Id="rId185" Type="http://schemas.openxmlformats.org/officeDocument/2006/relationships/image" Target="media/image138.png"/><Relationship Id="rId186" Type="http://schemas.openxmlformats.org/officeDocument/2006/relationships/image" Target="media/image139.png"/><Relationship Id="rId187" Type="http://schemas.openxmlformats.org/officeDocument/2006/relationships/image" Target="media/image140.png"/><Relationship Id="rId188" Type="http://schemas.openxmlformats.org/officeDocument/2006/relationships/image" Target="media/image141.png"/><Relationship Id="rId189" Type="http://schemas.openxmlformats.org/officeDocument/2006/relationships/image" Target="media/image142.png"/><Relationship Id="rId190" Type="http://schemas.openxmlformats.org/officeDocument/2006/relationships/image" Target="media/image143.png"/><Relationship Id="rId191" Type="http://schemas.openxmlformats.org/officeDocument/2006/relationships/image" Target="media/image144.png"/><Relationship Id="rId192" Type="http://schemas.openxmlformats.org/officeDocument/2006/relationships/image" Target="media/image145.png"/><Relationship Id="rId193" Type="http://schemas.openxmlformats.org/officeDocument/2006/relationships/image" Target="media/image146.png"/><Relationship Id="rId194" Type="http://schemas.openxmlformats.org/officeDocument/2006/relationships/image" Target="media/image147.png"/><Relationship Id="rId195" Type="http://schemas.openxmlformats.org/officeDocument/2006/relationships/image" Target="media/image148.jpeg"/><Relationship Id="rId196" Type="http://schemas.openxmlformats.org/officeDocument/2006/relationships/image" Target="media/image149.png"/><Relationship Id="rId197" Type="http://schemas.openxmlformats.org/officeDocument/2006/relationships/image" Target="media/image150.png"/><Relationship Id="rId198" Type="http://schemas.openxmlformats.org/officeDocument/2006/relationships/image" Target="media/image151.png"/><Relationship Id="rId199" Type="http://schemas.openxmlformats.org/officeDocument/2006/relationships/image" Target="media/image152.png"/><Relationship Id="rId200" Type="http://schemas.openxmlformats.org/officeDocument/2006/relationships/image" Target="media/image153.png"/><Relationship Id="rId201" Type="http://schemas.openxmlformats.org/officeDocument/2006/relationships/image" Target="media/image154.png"/><Relationship Id="rId202" Type="http://schemas.openxmlformats.org/officeDocument/2006/relationships/image" Target="media/image155.png"/><Relationship Id="rId203" Type="http://schemas.openxmlformats.org/officeDocument/2006/relationships/image" Target="media/image156.png"/><Relationship Id="rId204" Type="http://schemas.openxmlformats.org/officeDocument/2006/relationships/image" Target="media/image157.png"/><Relationship Id="rId205" Type="http://schemas.openxmlformats.org/officeDocument/2006/relationships/image" Target="media/image158.png"/><Relationship Id="rId206" Type="http://schemas.openxmlformats.org/officeDocument/2006/relationships/image" Target="media/image159.png"/><Relationship Id="rId207" Type="http://schemas.openxmlformats.org/officeDocument/2006/relationships/image" Target="media/image160.png"/><Relationship Id="rId208" Type="http://schemas.openxmlformats.org/officeDocument/2006/relationships/image" Target="media/image161.png"/><Relationship Id="rId209" Type="http://schemas.openxmlformats.org/officeDocument/2006/relationships/image" Target="media/image162.png"/><Relationship Id="rId210" Type="http://schemas.openxmlformats.org/officeDocument/2006/relationships/image" Target="media/image163.png"/><Relationship Id="rId211" Type="http://schemas.openxmlformats.org/officeDocument/2006/relationships/image" Target="media/image164.png"/><Relationship Id="rId212" Type="http://schemas.openxmlformats.org/officeDocument/2006/relationships/image" Target="media/image165.png"/><Relationship Id="rId213" Type="http://schemas.openxmlformats.org/officeDocument/2006/relationships/image" Target="media/image166.png"/><Relationship Id="rId214" Type="http://schemas.openxmlformats.org/officeDocument/2006/relationships/image" Target="media/image167.png"/><Relationship Id="rId215" Type="http://schemas.openxmlformats.org/officeDocument/2006/relationships/image" Target="media/image168.png"/><Relationship Id="rId216" Type="http://schemas.openxmlformats.org/officeDocument/2006/relationships/image" Target="media/image169.png"/><Relationship Id="rId217" Type="http://schemas.openxmlformats.org/officeDocument/2006/relationships/image" Target="media/image170.png"/><Relationship Id="rId218" Type="http://schemas.openxmlformats.org/officeDocument/2006/relationships/image" Target="media/image171.png"/><Relationship Id="rId219" Type="http://schemas.openxmlformats.org/officeDocument/2006/relationships/image" Target="media/image172.png"/><Relationship Id="rId220" Type="http://schemas.openxmlformats.org/officeDocument/2006/relationships/image" Target="media/image173.png"/><Relationship Id="rId221" Type="http://schemas.openxmlformats.org/officeDocument/2006/relationships/image" Target="media/image174.png"/><Relationship Id="rId222" Type="http://schemas.openxmlformats.org/officeDocument/2006/relationships/image" Target="media/image175.png"/><Relationship Id="rId223" Type="http://schemas.openxmlformats.org/officeDocument/2006/relationships/image" Target="media/image176.png"/><Relationship Id="rId224" Type="http://schemas.openxmlformats.org/officeDocument/2006/relationships/image" Target="media/image177.png"/><Relationship Id="rId225" Type="http://schemas.openxmlformats.org/officeDocument/2006/relationships/image" Target="media/image178.jpeg"/><Relationship Id="rId226" Type="http://schemas.openxmlformats.org/officeDocument/2006/relationships/image" Target="media/image179.png"/><Relationship Id="rId227" Type="http://schemas.openxmlformats.org/officeDocument/2006/relationships/image" Target="media/image180.png"/><Relationship Id="rId228" Type="http://schemas.openxmlformats.org/officeDocument/2006/relationships/image" Target="media/image181.png"/><Relationship Id="rId229" Type="http://schemas.openxmlformats.org/officeDocument/2006/relationships/image" Target="media/image182.png"/><Relationship Id="rId230" Type="http://schemas.openxmlformats.org/officeDocument/2006/relationships/image" Target="media/image183.png"/><Relationship Id="rId231" Type="http://schemas.openxmlformats.org/officeDocument/2006/relationships/image" Target="media/image184.png"/><Relationship Id="rId232" Type="http://schemas.openxmlformats.org/officeDocument/2006/relationships/image" Target="media/image185.png"/><Relationship Id="rId233" Type="http://schemas.openxmlformats.org/officeDocument/2006/relationships/image" Target="media/image186.png"/><Relationship Id="rId234" Type="http://schemas.openxmlformats.org/officeDocument/2006/relationships/image" Target="media/image187.png"/><Relationship Id="rId235" Type="http://schemas.openxmlformats.org/officeDocument/2006/relationships/image" Target="media/image188.png"/><Relationship Id="rId236" Type="http://schemas.openxmlformats.org/officeDocument/2006/relationships/image" Target="media/image189.png"/><Relationship Id="rId237" Type="http://schemas.openxmlformats.org/officeDocument/2006/relationships/image" Target="media/image190.png"/><Relationship Id="rId238" Type="http://schemas.openxmlformats.org/officeDocument/2006/relationships/image" Target="media/image191.png"/><Relationship Id="rId239" Type="http://schemas.openxmlformats.org/officeDocument/2006/relationships/image" Target="media/image192.png"/><Relationship Id="rId240" Type="http://schemas.openxmlformats.org/officeDocument/2006/relationships/image" Target="media/image193.png"/><Relationship Id="rId241" Type="http://schemas.openxmlformats.org/officeDocument/2006/relationships/image" Target="media/image194.png"/><Relationship Id="rId137" Type="http://schemas.openxmlformats.org/officeDocument/2006/relationships/hyperlink" Target="https://www.sec.gov/ix?doc=/Archives/edgar/data/1805651/000162828021013239/acnd-20210630.htm#ieb60ee908ff44da8b1cdc50f18bc9834_3421" TargetMode="External"/><Relationship Id="rId138" Type="http://schemas.openxmlformats.org/officeDocument/2006/relationships/hyperlink" Target="https://www.sec.gov/ix?doc=/Archives/edgar/data/1805651/000162828021013239/acnd-20210630.htm#ieb60ee908ff44da8b1cdc50f18bc9834_5508" TargetMode="External"/><Relationship Id="rId139" Type="http://schemas.openxmlformats.org/officeDocument/2006/relationships/hyperlink" Target="https://www.sec.gov/ix?doc=/Archives/edgar/data/1805651/000162828021013239/acnd-20210630.htm#ieb60ee908ff44da8b1cdc50f18bc9834_5594" TargetMode="External"/><Relationship Id="rId140" Type="http://schemas.openxmlformats.org/officeDocument/2006/relationships/hyperlink" Target="https://www.sec.gov/Archives/edgar/data/0001805651/000162828021014543/super8-kxexhibit31.htm" TargetMode="External"/><Relationship Id="rId141" Type="http://schemas.openxmlformats.org/officeDocument/2006/relationships/hyperlink" Target="https://www.sec.gov/Archives/edgar/data/0001805651/000162828021014543/super8-kxexhibit32.htm" TargetMode="External"/><Relationship Id="rId142" Type="http://schemas.openxmlformats.org/officeDocument/2006/relationships/hyperlink" Target="https://www.sec.gov/Archives/edgar/data/0001805651/000119312520201058/d942495dex41.htm" TargetMode="External"/><Relationship Id="rId143" Type="http://schemas.openxmlformats.org/officeDocument/2006/relationships/hyperlink" Target="https://www.sec.gov/Archives/edgar/data/1805651/000119312520185380/d824277dex43.htm" TargetMode="External"/><Relationship Id="rId144" Type="http://schemas.openxmlformats.org/officeDocument/2006/relationships/hyperlink" Target="https://www.sec.gov/Archives/edgar/data/1805651/000162828021011380/exhibit43-sx4a2.htm" TargetMode="External"/><Relationship Id="rId145" Type="http://schemas.openxmlformats.org/officeDocument/2006/relationships/hyperlink" Target="https://www.sec.gov/Archives/edgar/data/1805651/000162828022024996/exhibit101-amendmentno1tow.htm" TargetMode="External"/><Relationship Id="rId147" Type="http://schemas.openxmlformats.org/officeDocument/2006/relationships/hyperlink" Target="https://www.sec.gov/Archives/edgar/data/0001805651/000162828021014543/super8-kxexhibit101.htm" TargetMode="External"/><Relationship Id="rId148" Type="http://schemas.openxmlformats.org/officeDocument/2006/relationships/hyperlink" Target="https://www.sec.gov/Archives/edgar/data/0001805651/000162828021014543/super8-kxexhibit102.htm" TargetMode="External"/><Relationship Id="rId149" Type="http://schemas.openxmlformats.org/officeDocument/2006/relationships/hyperlink" Target="https://www.sec.gov/Archives/edgar/data/0001805651/000162828021014543/super8-kxexhibit103.htm" TargetMode="External"/><Relationship Id="rId150" Type="http://schemas.openxmlformats.org/officeDocument/2006/relationships/hyperlink" Target="https://www.sec.gov/Archives/edgar/data/0001805651/000162828021014543/super8-kxexhibit104.htm" TargetMode="External"/><Relationship Id="rId151" Type="http://schemas.openxmlformats.org/officeDocument/2006/relationships/hyperlink" Target="https://www.sec.gov/Archives/edgar/data/1805651/000162828023038021/non-employeedircompensatio.htm" TargetMode="External"/><Relationship Id="rId152" Type="http://schemas.openxmlformats.org/officeDocument/2006/relationships/hyperlink" Target="https://www.sec.gov/Archives/edgar/data/0001805651/000162828021014543/super8-kxexhibit106.htm" TargetMode="External"/><Relationship Id="rId153" Type="http://schemas.openxmlformats.org/officeDocument/2006/relationships/hyperlink" Target="https://www.sec.gov/Archives/edgar/data/0001805651/000162828021014543/super8-kxexhibit107.htm" TargetMode="External"/><Relationship Id="rId154" Type="http://schemas.openxmlformats.org/officeDocument/2006/relationships/hyperlink" Target="https://www.sec.gov/Archives/edgar/data/1805651/000162828021011380/exhibit1015-sx4a2.htm" TargetMode="External"/><Relationship Id="rId155" Type="http://schemas.openxmlformats.org/officeDocument/2006/relationships/hyperlink" Target="https://www.sec.gov/Archives/edgar/data/1805651/000162828023001816/section16offermf11023final.htm" TargetMode="External"/><Relationship Id="rId156" Type="http://schemas.openxmlformats.org/officeDocument/2006/relationships/hyperlink" Target="https://www.sec.gov/Archives/edgar/data/0001805651/000162828021020905/exhibit101-8xk_creditfacil.htm" TargetMode="External"/><Relationship Id="rId157" Type="http://schemas.openxmlformats.org/officeDocument/2006/relationships/hyperlink" Target="https://www.sec.gov/Archives/edgar/data/1805651/000162828023028734/ex103-firstamendmenttoloan.htm" TargetMode="External"/><Relationship Id="rId158" Type="http://schemas.openxmlformats.org/officeDocument/2006/relationships/hyperlink" Target="https://www.sec.gov/Archives/edgar/data/0001805651/000162828021020905/exhibit102-8xk_creditfacil.htm" TargetMode="External"/><Relationship Id="rId159" Type="http://schemas.openxmlformats.org/officeDocument/2006/relationships/hyperlink" Target="https://www.sec.gov/Archives/edgar/data/1805651/000162828023000088/exhibit101-interimceooffer.htm" TargetMode="External"/><Relationship Id="rId160" Type="http://schemas.openxmlformats.org/officeDocument/2006/relationships/hyperlink" Target="https://www.sec.gov/Archives/edgar/data/1805651/000162828023001028/marketwise-executivesevera.htm" TargetMode="External"/><Relationship Id="rId161" Type="http://schemas.openxmlformats.org/officeDocument/2006/relationships/hyperlink" Target="https://www.sec.gov/Archives/edgar/data/1805651/000162828023003634/section16offeram.htm" TargetMode="External"/><Relationship Id="rId162" Type="http://schemas.openxmlformats.org/officeDocument/2006/relationships/hyperlink" Target="https://www.sec.gov/Archives/edgar/data/1805651/000162828023012422/mktw-mcvotingagreement.htm" TargetMode="External"/><Relationship Id="rId163" Type="http://schemas.openxmlformats.org/officeDocument/2006/relationships/hyperlink" Target="https://www.sec.gov/Archives/edgar/data/1805651/000162828023014918/marketwise-fporterstansber.htm" TargetMode="External"/><Relationship Id="rId165" Type="http://schemas.openxmlformats.org/officeDocument/2006/relationships/hyperlink" Target="https://www.sec.gov/Archives/edgar/data/1805651/000162828023024473/offerletter-erikmickels.htm" TargetMode="External"/><Relationship Id="rId166" Type="http://schemas.openxmlformats.org/officeDocument/2006/relationships/hyperlink" Target="https://www.sec.gov/Archives/edgar/data/1805651/000162828023031870/exhibit101-settlementagree.htm" TargetMode="External"/><Relationship Id="rId167" Type="http://schemas.openxmlformats.org/officeDocument/2006/relationships/hyperlink" Target="https://www.sec.gov/Archives/edgar/data/1805651/000162828023034713/ex101-marcoferritransition.htm" TargetMode="External"/><Relationship Id="rId168" Type="http://schemas.openxmlformats.org/officeDocument/2006/relationships/hyperlink" Target="https://www.sec.gov/Archives/edgar/data/1805651/000162828023034713/ex102-consultingagreementd.htm" TargetMode="External"/><Relationship Id="rId169" Type="http://schemas.openxmlformats.org/officeDocument/2006/relationships/hyperlink" Target="https://www.sec.gov/Archives/edgar/data/1805651/000162828023034920/section16offerps1023.htm" TargetMode="External"/><Relationship Id="rId170" Type="http://schemas.openxmlformats.org/officeDocument/2006/relationships/hyperlink" Target="https://www.sec.gov/Archives/edgar/data/1805651/000162828023036018/letteragreement.htm" TargetMode="External"/><Relationship Id="rId171" Type="http://schemas.openxmlformats.org/officeDocument/2006/relationships/hyperlink" Target="https://www.sec.gov/Archives/edgar/data/1805651/000162828023038021/marketwise-2021incentivepl.htm" TargetMode="External"/><Relationship Id="rId172" Type="http://schemas.openxmlformats.org/officeDocument/2006/relationships/hyperlink" Target="https://www.sec.gov/Archives/edgar/data/1805651/000162828023038021/a2021incentiveplannon-empl.htm" TargetMode="External"/><Relationship Id="rId173" Type="http://schemas.openxmlformats.org/officeDocument/2006/relationships/hyperlink" Target="https://www.sec.gov/Archives/edgar/data/1805651/000162828023038021/marketwise-restrictedstock.htm" TargetMode="External"/><Relationship Id="rId174" Type="http://schemas.openxmlformats.org/officeDocument/2006/relationships/hyperlink" Target="https://www.sec.gov/Archives/edgar/data/1805651/000162828021019206/exhibit994-sx8.htm" TargetMode="External"/><Relationship Id="rId175" Type="http://schemas.openxmlformats.org/officeDocument/2006/relationships/hyperlink" Target="https://www.sec.gov/Archives/edgar/data/1805651/000162828021019206/exhibit996-sx8.htm" TargetMode="External"/><Relationship Id="rId176" Type="http://schemas.openxmlformats.org/officeDocument/2006/relationships/hyperlink" Target="https://www.sec.gov/Archives/edgar/data/1805651/000162828021019206/exhibit993-sx8.htm" TargetMode="External"/><Relationship Id="rId177" Type="http://schemas.openxmlformats.org/officeDocument/2006/relationships/hyperlink" Target="https://www.sec.gov/Archives/edgar/data/1805651/000162828021019206/exhibit995-sx8.htm" TargetMode="External"/><Relationship Id="rId178" Type="http://schemas.openxmlformats.org/officeDocument/2006/relationships/hyperlink" Target="https://www.sec.gov/Archives/edgar/data/1805651/000162828023039312/letteragreement-ccurlet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2024-03-07T06:40:36Z</dcterms:created>
  <dcterms:modified xsi:type="dcterms:W3CDTF">2024-03-07T06:40:36Z</dcterms:modified>
</cp:coreProperties>
</file>