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60325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143510</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1380" w:hanging="598"/>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For the quarterly period ended March 31, 2025</w:t>
      </w:r>
    </w:p>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380" w:hanging="582"/>
        <w:spacing w:after="0"/>
        <w:tabs>
          <w:tab w:leader="none" w:pos="1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3" w:lineRule="exact"/>
        <w:rPr>
          <w:sz w:val="24"/>
          <w:szCs w:val="24"/>
          <w:color w:val="auto"/>
        </w:rPr>
      </w:pPr>
    </w:p>
    <w:tbl>
      <w:tblPr>
        <w:tblLayout w:type="fixed"/>
        <w:tblInd w:w="406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r>
      <w:tr>
        <w:trPr>
          <w:trHeight w:val="378"/>
        </w:trPr>
        <w:tc>
          <w:tcPr>
            <w:tcW w:w="1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001-39405</w:t>
            </w:r>
          </w:p>
        </w:tc>
      </w:tr>
      <w:tr>
        <w:trPr>
          <w:trHeight w:val="135"/>
        </w:trPr>
        <w:tc>
          <w:tcPr>
            <w:tcW w:w="14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17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19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102870</wp:posOffset>
            </wp:positionV>
            <wp:extent cx="182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70"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6280" w:type="dxa"/>
            <w:vAlign w:val="bottom"/>
            <w:gridSpan w:val="3"/>
          </w:tcPr>
          <w:p>
            <w:pPr>
              <w:jc w:val="center"/>
              <w:ind w:right="32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5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87-1767914</w:t>
            </w:r>
          </w:p>
        </w:tc>
      </w:tr>
      <w:tr>
        <w:trPr>
          <w:trHeight w:val="199"/>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20" w:type="dxa"/>
            <w:vAlign w:val="bottom"/>
          </w:tcPr>
          <w:p>
            <w:pPr>
              <w:jc w:val="center"/>
              <w:ind w:left="10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530"/>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rPr>
              <w:t>1125 N. Charles Street Baltimore, Maryland</w:t>
            </w:r>
          </w:p>
        </w:tc>
        <w:tc>
          <w:tcPr>
            <w:tcW w:w="15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21201</w:t>
            </w:r>
          </w:p>
        </w:tc>
      </w:tr>
      <w:tr>
        <w:trPr>
          <w:trHeight w:val="216"/>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52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61"/>
        </w:trPr>
        <w:tc>
          <w:tcPr>
            <w:tcW w:w="6280" w:type="dxa"/>
            <w:vAlign w:val="bottom"/>
            <w:gridSpan w:val="3"/>
          </w:tcPr>
          <w:p>
            <w:pPr>
              <w:jc w:val="center"/>
              <w:ind w:left="2304"/>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93"/>
        </w:trPr>
        <w:tc>
          <w:tcPr>
            <w:tcW w:w="5760" w:type="dxa"/>
            <w:vAlign w:val="bottom"/>
            <w:gridSpan w:val="2"/>
          </w:tcPr>
          <w:p>
            <w:pPr>
              <w:jc w:val="center"/>
              <w:ind w:left="2824"/>
              <w:spacing w:after="0"/>
              <w:rPr>
                <w:sz w:val="20"/>
                <w:szCs w:val="20"/>
                <w:color w:val="auto"/>
              </w:rPr>
            </w:pPr>
            <w:r>
              <w:rPr>
                <w:rFonts w:ascii="Times New Roman" w:cs="Times New Roman" w:eastAsia="Times New Roman" w:hAnsi="Times New Roman"/>
                <w:sz w:val="16"/>
                <w:szCs w:val="16"/>
                <w:b w:val="1"/>
                <w:bCs w:val="1"/>
                <w:color w:val="auto"/>
              </w:rPr>
              <w:t>(888) 261-2693</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6"/>
        </w:trPr>
        <w:tc>
          <w:tcPr>
            <w:tcW w:w="6280" w:type="dxa"/>
            <w:vAlign w:val="bottom"/>
            <w:gridSpan w:val="3"/>
          </w:tcPr>
          <w:p>
            <w:pPr>
              <w:jc w:val="center"/>
              <w:ind w:left="228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20" w:type="dxa"/>
            <w:vAlign w:val="bottom"/>
          </w:tcPr>
          <w:p>
            <w:pPr>
              <w:spacing w:after="0"/>
              <w:rPr>
                <w:sz w:val="23"/>
                <w:szCs w:val="23"/>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62"/>
        </w:trPr>
        <w:tc>
          <w:tcPr>
            <w:tcW w:w="6280" w:type="dxa"/>
            <w:vAlign w:val="bottom"/>
            <w:gridSpan w:val="3"/>
          </w:tcPr>
          <w:p>
            <w:pPr>
              <w:jc w:val="center"/>
              <w:ind w:left="230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p>
      <w:pPr>
        <w:ind w:left="1580"/>
        <w:spacing w:after="0"/>
        <w:tabs>
          <w:tab w:leader="none" w:pos="4900" w:val="left"/>
          <w:tab w:leader="none" w:pos="71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12" w:lineRule="exact"/>
        <w:rPr>
          <w:sz w:val="24"/>
          <w:szCs w:val="24"/>
          <w:color w:val="auto"/>
        </w:rPr>
      </w:pPr>
    </w:p>
    <w:p>
      <w:pPr>
        <w:ind w:left="28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r>
        <w:rPr>
          <w:sz w:val="20"/>
          <w:szCs w:val="20"/>
          <w:color w:val="auto"/>
        </w:rPr>
        <w:tab/>
      </w:r>
      <w:r>
        <w:rPr>
          <w:rFonts w:ascii="Times New Roman" w:cs="Times New Roman" w:eastAsia="Times New Roman" w:hAnsi="Times New Roman"/>
          <w:sz w:val="18"/>
          <w:szCs w:val="18"/>
          <w:b w:val="1"/>
          <w:bCs w:val="1"/>
          <w:color w:val="auto"/>
        </w:rPr>
        <w:t>MKTW</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70"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8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40"/>
          </w:cols>
          <w:pgMar w:left="320" w:top="1316" w:right="639" w:bottom="1440" w:gutter="0" w:footer="0" w:header="0"/>
        </w:sectPr>
      </w:pPr>
    </w:p>
    <w:p>
      <w:pPr>
        <w:spacing w:after="0" w:line="39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16" w:right="6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5, 2025, there were 2,647,468 shares of the registrant’s Class A common stock and 13,637,641 shares of the registrant’s Class B common stock, each with a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2" w:name="page3"/>
    <w:bookmarkEnd w:id="2"/>
    <w:p>
      <w:pPr>
        <w:spacing w:after="0" w:line="1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u w:val="single" w:color="auto"/>
          <w:color w:val="0000FF"/>
        </w:rPr>
        <w:t>FINANCIAL INFORMATION</w:t>
      </w:r>
    </w:p>
    <w:p>
      <w:pPr>
        <w:spacing w:after="0" w:line="2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March 31, 2025 and December 31, 2024 (unaudited)</w:t>
      </w:r>
    </w:p>
    <w:p>
      <w:pPr>
        <w:spacing w:after="0" w:line="225" w:lineRule="exact"/>
        <w:rPr>
          <w:sz w:val="20"/>
          <w:szCs w:val="20"/>
          <w:color w:val="auto"/>
        </w:rPr>
      </w:pPr>
    </w:p>
    <w:p>
      <w:pPr>
        <w:ind w:left="1280" w:right="30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 of Operations for the Three Months Ended March 31, 2025 and 2024 (unaudited)</w:t>
      </w:r>
    </w:p>
    <w:p>
      <w:pPr>
        <w:spacing w:after="0" w:line="23" w:lineRule="exact"/>
        <w:rPr>
          <w:sz w:val="20"/>
          <w:szCs w:val="20"/>
          <w:color w:val="auto"/>
        </w:rPr>
      </w:pPr>
    </w:p>
    <w:p>
      <w:pPr>
        <w:ind w:left="128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Months Ended March 31, 2025 and 2024 (unaudited)</w:t>
      </w:r>
    </w:p>
    <w:p>
      <w:pPr>
        <w:spacing w:after="0" w:line="23" w:lineRule="exact"/>
        <w:rPr>
          <w:sz w:val="20"/>
          <w:szCs w:val="20"/>
          <w:color w:val="auto"/>
        </w:rPr>
      </w:pPr>
    </w:p>
    <w:p>
      <w:pPr>
        <w:ind w:left="1280" w:right="4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Deficit for the Three Months Ended March 31, 2025 and 2024 (unaudited)</w:t>
      </w:r>
    </w:p>
    <w:p>
      <w:pPr>
        <w:spacing w:after="0" w:line="23" w:lineRule="exact"/>
        <w:rPr>
          <w:sz w:val="20"/>
          <w:szCs w:val="20"/>
          <w:color w:val="auto"/>
        </w:rPr>
      </w:pPr>
    </w:p>
    <w:p>
      <w:pPr>
        <w:ind w:left="1280" w:right="16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Three Months Ended March 31, 2025 and 2024 (unaudited)</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Notes to the financial statements (unaudited)</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2320" w:type="dxa"/>
            <w:vAlign w:val="bottom"/>
            <w:gridSpan w:val="2"/>
          </w:tcPr>
          <w:p>
            <w:pPr>
              <w:spacing w:after="0"/>
              <w:rPr>
                <w:sz w:val="18"/>
                <w:szCs w:val="18"/>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580" w:type="dxa"/>
            <w:vAlign w:val="bottom"/>
            <w:gridSpan w:val="3"/>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5"/>
          </w:tcPr>
          <w:p>
            <w:pPr>
              <w:spacing w:after="0"/>
              <w:rPr>
                <w:sz w:val="24"/>
                <w:szCs w:val="24"/>
                <w:color w:val="auto"/>
              </w:rPr>
            </w:pPr>
          </w:p>
        </w:tc>
      </w:tr>
      <w:tr>
        <w:trPr>
          <w:trHeight w:val="41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33655</wp:posOffset>
            </wp:positionV>
            <wp:extent cx="608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28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47</w:t>
      </w:r>
    </w:p>
    <w:p>
      <w:pPr>
        <w:sectPr>
          <w:pgSz w:w="11900" w:h="16838" w:orient="portrait"/>
          <w:cols w:equalWidth="0" w:num="2">
            <w:col w:w="9140" w:space="360"/>
            <w:col w:w="619"/>
          </w:cols>
          <w:pgMar w:left="340" w:top="1440" w:right="1440" w:bottom="1440" w:gutter="0" w:footer="0" w:header="0"/>
          <w:type w:val="continuous"/>
        </w:sectPr>
      </w:pPr>
    </w:p>
    <w:bookmarkStart w:id="3" w:name="page4"/>
    <w:bookmarkEnd w:id="3"/>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spacing w:after="0" w:line="134" w:lineRule="exact"/>
        <w:rPr>
          <w:sz w:val="20"/>
          <w:szCs w:val="20"/>
          <w:color w:val="auto"/>
        </w:rPr>
      </w:pPr>
    </w:p>
    <w:p>
      <w:pPr>
        <w:ind w:left="660" w:right="74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subscribers and to persuade existing subscribers to renew their subscription agreements with us and to purchase additional products and services from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market our products and services, and to develop additional products and product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including through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and protect our reputation for trustworthiness and independence;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capable management, editors, and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or weakened conditions in the financial sector, global financial markets, and global economy;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macroeconomic events, including heightened inflation, rise in interest rates and the potential for an economic recession;</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or other regulatory action or investigations, including the Investment Advisers Act of 1940, as amended (the “Advisers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adapt to changes in technology and consumer behavior;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identify and integrate acquisitions, or dispose of assets and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our Annual Report on Form 10-K for the year ended December 31, 2024 entitled “Risk Factors.”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any obligation to update forward-looking statements for any reason, except as may be required under applicable securities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97,876</w:t>
            </w: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57,214</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168,833</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42,121</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other contract liabilities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217,973</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12,985</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260,208</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other contract liabilities, noncurrent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209,013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TRA liability, noncurrent (Note 9)</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477,439</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A, par value of $0.0001 per share, 47,500,000 shares authorized; 2,320,126</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4"/>
        </w:trPr>
        <w:tc>
          <w:tcPr>
            <w:tcW w:w="75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1,978,136 shares issued and outstanding at March 31, 2025 and December 31, 2024,</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4"/>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B, par value of $0.0001 per share, 15,000,000 shares authorized; 13,732,864</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4"/>
        </w:trPr>
        <w:tc>
          <w:tcPr>
            <w:tcW w:w="75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13,994,498 shares issued and outstanding at March 31, 2025 and December 31, 2024,</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4"/>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par value of $0.0001 per share, 100,000,000 shares authorized; 0 shares issued and</w:t>
            </w: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March 31, 2025 and December 31, 2024, respectively</w:t>
            </w:r>
          </w:p>
        </w:tc>
        <w:tc>
          <w:tcPr>
            <w:tcW w:w="6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106,691</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(118,394)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(119,284)</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attributable to MarketWise, Inc.</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(205,388)</w:t>
            </w:r>
          </w:p>
        </w:tc>
      </w:tr>
      <w:tr>
        <w:trPr>
          <w:trHeight w:val="223"/>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(217,924)</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239,560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259,515</w:t>
            </w:r>
          </w:p>
        </w:tc>
      </w:tr>
      <w:tr>
        <w:trPr>
          <w:trHeight w:val="20"/>
        </w:trPr>
        <w:tc>
          <w:tcPr>
            <w:tcW w:w="7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20" w:type="dxa"/>
            <w:vAlign w:val="bottom"/>
            <w:gridSpan w:val="5"/>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108,612</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108,991</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29"/>
        </w:trPr>
        <w:tc>
          <w:tcPr>
            <w:tcW w:w="8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47,297</w:t>
            </w:r>
          </w:p>
        </w:tc>
      </w:tr>
      <w:tr>
        <w:trPr>
          <w:trHeight w:val="230"/>
        </w:trPr>
        <w:tc>
          <w:tcPr>
            <w:tcW w:w="8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w:t>
            </w:r>
          </w:p>
        </w:tc>
      </w:tr>
      <w:tr>
        <w:trPr>
          <w:trHeight w:val="229"/>
        </w:trPr>
        <w:tc>
          <w:tcPr>
            <w:tcW w:w="8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2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expense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87,436</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22,712</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8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Class A common share – basic</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80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Class A common share – diluted</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80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80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ind w:left="20" w:right="260" w:firstLine="6"/>
        <w:spacing w:after="0" w:line="221" w:lineRule="auto"/>
        <w:tabs>
          <w:tab w:leader="none" w:pos="183" w:val="left"/>
        </w:tabs>
        <w:numPr>
          <w:ilvl w:val="0"/>
          <w:numId w:val="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Cost of revenue, sales and marketing, general and administrative, and research and development expenses are exclusive of depreciation and amortization shown as a separate line item</w:t>
      </w: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22,674</w:t>
            </w:r>
          </w:p>
        </w:tc>
      </w:tr>
      <w:tr>
        <w:trPr>
          <w:trHeight w:val="21"/>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Stockholders’ Deficit (Unaudited)</w:t>
      </w:r>
    </w:p>
    <w:p>
      <w:pPr>
        <w:spacing w:after="0" w:line="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5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86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68"/>
        </w:trPr>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80" w:type="dxa"/>
            <w:vAlign w:val="bottom"/>
            <w:vMerge w:val="restart"/>
          </w:tcPr>
          <w:p>
            <w:pPr>
              <w:spacing w:after="0"/>
              <w:rPr>
                <w:sz w:val="5"/>
                <w:szCs w:val="5"/>
                <w:color w:val="auto"/>
              </w:rPr>
            </w:pPr>
          </w:p>
        </w:tc>
        <w:tc>
          <w:tcPr>
            <w:tcW w:w="15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4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860" w:type="dxa"/>
            <w:vAlign w:val="bottom"/>
          </w:tcPr>
          <w:p>
            <w:pPr>
              <w:jc w:val="center"/>
              <w:ind w:left="19"/>
              <w:spacing w:after="0" w:line="142"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0" w:type="dxa"/>
            <w:vAlign w:val="bottom"/>
          </w:tcPr>
          <w:p>
            <w:pPr>
              <w:spacing w:after="0"/>
              <w:rPr>
                <w:sz w:val="1"/>
                <w:szCs w:val="1"/>
                <w:color w:val="auto"/>
              </w:rPr>
            </w:pPr>
          </w:p>
        </w:tc>
      </w:tr>
      <w:tr>
        <w:trPr>
          <w:trHeight w:val="206"/>
        </w:trPr>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16"/>
                <w:szCs w:val="16"/>
                <w:b w:val="1"/>
                <w:bCs w:val="1"/>
                <w:u w:val="single" w:color="auto"/>
                <w:color w:val="auto"/>
              </w:rPr>
              <w:t>Amount</w:t>
            </w:r>
          </w:p>
        </w:tc>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16"/>
                <w:szCs w:val="16"/>
                <w:b w:val="1"/>
                <w:bCs w:val="1"/>
                <w:u w:val="single" w:color="auto"/>
                <w:color w:val="auto"/>
              </w:rPr>
              <w:t>Amount</w:t>
            </w:r>
          </w:p>
        </w:tc>
        <w:tc>
          <w:tcPr>
            <w:tcW w:w="8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8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0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8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10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Comprehensive  MarketWise,  Noncontrolling  Stockholders’</w:t>
            </w:r>
          </w:p>
        </w:tc>
        <w:tc>
          <w:tcPr>
            <w:tcW w:w="0" w:type="dxa"/>
            <w:vAlign w:val="bottom"/>
          </w:tcPr>
          <w:p>
            <w:pPr>
              <w:spacing w:after="0"/>
              <w:rPr>
                <w:sz w:val="1"/>
                <w:szCs w:val="1"/>
                <w:color w:val="auto"/>
              </w:rPr>
            </w:pPr>
          </w:p>
        </w:tc>
      </w:tr>
      <w:tr>
        <w:trPr>
          <w:trHeight w:val="212"/>
        </w:trPr>
        <w:tc>
          <w:tcPr>
            <w:tcW w:w="8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w:t>
            </w:r>
          </w:p>
        </w:tc>
        <w:tc>
          <w:tcPr>
            <w:tcW w:w="1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20" w:space="120"/>
            <w:col w:w="5460"/>
          </w:cols>
          <w:pgMar w:left="320" w:top="117" w:right="679" w:bottom="1440" w:gutter="0" w:footer="0" w:header="0"/>
          <w:type w:val="continuous"/>
        </w:sectPr>
      </w:pPr>
    </w:p>
    <w:tbl>
      <w:tblPr>
        <w:tblLayout w:type="fixed"/>
        <w:tblInd w:w="20" w:type="dxa"/>
        <w:tblCellMar>
          <w:top w:w="0" w:type="dxa"/>
          <w:left w:w="0" w:type="dxa"/>
          <w:bottom w:w="0" w:type="dxa"/>
          <w:right w:w="0" w:type="dxa"/>
        </w:tblCellMar>
      </w:tblPr>
      <w:tr>
        <w:trPr>
          <w:trHeight w:val="166"/>
        </w:trPr>
        <w:tc>
          <w:tcPr>
            <w:tcW w:w="1360" w:type="dxa"/>
            <w:vAlign w:val="bottom"/>
          </w:tcPr>
          <w:p>
            <w:pPr>
              <w:spacing w:after="0" w:line="166" w:lineRule="exact"/>
              <w:rPr>
                <w:sz w:val="20"/>
                <w:szCs w:val="20"/>
                <w:color w:val="auto"/>
              </w:rPr>
            </w:pPr>
            <w:r>
              <w:rPr>
                <w:rFonts w:ascii="Times New Roman" w:cs="Times New Roman" w:eastAsia="Times New Roman" w:hAnsi="Times New Roman"/>
                <w:sz w:val="16"/>
                <w:szCs w:val="16"/>
                <w:b w:val="1"/>
                <w:bCs w:val="1"/>
                <w:color w:val="auto"/>
              </w:rPr>
              <w:t>Balance at January</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1,819,246</w:t>
            </w:r>
          </w:p>
        </w:tc>
        <w:tc>
          <w:tcPr>
            <w:tcW w:w="3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  14,404,605</w:t>
            </w:r>
          </w:p>
        </w:tc>
        <w:tc>
          <w:tcPr>
            <w:tcW w:w="3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115,196</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(126,343)</w:t>
            </w:r>
          </w:p>
        </w:tc>
        <w:tc>
          <w:tcPr>
            <w:tcW w:w="5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(277,862)</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(288,943)</w:t>
            </w:r>
          </w:p>
        </w:tc>
        <w:tc>
          <w:tcPr>
            <w:tcW w:w="0" w:type="dxa"/>
            <w:vAlign w:val="bottom"/>
          </w:tcPr>
          <w:p>
            <w:pPr>
              <w:spacing w:after="0"/>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1, 2024</w:t>
            </w:r>
          </w:p>
        </w:tc>
        <w:tc>
          <w:tcPr>
            <w:tcW w:w="7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691769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ind w:left="20"/>
        <w:spacing w:after="0" w:line="225" w:lineRule="auto"/>
        <w:rPr>
          <w:sz w:val="20"/>
          <w:szCs w:val="20"/>
          <w:color w:val="auto"/>
        </w:rPr>
      </w:pPr>
      <w:r>
        <w:rPr>
          <w:rFonts w:ascii="Times New Roman" w:cs="Times New Roman" w:eastAsia="Times New Roman" w:hAnsi="Times New Roman"/>
          <w:sz w:val="18"/>
          <w:szCs w:val="18"/>
          <w:color w:val="auto"/>
        </w:rPr>
        <w:t>Equity-based</w:t>
      </w:r>
    </w:p>
    <w:tbl>
      <w:tblPr>
        <w:tblLayout w:type="fixed"/>
        <w:tblInd w:w="0" w:type="dxa"/>
        <w:tblCellMar>
          <w:top w:w="0" w:type="dxa"/>
          <w:left w:w="0" w:type="dxa"/>
          <w:bottom w:w="0" w:type="dxa"/>
          <w:right w:w="0" w:type="dxa"/>
        </w:tblCellMar>
      </w:tblPr>
      <w:tr>
        <w:trPr>
          <w:trHeight w:val="22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740" w:type="dxa"/>
            <w:vAlign w:val="bottom"/>
            <w:gridSpan w:val="2"/>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units withheld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pay taxes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740" w:type="dxa"/>
            <w:vAlign w:val="bottom"/>
            <w:gridSpan w:val="2"/>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declared</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declared to</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noncontrolling</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740" w:type="dxa"/>
            <w:vAlign w:val="bottom"/>
            <w:gridSpan w:val="2"/>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per</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redemption of</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Class B shares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for Class A</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translation</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6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Remeasurement</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of deferred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taxes due to</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noncontrolling</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0"/>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22,712</w:t>
            </w:r>
          </w:p>
        </w:tc>
        <w:tc>
          <w:tcPr>
            <w:tcW w:w="0" w:type="dxa"/>
            <w:vAlign w:val="bottom"/>
          </w:tcPr>
          <w:p>
            <w:pPr>
              <w:spacing w:after="0"/>
              <w:rPr>
                <w:sz w:val="1"/>
                <w:szCs w:val="1"/>
                <w:color w:val="auto"/>
              </w:rPr>
            </w:pPr>
          </w:p>
        </w:tc>
      </w:tr>
      <w:tr>
        <w:trPr>
          <w:trHeight w:val="142"/>
        </w:trPr>
        <w:tc>
          <w:tcPr>
            <w:tcW w:w="13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March</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1,906,112</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14,379,605</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115,291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(124,686)</w:t>
            </w: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27</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(9,367)</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(260,019)</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(269,386)</w:t>
            </w:r>
          </w:p>
        </w:tc>
        <w:tc>
          <w:tcPr>
            <w:tcW w:w="0" w:type="dxa"/>
            <w:vAlign w:val="bottom"/>
          </w:tcPr>
          <w:p>
            <w:pPr>
              <w:spacing w:after="0"/>
              <w:rPr>
                <w:sz w:val="1"/>
                <w:szCs w:val="1"/>
                <w:color w:val="auto"/>
              </w:rPr>
            </w:pPr>
          </w:p>
        </w:tc>
      </w:tr>
      <w:tr>
        <w:trPr>
          <w:trHeight w:val="20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type w:val="continuous"/>
        </w:sectPr>
      </w:pPr>
    </w:p>
    <w:bookmarkStart w:id="9" w:name="page10"/>
    <w:bookmarkEnd w:id="9"/>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8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5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8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4"/>
                <w:szCs w:val="4"/>
                <w:color w:val="auto"/>
              </w:rPr>
            </w:pPr>
          </w:p>
        </w:tc>
        <w:tc>
          <w:tcPr>
            <w:tcW w:w="8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restart"/>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1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2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1,978,136</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13,994,498</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(119,284)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2025</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213"/>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 withheld</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(38,958)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declared</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(17,640)</w:t>
            </w: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B shares</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(261,634)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Class A</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deferred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taxes due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change 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142"/>
        </w:trPr>
        <w:tc>
          <w:tcPr>
            <w:tcW w:w="12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2,320,126</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13,732,864</w:t>
            </w:r>
          </w:p>
        </w:tc>
        <w:tc>
          <w:tcPr>
            <w:tcW w:w="8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102,531</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(118,394)</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(201,925)</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(217,731)</w:t>
            </w: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7" w:right="819" w:bottom="1440" w:gutter="0" w:footer="0" w:header="0"/>
        </w:sectPr>
      </w:pPr>
    </w:p>
    <w:bookmarkStart w:id="10" w:name="page11"/>
    <w:bookmarkEnd w:id="10"/>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foreign currency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gains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 and payables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3"/>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withheld to pay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23"/>
        </w:trPr>
        <w:tc>
          <w:tcPr>
            <w:tcW w:w="8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131,175</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129" w:lineRule="exact"/>
        <w:rPr>
          <w:sz w:val="20"/>
          <w:szCs w:val="20"/>
          <w:color w:val="auto"/>
        </w:rPr>
      </w:pPr>
    </w:p>
    <w:p>
      <w:pPr>
        <w:ind w:right="3980"/>
        <w:spacing w:after="0" w:line="525" w:lineRule="auto"/>
        <w:rPr>
          <w:sz w:val="20"/>
          <w:szCs w:val="20"/>
          <w:color w:val="auto"/>
        </w:rPr>
      </w:pPr>
      <w:r>
        <w:rPr>
          <w:rFonts w:ascii="Times New Roman" w:cs="Times New Roman" w:eastAsia="Times New Roman" w:hAnsi="Times New Roman"/>
          <w:sz w:val="18"/>
          <w:szCs w:val="18"/>
          <w:color w:val="auto"/>
        </w:rPr>
        <w:t xml:space="preserve">We operate multiple subsidiaries in the United States from our headquarters in Baltimore, Maryland. </w:t>
      </w: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b w:val="1"/>
          <w:bCs w:val="1"/>
          <w:i w:val="1"/>
          <w:iCs w:val="1"/>
          <w:color w:val="auto"/>
        </w:rPr>
        <w:t>Basis of Consolidation</w:t>
      </w:r>
    </w:p>
    <w:p>
      <w:pPr>
        <w:spacing w:after="0" w:line="22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MarketWise, Inc. and its subsidiary, MarketWise, LLC, a variable interest entity (“VIE”) for which MarketWise, Inc. is deemed to be the primary beneficiary.</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condensed consolidated financial statements (“financial statements”). As of March 31, 2025, MarketWise, Inc. had a 14.5% ownership interest in MarketWise, LLC.</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determined that MarketWise, LLC is the primary beneficiary of a VIE, and therefore, the assets, liabilities, and results of operations of that VIE are included in the Company’s consolidated financial statements.</w:t>
      </w:r>
    </w:p>
    <w:p>
      <w:pPr>
        <w:spacing w:after="0" w:line="108" w:lineRule="exact"/>
        <w:rPr>
          <w:sz w:val="20"/>
          <w:szCs w:val="20"/>
          <w:color w:val="auto"/>
        </w:rPr>
      </w:pPr>
    </w:p>
    <w:p>
      <w:pPr>
        <w:ind w:right="40"/>
        <w:spacing w:after="0" w:line="438" w:lineRule="auto"/>
        <w:rPr>
          <w:sz w:val="20"/>
          <w:szCs w:val="20"/>
          <w:color w:val="auto"/>
        </w:rPr>
      </w:pPr>
      <w:r>
        <w:rPr>
          <w:rFonts w:ascii="Times New Roman" w:cs="Times New Roman" w:eastAsia="Times New Roman" w:hAnsi="Times New Roman"/>
          <w:sz w:val="18"/>
          <w:szCs w:val="18"/>
          <w:color w:val="auto"/>
        </w:rPr>
        <w:t xml:space="preserve">The financial statements have been prepared in accordance with GAAP. All intercompany balances and transactions have been eliminated in consolidation. </w:t>
      </w:r>
      <w:r>
        <w:rPr>
          <w:rFonts w:ascii="Times New Roman" w:cs="Times New Roman" w:eastAsia="Times New Roman" w:hAnsi="Times New Roman"/>
          <w:sz w:val="18"/>
          <w:szCs w:val="18"/>
          <w:b w:val="1"/>
          <w:bCs w:val="1"/>
          <w:i w:val="1"/>
          <w:iCs w:val="1"/>
          <w:color w:val="auto"/>
        </w:rPr>
        <w:t>Unaudited Interim Financial Information</w:t>
      </w:r>
    </w:p>
    <w:p>
      <w:pPr>
        <w:spacing w:after="0" w:line="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accompanying unaudited financial statements and the related footnote disclosures have been prepared by us in accordance with GAAP for interim financial reporting and as required by Rule 10-01 of Regulation S-X. Accordingly, the unaudited financial statements may not include all of the information and notes required by GAAP for audited financial statements. The year-end December 31, 2024 consolidated balance sheet data included herein was derived from audited financial statements but does not include all disclosures required by GAAP for complete financial statements. In the opinion of management, the accompanying unaudited financial statements contain all adjustments, consisting of items of a normal and recurring nature, necessary to present fairly our financial position as of March 31, 2025, the results of operations, comprehensive income, stockholders’ deficit, and cash flows for the three months ended March 31, 2025 and 2024. The results of operations for the three months ended March 31, 2025 are not necessarily indicative of the results to be expected for the full year. The information contained herein should be read in conjunction with the audited financial statements included in our Annual Report on Form 10-K for the year ended December 31, 2024 filed with the SEC. Management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condensed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liabilities as of the date of the financial statements and the reported amounts of revenues and expenses during the reporting period. Significant estimates and assumptions made in the accompanying financial statements include, but are not limited to, the fair value of common units, estimates of the Tax Receivable Agreement liability,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unaudited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Effective as of April 2, 2025, the Company effected a reverse stock split (the “Reverse Stock Split”) of the Company’s shares of Class A and Class B common stock at a ratio of 1-for-20 as approved by the Company’s Board of Directors (the “Board”) and stockholders.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Reverse Stock Split proportionately decreased the number of shares of common stock authorized under the Company’s Certificate of Incorporation. The authorized Class A common stock was reduced from 950,000,000 shares to 47,500,000 shares and the authorized Class B common stock from 300,000,000 shares to 15,000,000 shares. The number of authorized shares of preferred stock remained unchanged.</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Proportional adjustments were made to (i) the per share exercise price and number of shares issuable upon the exercise of outstanding equity awards, including Sponsor Earnout Shares and Management Earnout Shares (as defined and discussed in our Current Report on Form 8-K filed with the SEC on July 28, 2021); and (ii) the number of shares reserved for issuance pursuant to the Company’s equity incentive plan and employee stock purchase plan.</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Holders of fractional shares as a result of the Reverse Stock Split were paid in cash, with reference to the closing price of the Company’s common stock on April 2, 2025 (adjusted to give effect to the reverse stock split),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to the condensed consolidated financial statements give retroactive effect to the Reverse Stock Split for all periods presented, unless otherwise specified.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Noncontrolling interest represents the Company’s noncontrolling interest in consolidated subsidiaries which are not attributable, directly or indirectly, to the controlling Class A common stock ownership of the Company.</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2025 and 2024 was fully attributable to consolidated MarketWise, Inc. and its respective noncontrolling interests.</w:t>
      </w:r>
    </w:p>
    <w:p>
      <w:pPr>
        <w:spacing w:after="0" w:line="10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March 31, 2025, MarketWise, Inc.’s controlling interest in MarketWise, LLC is 14.5% and the noncontrolling interest was 85.5%. For the three months ended March 31, 2025, net income attributable to controlling interests included a $1,038 tax provision, which is 100% attributable to the controlling interest.</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March 31, 2024, MarketWise, Inc.’s controlling interest in MarketWise, LLC was 11.7% and the noncontrolling interest was 88.3%. For the three months ended March 31, 2024, net income attributable to controlling interests included a $735 tax provision, which was 100% attributable to the controlling interest.</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disaggregation of revenue according to customer type and is consistent with how we evaluate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this depicts how the nature, amount, timing and uncertainty of revenue and cash flows are affected by economic factors.</w:t>
      </w:r>
    </w:p>
    <w:p>
      <w:pPr>
        <w:spacing w:after="0" w:line="18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-624840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-333375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33"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3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Timing of transfer: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Transferred over time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spacing w:after="0"/>
              <w:rPr>
                <w:sz w:val="19"/>
                <w:szCs w:val="19"/>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3"/>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108,275</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108,991</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recognition by subscription type was as follows: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7"/>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Membership subscriptions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subscriptions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58,649</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108,991</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 for the Membership and Term subscription types are determined based on the terms of the subscription agreements. Non-subscription revenue consists of revenue from advertising and other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cash collections and refunds affects the recognition of accounts receivable, contract assets and deferred revenue. Our current deferred revenue balance in the condensed consolidated balance sheets includes an obligation for refunds for contracts where the provision for refund has not lapsed. Accounts receivable, deferred revenue and obligation for refunds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for refunds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215,326</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209,013</w:t>
            </w:r>
          </w:p>
        </w:tc>
      </w:tr>
    </w:tbl>
    <w:p>
      <w:pPr>
        <w:spacing w:after="0" w:line="23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recognized $70,915 and $92,561 of revenue during the three months ended March 31, 2025 and 2024, respectively, that was included within the beginning contract liability balance of the respective periods. The Company has collected all amounts included in deferred revenue other than $8,789 and $1,876 as of March 31, 2025 and December 31, 2024, respectively, related to the timing of cash settlement with our credit card processor.</w:t>
      </w:r>
    </w:p>
    <w:p>
      <w:pPr>
        <w:sectPr>
          <w:pgSz w:w="11900" w:h="16838" w:orient="portrait"/>
          <w:cols w:equalWidth="0" w:num="1">
            <w:col w:w="11240"/>
          </w:cols>
          <w:pgMar w:left="320" w:top="117" w:right="33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opening and closing balances of our capitalized costs associated with contracts with customers: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Royalties and sales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share and cost per acquisition fees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capitalized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hanging="1096"/>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99,335</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3,650</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(18,078)</w:t>
      </w:r>
    </w:p>
    <w:p>
      <w:pPr>
        <w:spacing w:after="0" w:line="31" w:lineRule="exact"/>
        <w:rPr>
          <w:sz w:val="20"/>
          <w:szCs w:val="20"/>
          <w:color w:val="auto"/>
        </w:rPr>
      </w:pPr>
    </w:p>
    <w:p>
      <w:pPr>
        <w:ind w:left="1100" w:hanging="1096"/>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062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20" w:space="360"/>
            <w:col w:w="1660"/>
          </w:cols>
          <w:pgMar w:left="320" w:top="117" w:right="339" w:bottom="1440" w:gutter="0" w:footer="0" w:header="0"/>
          <w:type w:val="continuous"/>
        </w:sectPr>
      </w:pPr>
    </w:p>
    <w:p>
      <w:pPr>
        <w:spacing w:after="0" w:line="79" w:lineRule="exact"/>
        <w:rPr>
          <w:sz w:val="20"/>
          <w:szCs w:val="20"/>
          <w:color w:val="auto"/>
        </w:rPr>
      </w:pPr>
    </w:p>
    <w:p>
      <w:pPr>
        <w:ind w:right="160"/>
        <w:spacing w:after="0" w:line="438" w:lineRule="auto"/>
        <w:rPr>
          <w:sz w:val="20"/>
          <w:szCs w:val="20"/>
          <w:color w:val="auto"/>
        </w:rPr>
      </w:pPr>
      <w:r>
        <w:rPr>
          <w:rFonts w:ascii="Times New Roman" w:cs="Times New Roman" w:eastAsia="Times New Roman" w:hAnsi="Times New Roman"/>
          <w:sz w:val="18"/>
          <w:szCs w:val="18"/>
          <w:color w:val="auto"/>
        </w:rPr>
        <w:t xml:space="preserve">We did not recognize any impairment on capitalized costs associated with contracts with customers for the three months ended March 31, 2025 and 2024. </w:t>
      </w:r>
      <w:r>
        <w:rPr>
          <w:rFonts w:ascii="Times New Roman" w:cs="Times New Roman" w:eastAsia="Times New Roman" w:hAnsi="Times New Roman"/>
          <w:sz w:val="18"/>
          <w:szCs w:val="18"/>
          <w:b w:val="1"/>
          <w:bCs w:val="1"/>
          <w:i w:val="1"/>
          <w:iCs w:val="1"/>
          <w:color w:val="auto"/>
        </w:rPr>
        <w:t>Remaining Performance Obligations</w:t>
      </w:r>
    </w:p>
    <w:p>
      <w:pPr>
        <w:spacing w:after="0" w:line="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$415,103 of remaining performance obligations presented as deferred revenue in the condensed consolidated balance sheets. We expect to recognize approximately 51% of that amount as revenues over the next twelve months, with the remainder recognized thereafter.</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 Net</w:t>
            </w:r>
          </w:p>
        </w:tc>
        <w:tc>
          <w:tcPr>
            <w:tcW w:w="3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amounts of goodwill are as follows:</w:t>
            </w:r>
          </w:p>
        </w:tc>
        <w:tc>
          <w:tcPr>
            <w:tcW w:w="3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3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30,043</w:t>
            </w:r>
          </w:p>
        </w:tc>
      </w:tr>
      <w:tr>
        <w:trPr>
          <w:trHeight w:val="27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3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-16510</wp:posOffset>
            </wp:positionV>
            <wp:extent cx="1062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8890</wp:posOffset>
            </wp:positionV>
            <wp:extent cx="1062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as of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 Life (in</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7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Internet domain names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22,575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 Life (in</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7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Internet domain names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22,380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700"/>
        <w:spacing w:after="0" w:line="289" w:lineRule="auto"/>
        <w:rPr>
          <w:sz w:val="20"/>
          <w:szCs w:val="20"/>
          <w:color w:val="auto"/>
        </w:rPr>
      </w:pPr>
      <w:r>
        <w:rPr>
          <w:rFonts w:ascii="Times New Roman" w:cs="Times New Roman" w:eastAsia="Times New Roman" w:hAnsi="Times New Roman"/>
          <w:sz w:val="17"/>
          <w:szCs w:val="17"/>
          <w:color w:val="auto"/>
        </w:rPr>
        <w:t>We recorded amortization expense related to finite-lived intangible assets of $477 and $633 for the three months ended March 31, 2025 and 2024, respectively, within depreciation and amortization in the accompanying condensed consolidated statement of operations. These amounts include amortization of capitalized software development costs of $225 and $264 for the three months ended March 31, 2025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additions to capitalized software development costs of $195 and $297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95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MARKETWISE, INC.</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8"/>
        </w:trPr>
        <w:tc>
          <w:tcPr>
            <w:tcW w:w="95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6"/>
        </w:trPr>
        <w:tc>
          <w:tcPr>
            <w:tcW w:w="9560" w:type="dxa"/>
            <w:vAlign w:val="bottom"/>
          </w:tcPr>
          <w:p>
            <w:pPr>
              <w:jc w:val="center"/>
              <w:ind w:left="1590"/>
              <w:spacing w:after="0"/>
              <w:rPr>
                <w:sz w:val="20"/>
                <w:szCs w:val="20"/>
                <w:color w:val="auto"/>
              </w:rPr>
            </w:pPr>
            <w:r>
              <w:rPr>
                <w:rFonts w:ascii="Times New Roman" w:cs="Times New Roman" w:eastAsia="Times New Roman" w:hAnsi="Times New Roman"/>
                <w:sz w:val="18"/>
                <w:szCs w:val="18"/>
                <w:i w:val="1"/>
                <w:iCs w:val="1"/>
                <w:color w:val="auto"/>
                <w:w w:val="99"/>
              </w:rPr>
              <w:t>(Dollar amounts in thousands, except share, unit, per share, and per unit data)</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70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2025, the total expected future amortization expense for finite-lived intangible assets is as follows:</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9"/>
        </w:trPr>
        <w:tc>
          <w:tcPr>
            <w:tcW w:w="9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assets and liabilities measured at fair value on a recurring basis by level within the fair value hierarchy as of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74,789</w:t>
            </w: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74,789</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1,372</w:t>
            </w:r>
          </w:p>
        </w:tc>
        <w:tc>
          <w:tcPr>
            <w:tcW w:w="1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76,161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23"/>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96,215</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level 3 assets relate to contingent consideration receivable from a related party associated with the sale of brands disposed as part of the Legacy Reorganization and the Buttonwood Publishing sale. The level 3 liabilities relate to profits interests, which are presented in other liabilities, noncurrent on the condensed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the recurring Level 3 fair value measurements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3 Fair Value Measurements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3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Statement Line Item That Includes The Gains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60" w:type="dxa"/>
            <w:vAlign w:val="bottom"/>
          </w:tcPr>
          <w:p>
            <w:pPr>
              <w:spacing w:after="0"/>
              <w:rPr>
                <w:sz w:val="11"/>
                <w:szCs w:val="11"/>
                <w:color w:val="auto"/>
              </w:rPr>
            </w:pP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Profits interests,</w:t>
            </w: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Losses</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60" w:type="dxa"/>
            <w:vAlign w:val="bottom"/>
          </w:tcPr>
          <w:p>
            <w:pPr>
              <w:spacing w:after="0"/>
              <w:rPr>
                <w:sz w:val="17"/>
                <w:szCs w:val="17"/>
                <w:color w:val="auto"/>
              </w:rPr>
            </w:pPr>
          </w:p>
        </w:tc>
        <w:tc>
          <w:tcPr>
            <w:tcW w:w="12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0" w:type="dxa"/>
            <w:vAlign w:val="bottom"/>
          </w:tcPr>
          <w:p>
            <w:pPr>
              <w:spacing w:after="0"/>
              <w:rPr>
                <w:sz w:val="1"/>
                <w:szCs w:val="1"/>
                <w:color w:val="auto"/>
              </w:rPr>
            </w:pPr>
          </w:p>
        </w:tc>
      </w:tr>
      <w:tr>
        <w:trPr>
          <w:trHeight w:val="255"/>
        </w:trPr>
        <w:tc>
          <w:tcPr>
            <w:tcW w:w="4580" w:type="dxa"/>
            <w:vAlign w:val="bottom"/>
            <w:tcBorders>
              <w:top w:val="single" w:sz="8" w:color="CCEEFF"/>
            </w:tcBorders>
            <w:shd w:val="clear" w:color="auto" w:fill="CCEEFF"/>
          </w:tcPr>
          <w:p>
            <w:pPr>
              <w:spacing w:after="0"/>
              <w:rPr>
                <w:sz w:val="22"/>
                <w:szCs w:val="22"/>
                <w:color w:val="auto"/>
              </w:rPr>
            </w:pPr>
          </w:p>
        </w:tc>
        <w:tc>
          <w:tcPr>
            <w:tcW w:w="35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35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recurring Level 3 fair value measurements inputs for the contingent consideration receivable, profits interests, and contingent consideration liability at their measurement dates:</w:t>
      </w:r>
    </w:p>
    <w:tbl>
      <w:tblPr>
        <w:tblLayout w:type="fixed"/>
        <w:tblInd w:w="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1940" w:type="dxa"/>
            <w:vAlign w:val="bottom"/>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9300" w:type="dxa"/>
            <w:vAlign w:val="bottom"/>
          </w:tcPr>
          <w:p>
            <w:pPr>
              <w:spacing w:after="0"/>
              <w:rPr>
                <w:sz w:val="17"/>
                <w:szCs w:val="17"/>
                <w:color w:val="auto"/>
              </w:rPr>
            </w:pPr>
          </w:p>
        </w:tc>
        <w:tc>
          <w:tcPr>
            <w:tcW w:w="19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receivable</w:t>
            </w:r>
          </w:p>
        </w:tc>
        <w:tc>
          <w:tcPr>
            <w:tcW w:w="1940" w:type="dxa"/>
            <w:vAlign w:val="bottom"/>
            <w:shd w:val="clear" w:color="auto" w:fill="CCEEFF"/>
          </w:tcPr>
          <w:p>
            <w:pPr>
              <w:spacing w:after="0"/>
              <w:rPr>
                <w:sz w:val="18"/>
                <w:szCs w:val="18"/>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57"/>
        </w:trPr>
        <w:tc>
          <w:tcPr>
            <w:tcW w:w="93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Profits interests</w:t>
            </w:r>
          </w:p>
        </w:tc>
        <w:tc>
          <w:tcPr>
            <w:tcW w:w="1940" w:type="dxa"/>
            <w:vAlign w:val="bottom"/>
          </w:tcPr>
          <w:p>
            <w:pPr>
              <w:spacing w:after="0"/>
              <w:rPr>
                <w:sz w:val="19"/>
                <w:szCs w:val="19"/>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Implementation Costs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capitalized implementation costs are capitalized within other current assets and other assets on the condensed consolidated balance sheets. There were no capitalized cloud computing costs during the three months ended March 31, 2025 or 2024. Amortization expense related to capitalized cloud computing implementation costs was $242 and $238 for the three months ended March 31, 2025 and 2024,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software and equipment</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years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Shorter of estimated useful life or</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remaining term of lease</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2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$54 and $60 for the three months ended March 31, 2025 and 2024, respectively. During the three months ended March 31, 2025, the Company recorded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impairment loss on leasehold improvement assets totaling $380, and the related lease was terminated for a gain of $1,646, which is included within general and administrative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variable compensation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r>
      <w:tr>
        <w:trPr>
          <w:trHeight w:val="22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w:t>
            </w:r>
          </w:p>
        </w:tc>
      </w:tr>
      <w:tr>
        <w:trPr>
          <w:trHeight w:val="21"/>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cost of revenue, sales and marketing, and general and administrative expenses are total stock-based compensation expenses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 based-compensation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0"/>
        </w:trPr>
        <w:tc>
          <w:tcPr>
            <w:tcW w:w="7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Total stock-based compensation expense for the three months ended March 31, 2025 and 2024 includes expenses related to our 2021 Incentive Award Plan, our ESPP and profits interests, as follows:</w:t>
      </w: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Incentive Award Plan</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 interests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17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granted 17,429 restricted stock units (“RSUs”) to certain employees and service providers in aggregate under our 2021 Incentive Award Plan.</w:t>
      </w:r>
    </w:p>
    <w:p>
      <w:pPr>
        <w:spacing w:after="0" w:line="108"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For employees and service providers, both RSUs and stock appreciation rights (“SARs”) are primarily time 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the RSU is the same as the Company’s share price on the date of grant. The fair value of the SARs was determined using a Black-Scholes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activities of the RSUs and SARs and the related weighted average grant-date fair value of the respective share classes are summarized as follows, including granted, exercised and forfeited from January 1, 2025 to March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100" w:type="dxa"/>
            <w:vAlign w:val="bottom"/>
          </w:tcPr>
          <w:p>
            <w:pPr>
              <w:spacing w:after="0"/>
              <w:rPr>
                <w:sz w:val="11"/>
                <w:szCs w:val="11"/>
                <w:color w:val="auto"/>
              </w:rPr>
            </w:pPr>
          </w:p>
        </w:tc>
        <w:tc>
          <w:tcPr>
            <w:tcW w:w="114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(RSUs) or Exercised (SARs)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2025</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March 31,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stock compensation expense related to the RSU and SAR grants was $3,329 and $2,086 during the three months ended March 31, 2025 and 2024, respectively. As of March 31, 2025, 44,624 SARs were exercisable and they have a remaining contractual term of 6.5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$13 and $89 of stock-based compensation expense related to the Employee Stock Purchase Plan ("ESPP”) during the three months ended March 31, 2025 and 2024, respectively. As of March 31, 2025, $64 has been withheld on behalf of employees for the June 30, 2025 purchase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recognized $(201) and $1,632 of stock-based compensation (benefit) expense related to the profits interests during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months ended March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2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w:t>
            </w:r>
          </w:p>
        </w:tc>
      </w:tr>
      <w:tr>
        <w:trPr>
          <w:trHeight w:val="229"/>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21,055</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tcPr>
          <w:p>
            <w:pPr>
              <w:spacing w:after="0"/>
              <w:rPr>
                <w:sz w:val="19"/>
                <w:szCs w:val="19"/>
                <w:color w:val="auto"/>
              </w:rPr>
            </w:pP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5"/>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10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5"/>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potentially dilutive securities and their impact on the computation of diluted earnings per share is as follows:</w:t>
      </w:r>
    </w:p>
    <w:p>
      <w:pPr>
        <w:spacing w:after="0" w:line="171" w:lineRule="exact"/>
        <w:rPr>
          <w:sz w:val="20"/>
          <w:szCs w:val="20"/>
          <w:color w:val="auto"/>
        </w:rPr>
      </w:pPr>
    </w:p>
    <w:p>
      <w:pPr>
        <w:ind w:left="660" w:right="160" w:hanging="328"/>
        <w:spacing w:after="0" w:line="266" w:lineRule="auto"/>
        <w:tabs>
          <w:tab w:leader="none" w:pos="6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MarketWise Management Member Earnout Shares: the 152,550 Sponsor Earnout Shares and the 100,000 MarketWise Management Member Earnout Shares held in escrow are excluded from the earnings per share computation in both periods since the earnout contingency has not been met.</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The basic earnings per share calculation includes the impact of vested RSUs. The diluted earnings per share calculation includes the impact of unvested RSUs, where the impact is dilutive, unless the Company has a net loss.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The diluted earnings per share calculation excludes the impact of SARs since the effect was antidilutive.</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ESPP: The diluted earnings per share calculation includes the impact of dilutive shares and excludes the impact of antidilutive shares under the ESPP as of March 31, 2025 and 2024.</w:t>
      </w:r>
    </w:p>
    <w:p>
      <w:pPr>
        <w:spacing w:after="0" w:line="34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not pay income taxes in most jurisdictions. Instead, MarketWise, LLC’s taxable income or loss is passed through to its members, including us.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effective income tax rate was 5.8% and 3.1% for the three months ended March 31, 2025 and 2024, respectively. The main driver of the rate for the three months ended March 31, 2024 was the impact of discrete items related to a lease termination and the change in fair value of contingent consideration. The main driver of the increase in the effective tax rate from the three months ended March 31, 2024 is the change in the income allocation to the non-controlling interest. Our effective tax rate for the three months ended March 31, 2025 differs from the U.S. federal statutory rate primarily because we generally do not record income taxes for the noncontrolling portion of pre-tax income.</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$30,944 for certain deferred tax assets that are not more likely than not to be realized.</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the Transactions (as defined and discussed in our Current Report on Form 8-K filed with the SEC on July 28, 2021),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to be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three months ended March 31, 2025, Members of MarketWise, LLC exchanged an aggregate of 261,634 common units of MarketWise, LLC (“LLC Units”) together with an equal number of shares of Class B common stock for 261,634 newly-issued shares of Class A common stock. As a result, we have recorded a cumulative liability of $3,737 under the TRA as of March 31, 2025. No payments have been made under the TRA and no significant payments are expected in the next 12 months.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had no unrecognized tax positions and believe there will be no changes to uncertain tax positions within the next 12 months.</w:t>
      </w:r>
    </w:p>
    <w:p>
      <w:pPr>
        <w:spacing w:after="0" w:line="200" w:lineRule="exact"/>
        <w:rPr>
          <w:sz w:val="20"/>
          <w:szCs w:val="20"/>
          <w:color w:val="auto"/>
        </w:rPr>
      </w:pPr>
    </w:p>
    <w:p>
      <w:pPr>
        <w:spacing w:after="0" w:line="3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certain revenue share agreements with related parties. Accordingly, we recognized revenue from related parties of $493 and $379 for the three months ended March 31, 2025 and 2024, respectively.</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also incurred revenue share expenses paid to related parties of $1,061 and $1,306 which were capitalized as contract origination costs for the three months ended March 31, 2025 and 2024, respectively.</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related party provided call center support and other services to the Company for which we recorded an expense within cost of revenue of $110 and $134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related party provided marketing and copywriting services to the Company for which we recorded an expense within cost of revenue of $90 and $0 for the three months ended March 31, 2025 and 2024, respectively.</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 related party also provided certain corporate functions to MarketWise and the costs of these services are charged to MarketWise. We recorded $24 and $23 for the three months ended March 31, 2025 and 2024, respectively, within related party expense in the accompanying condensed consolidated statement of operations. We held balances of $704 and $354 as of March 31, 2025 and December 31, 2024 of related party payables related to revenue share expenses, call center support, and the services noted above. The balances with this related party are presented net and are included in related party payables in the condensed consolidated balance sheet.</w:t>
      </w:r>
    </w:p>
    <w:p>
      <w:pPr>
        <w:spacing w:after="0" w:line="1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earned fees and provided certain accounting and marketing services to companies owned by certain of MarketWise’s Class B stockholders. As a result, we recognized $160 and $155 in other income, net for the three months ended March 31, 2025 and 2024, respectively. Related party receivables related to these services were $160 and $194 as of March 31, 2025 and December 31, 2024, respectively.</w:t>
      </w:r>
    </w:p>
    <w:p>
      <w:pPr>
        <w:spacing w:after="0" w:line="12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We lease offices from related parties. Lease payments made to related parties were $403 and $435 for the three months ended March 31, 2025 and 2024, respectively, and related party rent expense of $551 and $603 were recognized in general and administrative expenses for the three months ended March 31, 2025 and 2024. At March 31, 2025 and December 31, 2024, ROU assets of $2,770 and $3,172 and lease liabilities of $1,762 and $4,335 are associated with leases with related parties. Additionally, we paid $700 in lease termination fees related to our former Legacy Research lease during the three months ended March 31, 2025. For more information, see </w:t>
      </w:r>
      <w:r>
        <w:rPr>
          <w:rFonts w:ascii="Times New Roman" w:cs="Times New Roman" w:eastAsia="Times New Roman" w:hAnsi="Times New Roman"/>
          <w:sz w:val="18"/>
          <w:szCs w:val="18"/>
          <w:i w:val="1"/>
          <w:iCs w:val="1"/>
          <w:color w:val="auto"/>
        </w:rPr>
        <w:t>Note 6 – Balance Sheet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disclosures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0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03"/>
        </w:trPr>
        <w:tc>
          <w:tcPr>
            <w:tcW w:w="7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included in accounts payable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5"/>
        </w:trPr>
        <w:tc>
          <w:tcPr>
            <w:tcW w:w="7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680" w:type="dxa"/>
            <w:vAlign w:val="bottom"/>
          </w:tcPr>
          <w:p>
            <w:pPr>
              <w:spacing w:after="0"/>
              <w:rPr>
                <w:sz w:val="24"/>
                <w:szCs w:val="24"/>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79,178</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131,175</w:t>
            </w:r>
          </w:p>
        </w:tc>
      </w:tr>
      <w:tr>
        <w:trPr>
          <w:trHeight w:val="248"/>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131,175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(i) issued and outstanding Class A common stock with a par value of $0.0001 per share, and (ii) issued and outstanding Class B common stock with a par value of $0.0001 per share.</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reflects information about the Company’s equity as of March 31, 2025. The 152,550 Sponsor Earnout Shares held in escrow and the 100,000 Management Member Earnout Shares are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contingently issuable shares and therefore excluded from the number of Class A common stock issued and outstanding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5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47,500,000</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2,320,126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2,320,126</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13,732,864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13,732,864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162,500,000</w:t>
            </w:r>
          </w:p>
        </w:tc>
        <w:tc>
          <w:tcPr>
            <w:tcW w:w="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16,052,990</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16,052,990</w:t>
            </w:r>
          </w:p>
        </w:tc>
      </w:tr>
      <w:tr>
        <w:trPr>
          <w:trHeight w:val="20"/>
        </w:trPr>
        <w:tc>
          <w:tcPr>
            <w:tcW w:w="5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share of Class A and Class B common stock entitles the holder to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2025, we paid quarterly dividends on shares of our Class A common stock. We also declared a special dividend for Class A shareholders on January 15, 2025 which was paid on March 26, 2025.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dividends and distributions declared during the three months ended March 31, 2025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5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00" w:type="dxa"/>
            <w:vAlign w:val="bottom"/>
            <w:tcBorders>
              <w:bottom w:val="single" w:sz="8" w:color="auto"/>
            </w:tcBorders>
            <w:vMerge w:val="continue"/>
          </w:tcPr>
          <w:p>
            <w:pPr>
              <w:spacing w:after="0"/>
              <w:rPr>
                <w:sz w:val="16"/>
                <w:szCs w:val="16"/>
                <w:color w:val="auto"/>
              </w:rPr>
            </w:pPr>
          </w:p>
        </w:tc>
        <w:tc>
          <w:tcPr>
            <w:tcW w:w="3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15, 2025</w:t>
            </w:r>
          </w:p>
        </w:tc>
        <w:tc>
          <w:tcPr>
            <w:tcW w:w="3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February 26, 2025</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0.60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1,249</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96"/>
              </w:rPr>
              <w:t>N/A</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31, 2025</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0.20</w:t>
            </w:r>
          </w:p>
        </w:tc>
        <w:tc>
          <w:tcPr>
            <w:tcW w:w="10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20"/>
                <w:szCs w:val="20"/>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28, 2025, the Company announced that the Board 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next 12 months but the program may be modified, suspended, or terminated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The share repurchase program does not obligate the Company to repurchase any dollar amount or number of shares.</w:t>
      </w:r>
    </w:p>
    <w:p>
      <w:pPr>
        <w:spacing w:after="0" w:line="17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unitholders of MarketWise, LLC in accordance with the MarketWise Operating Agreement.</w:t>
      </w:r>
    </w:p>
    <w:p>
      <w:pPr>
        <w:spacing w:after="0" w:line="1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monitors financial results for internal purposes that are not prepared in accordance with GAAP (“Adjusted Basis”) because these results more closely align to how the business generates and uses cash.</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CODM uses Adjusted Net Profit (Loss) as the key performance measure for evaluating segment income or loss on a monthly basis when assessing segment performance and when making decisions about how to allocate operating resources, such as marketing spend and determining variable compensation for certain employees.</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primary components of the “Corporate and all other” line in the following tables include certain corporate overhead charges, expenses that have not been allocated to the reportable segment, including corporate functions, taxes, and activity related to components that is below quantitative threshold for separate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5" w:name="page26"/>
    <w:bookmarkEnd w:id="25"/>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reportable segment Adjusted Basis Net Profit (Loss) to the consolidated totals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56"/>
        </w:trPr>
        <w:tc>
          <w:tcPr>
            <w:tcW w:w="7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net revenue for reportable segment </w:t>
            </w:r>
            <w:r>
              <w:rPr>
                <w:rFonts w:ascii="Times New Roman" w:cs="Times New Roman" w:eastAsia="Times New Roman" w:hAnsi="Times New Roman"/>
                <w:sz w:val="23"/>
                <w:szCs w:val="23"/>
                <w:color w:val="auto"/>
                <w:vertAlign w:val="superscript"/>
              </w:rPr>
              <w:t>(a)</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86,104</w:t>
            </w:r>
          </w:p>
        </w:tc>
        <w:tc>
          <w:tcPr>
            <w:tcW w:w="8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109,028</w:t>
            </w: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to total net revenue for reportable segment </w:t>
            </w:r>
            <w:r>
              <w:rPr>
                <w:rFonts w:ascii="Times New Roman" w:cs="Times New Roman" w:eastAsia="Times New Roman" w:hAnsi="Times New Roman"/>
                <w:sz w:val="23"/>
                <w:szCs w:val="23"/>
                <w:color w:val="auto"/>
                <w:vertAlign w:val="superscript"/>
              </w:rPr>
              <w:t>(b)</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expense </w:t>
            </w:r>
            <w:r>
              <w:rPr>
                <w:rFonts w:ascii="Times New Roman" w:cs="Times New Roman" w:eastAsia="Times New Roman" w:hAnsi="Times New Roman"/>
                <w:sz w:val="23"/>
                <w:szCs w:val="23"/>
                <w:color w:val="auto"/>
                <w:vertAlign w:val="superscript"/>
              </w:rPr>
              <w:t>(c)</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 share expense </w:t>
            </w:r>
            <w:r>
              <w:rPr>
                <w:rFonts w:ascii="Times New Roman" w:cs="Times New Roman" w:eastAsia="Times New Roman" w:hAnsi="Times New Roman"/>
                <w:sz w:val="23"/>
                <w:szCs w:val="23"/>
                <w:color w:val="auto"/>
                <w:vertAlign w:val="superscript"/>
              </w:rPr>
              <w:t>(c)</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Direct marketing </w:t>
            </w:r>
            <w:r>
              <w:rPr>
                <w:rFonts w:ascii="Times New Roman" w:cs="Times New Roman" w:eastAsia="Times New Roman" w:hAnsi="Times New Roman"/>
                <w:sz w:val="23"/>
                <w:szCs w:val="23"/>
                <w:color w:val="auto"/>
                <w:vertAlign w:val="superscript"/>
              </w:rPr>
              <w:t>(c)</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w:t>
            </w: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and outside labor </w:t>
            </w:r>
            <w:r>
              <w:rPr>
                <w:rFonts w:ascii="Times New Roman" w:cs="Times New Roman" w:eastAsia="Times New Roman" w:hAnsi="Times New Roman"/>
                <w:sz w:val="23"/>
                <w:szCs w:val="23"/>
                <w:color w:val="auto"/>
                <w:vertAlign w:val="superscript"/>
              </w:rPr>
              <w:t>(c)</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w:t>
            </w: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overhead </w:t>
            </w:r>
            <w:r>
              <w:rPr>
                <w:rFonts w:ascii="Times New Roman" w:cs="Times New Roman" w:eastAsia="Times New Roman" w:hAnsi="Times New Roman"/>
                <w:sz w:val="23"/>
                <w:szCs w:val="23"/>
                <w:color w:val="auto"/>
                <w:vertAlign w:val="superscript"/>
              </w:rPr>
              <w:t>(c)</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w:t>
            </w: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allocations </w:t>
            </w:r>
            <w:r>
              <w:rPr>
                <w:rFonts w:ascii="Times New Roman" w:cs="Times New Roman" w:eastAsia="Times New Roman" w:hAnsi="Times New Roman"/>
                <w:sz w:val="23"/>
                <w:szCs w:val="23"/>
                <w:color w:val="auto"/>
                <w:vertAlign w:val="superscript"/>
              </w:rPr>
              <w:t>(c)</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Adjusted Net Profit (Loss)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Adjusted Net Profit (Loss) to consolidated income before income taxes: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all other Adjusted Net Profit (Loss)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30"/>
        </w:trPr>
        <w:tc>
          <w:tcPr>
            <w:tcW w:w="7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Adjustment to total net revenue </w:t>
            </w:r>
            <w:r>
              <w:rPr>
                <w:rFonts w:ascii="Times New Roman" w:cs="Times New Roman" w:eastAsia="Times New Roman" w:hAnsi="Times New Roman"/>
                <w:sz w:val="23"/>
                <w:szCs w:val="23"/>
                <w:color w:val="auto"/>
                <w:vertAlign w:val="superscript"/>
              </w:rPr>
              <w:t>(b)</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29"/>
        </w:trPr>
        <w:tc>
          <w:tcPr>
            <w:tcW w:w="78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(d)</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30"/>
        </w:trPr>
        <w:tc>
          <w:tcPr>
            <w:tcW w:w="7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Deferred contract acquisition costs </w:t>
            </w:r>
            <w:r>
              <w:rPr>
                <w:rFonts w:ascii="Times New Roman" w:cs="Times New Roman" w:eastAsia="Times New Roman" w:hAnsi="Times New Roman"/>
                <w:sz w:val="23"/>
                <w:szCs w:val="23"/>
                <w:color w:val="auto"/>
                <w:vertAlign w:val="superscript"/>
              </w:rPr>
              <w:t>(e)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r>
      <w:tr>
        <w:trPr>
          <w:trHeight w:val="229"/>
        </w:trPr>
        <w:tc>
          <w:tcPr>
            <w:tcW w:w="78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(f)(g)</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9"/>
        </w:trPr>
        <w:tc>
          <w:tcPr>
            <w:tcW w:w="7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23,447</w:t>
            </w:r>
          </w:p>
        </w:tc>
      </w:tr>
      <w:tr>
        <w:trPr>
          <w:trHeight w:val="20"/>
        </w:trPr>
        <w:tc>
          <w:tcPr>
            <w:tcW w:w="7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for reportable segment is in accordance with GAAP</w:t>
      </w:r>
    </w:p>
    <w:p>
      <w:pPr>
        <w:ind w:left="660" w:right="380" w:hanging="328"/>
        <w:spacing w:after="0" w:line="211"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revenue share and other income are generally recognized on a cash basis under Adjusted Basis, rather than deferred and recognized over the subscription term or when earned in accordance with ASC 606</w:t>
      </w:r>
    </w:p>
    <w:p>
      <w:pPr>
        <w:ind w:left="660" w:hanging="328"/>
        <w:spacing w:after="0" w:line="20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Adjusted Basis</w:t>
      </w:r>
    </w:p>
    <w:p>
      <w:pPr>
        <w:ind w:left="640" w:hanging="308"/>
        <w:spacing w:after="0" w:line="20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stock-based compensation expense</w:t>
      </w:r>
    </w:p>
    <w:p>
      <w:pPr>
        <w:ind w:left="660" w:right="560" w:hanging="328"/>
        <w:spacing w:after="0" w:line="211"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 contract are expensed under Adjusted Basis, rather than capitalized as deferred contract acquisition costs and subsequently amortized in accordance with ASC 340</w:t>
      </w:r>
    </w:p>
    <w:p>
      <w:pPr>
        <w:ind w:left="660" w:right="680" w:hanging="328"/>
        <w:spacing w:after="0" w:line="211"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operating leases are recognized on a cash basis under Adjusted Basis, rather than initially recognizing right-of-use assets and lease liabilities, which are subsequently amortized over the lease term in accordance with ASC 842</w:t>
      </w:r>
    </w:p>
    <w:p>
      <w:pPr>
        <w:ind w:left="660" w:right="200" w:hanging="328"/>
        <w:spacing w:after="0" w:line="203"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arising from business combinations are not recognized upon acquisition and subsequently amortized in accordance with ASC 805 under Adjusted Basis</w:t>
      </w:r>
    </w:p>
    <w:p>
      <w:pPr>
        <w:ind w:left="660" w:right="40" w:hanging="328"/>
        <w:spacing w:after="0" w:line="223"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line includes various items that are recognized differently under Adjusted Basis, including software development and implementation related costs, including implementation costs of cloud computing arrangements, employee benefit related items, gain on lease termination, change in fair value of contingent consideration, and certain tax related items.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reportable segment revenues to the consolidated totals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0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56"/>
        </w:trPr>
        <w:tc>
          <w:tcPr>
            <w:tcW w:w="7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 for reportable segment</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86,104</w:t>
            </w:r>
          </w:p>
        </w:tc>
        <w:tc>
          <w:tcPr>
            <w:tcW w:w="8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109,028</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all other</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 net revenue</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83,507</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108,991</w:t>
            </w:r>
          </w:p>
        </w:tc>
      </w:tr>
      <w:tr>
        <w:trPr>
          <w:trHeight w:val="20"/>
        </w:trPr>
        <w:tc>
          <w:tcPr>
            <w:tcW w:w="7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does not use segment assets to evaluate segment performance or allocate resources. Therefore, we do not disclose segment assets. Long-lived assets were located in the United States as of March 31, 2025 and 2024.</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have been evaluated through May 8, 2025, which is the date that the financial statements were issued.</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April 2025, the Company commenced repurchases under the share repurchase program. We have repurchased approximately 20,306 shares of Class A common stock totaling $219 in aggregate, including fees and commissions of $1 through May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MarketWise, Inc., a Delaware corporation (“MarketWise,” “we,” “us,” and “our”), should be read together with our unaudited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2024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Altimetry, TradeSmith, InvestorPlace, and Brownstone Research. Our entire investment research product portfolio is 100% digital and channel agnostic, and we offer all of our research across a variety of platforms, including desktop, laptop, and mobile devices, including tablets and mobile phones.</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Today, we benefit from the confluence of a leading editorial team, diverse portfolio of content and brands, and a comprehensive suite of investor-centric tools that appeal to a broad subscriber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2025 Highlights</w:t>
      </w:r>
    </w:p>
    <w:p>
      <w:pPr>
        <w:spacing w:after="0" w:line="1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Paid Subscribers were 473 thousand as of March 31, 2025 compared with 683 thousand as of March 31, 2024</w:t>
      </w:r>
      <w:r>
        <w:rPr>
          <w:rFonts w:ascii="Times New Roman" w:cs="Times New Roman" w:eastAsia="Times New Roman" w:hAnsi="Times New Roman"/>
          <w:sz w:val="23"/>
          <w:szCs w:val="23"/>
          <w:color w:val="auto"/>
          <w:vertAlign w:val="superscript"/>
        </w:rPr>
        <w:t>(1)</w:t>
      </w:r>
    </w:p>
    <w:p>
      <w:pPr>
        <w:spacing w:after="0" w:line="11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was $83.5 million in first quarter 2025 compared with $109.0 million in first quarter 2024</w:t>
      </w:r>
      <w:r>
        <w:rPr>
          <w:rFonts w:ascii="Times New Roman" w:cs="Times New Roman" w:eastAsia="Times New Roman" w:hAnsi="Times New Roman"/>
          <w:sz w:val="23"/>
          <w:szCs w:val="23"/>
          <w:color w:val="auto"/>
          <w:vertAlign w:val="superscript"/>
        </w:rPr>
        <w:t>(2)</w:t>
      </w:r>
    </w:p>
    <w:p>
      <w:pPr>
        <w:spacing w:after="0" w:line="11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Billings were $70.5 million in first quarter 2025 compared with $55.4 million in fourth quarter 2024 and $77.2 million in first quarter 2024 – excluding the first quarter 2024 Billings of Legacy Research, first quarter 2024 Billings were $61.4 million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$16.8 million in first quarter 2025 compared with $22.7 million in first quarter 2024</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improved by $20.2 million to $1.7 million in first quarter 2025 compared with cash used in Operating Activities of $18.5 million in first quarter 2024</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$79.2 million as of March 31, 2025</w:t>
      </w:r>
    </w:p>
    <w:p>
      <w:pPr>
        <w:spacing w:after="0" w:line="175" w:lineRule="exact"/>
        <w:rPr>
          <w:rFonts w:ascii="Times New Roman" w:cs="Times New Roman" w:eastAsia="Times New Roman" w:hAnsi="Times New Roman"/>
          <w:sz w:val="18"/>
          <w:szCs w:val="18"/>
          <w:color w:val="auto"/>
        </w:rPr>
      </w:pPr>
    </w:p>
    <w:p>
      <w:pPr>
        <w:jc w:val="both"/>
        <w:ind w:left="660" w:right="380" w:hanging="4"/>
        <w:spacing w:after="0" w:line="261" w:lineRule="auto"/>
        <w:tabs>
          <w:tab w:leader="none" w:pos="987"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decline in Paid Subscribers is primarily related to lower customer acquisition as well as elevated churn associated with the shutdown of our Legacy Research business. We expect a decrease in Paid Subscribers in second quarter 2025 primarily related to the remaining churn of low average revenue per user (ARPU) Legacy Research subscribers.</w:t>
      </w:r>
    </w:p>
    <w:p>
      <w:pPr>
        <w:spacing w:after="0" w:line="1" w:lineRule="exact"/>
        <w:rPr>
          <w:rFonts w:ascii="Times New Roman" w:cs="Times New Roman" w:eastAsia="Times New Roman" w:hAnsi="Times New Roman"/>
          <w:sz w:val="14"/>
          <w:szCs w:val="14"/>
          <w:color w:val="auto"/>
        </w:rPr>
      </w:pPr>
    </w:p>
    <w:p>
      <w:pPr>
        <w:ind w:left="1000" w:hanging="344"/>
        <w:spacing w:after="0"/>
        <w:tabs>
          <w:tab w:leader="none" w:pos="100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GAAP purposes Billings are recognized as Net Revenue over the term of the subscription.</w:t>
      </w:r>
    </w:p>
    <w:p>
      <w:pPr>
        <w:spacing w:after="0" w:line="15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following table presents net cash provided by operating activities, and the related margin as a percentage of net revenue, and Adjusted CFFO (as defined below), a non-GAAP measure, and the related margin as a percentage of Billings, for each of the periods presented. This quarter, we are also introducing two additional non-GAAP financial measures: Free Cash Flow and EBITDA (as defined below). For more information on our non-GAAP measures, see “— Non-GAAP Financial Measures.”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jc w:val="right"/>
              <w:ind w:right="12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1"/>
        </w:trPr>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r>
      <w:tr>
        <w:trPr>
          <w:trHeight w:val="22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(109.4)%</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83,507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108,991</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(23.4)%</w:t>
            </w: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256"/>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(109.4)%</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70,456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77,222</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(8.8)%</w:t>
            </w:r>
          </w:p>
        </w:tc>
      </w:tr>
      <w:tr>
        <w:trPr>
          <w:trHeight w:val="248"/>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6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176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(108.1)%</w:t>
            </w:r>
          </w:p>
        </w:tc>
      </w:tr>
      <w:tr>
        <w:trPr>
          <w:trHeight w:val="256"/>
        </w:trPr>
        <w:tc>
          <w:tcPr>
            <w:tcW w:w="6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760" w:type="dxa"/>
            <w:vAlign w:val="bottom"/>
            <w:gridSpan w:val="3"/>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i w:val="1"/>
                <w:iCs w:val="1"/>
                <w:color w:val="auto"/>
              </w:rPr>
              <w:t>(22.3)%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spacing w:after="0" w:line="118" w:lineRule="exact"/>
        <w:rPr>
          <w:sz w:val="20"/>
          <w:szCs w:val="20"/>
          <w:color w:val="auto"/>
        </w:rPr>
      </w:pPr>
    </w:p>
    <w:p>
      <w:pPr>
        <w:jc w:val="both"/>
        <w:ind w:left="34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Growing our subscriber base with compelling unit economics. </w:t>
      </w:r>
      <w:r>
        <w:rPr>
          <w:rFonts w:ascii="Times New Roman" w:cs="Times New Roman" w:eastAsia="Times New Roman" w:hAnsi="Times New Roman"/>
          <w:sz w:val="17"/>
          <w:szCs w:val="17"/>
          <w:color w:val="auto"/>
        </w:rPr>
        <w:t>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spacing w:after="0" w:line="10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Paid Subscribers (as defined below) as of December 31, 2024 generated average customer lifetime Billings of approximately $1,120, resulting in a LTV/CAC (as defined below) ratio of approximately 1.3x. On average, it takes us approximately 1.6 to 1.7 years for a Paid Subscriber’s cumulative net revenue to exceed the total cost of acquiring that subscriber (which includes fixed costs, such as marketing salaries). For more information on Billings and our LTV/CAC ratio and the components of this ratio, see “</w:t>
      </w:r>
      <w:r>
        <w:rPr>
          <w:rFonts w:ascii="Times New Roman" w:cs="Times New Roman" w:eastAsia="Times New Roman" w:hAnsi="Times New Roman"/>
          <w:sz w:val="18"/>
          <w:szCs w:val="18"/>
          <w:i w:val="1"/>
          <w:iCs w:val="1"/>
          <w:color w:val="auto"/>
        </w:rPr>
        <w:t>—Key Business Metrics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—Definitions of Metrics,”</w:t>
      </w:r>
    </w:p>
    <w:p>
      <w:pPr>
        <w:spacing w:after="0" w:line="126" w:lineRule="exact"/>
        <w:rPr>
          <w:sz w:val="20"/>
          <w:szCs w:val="20"/>
          <w:color w:val="auto"/>
        </w:rPr>
      </w:pPr>
    </w:p>
    <w:p>
      <w:pPr>
        <w:ind w:left="340" w:right="380"/>
        <w:spacing w:after="0" w:line="282" w:lineRule="auto"/>
        <w:rPr>
          <w:sz w:val="20"/>
          <w:szCs w:val="20"/>
          <w:color w:val="auto"/>
        </w:rPr>
      </w:pPr>
      <w:r>
        <w:rPr>
          <w:rFonts w:ascii="Times New Roman" w:cs="Times New Roman" w:eastAsia="Times New Roman" w:hAnsi="Times New Roman"/>
          <w:sz w:val="18"/>
          <w:szCs w:val="18"/>
          <w:color w:val="auto"/>
        </w:rPr>
        <w:t>We adjust our marketing spend to drive efficient and profitable customer acquisition. We can adjust our marketing spend in near real-time, and we monitor costs per acquisition relative to the cart value of the initial subscription.</w:t>
      </w:r>
    </w:p>
    <w:p>
      <w:pPr>
        <w:spacing w:after="0" w:line="108" w:lineRule="exact"/>
        <w:rPr>
          <w:sz w:val="20"/>
          <w:szCs w:val="20"/>
          <w:color w:val="auto"/>
        </w:rPr>
      </w:pPr>
    </w:p>
    <w:p>
      <w:pPr>
        <w:ind w:left="340" w:right="20"/>
        <w:spacing w:after="0" w:line="289" w:lineRule="auto"/>
        <w:rPr>
          <w:sz w:val="20"/>
          <w:szCs w:val="20"/>
          <w:color w:val="auto"/>
        </w:rPr>
      </w:pPr>
      <w:r>
        <w:rPr>
          <w:rFonts w:ascii="Times New Roman" w:cs="Times New Roman" w:eastAsia="Times New Roman" w:hAnsi="Times New Roman"/>
          <w:sz w:val="17"/>
          <w:szCs w:val="17"/>
          <w:color w:val="auto"/>
        </w:rPr>
        <w:t>As of March 31, 2025, our paid subscriber base was 473 thousand, down 210 thousand, or 30.7% as compared to 683 thousand at March 31, 2024. Our base is comprised of subscribers obtained through both direct-to-paid acquisition and free-to-paid conversions. Since 2022, direct-to-paid acquisition has accounted for approximately 50% of our annual Paid Subscriber acquisition, and is largely driven by display ads and targeted email campaigns.</w:t>
      </w:r>
    </w:p>
    <w:p>
      <w:pPr>
        <w:spacing w:after="0" w:line="104"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8"/>
          <w:szCs w:val="18"/>
          <w:color w:val="auto"/>
        </w:rPr>
        <w:t>Our free subscription products also serve as a significant source of new Paid Subscribers, accounting for approximately 50% of our annual Paid Subscriber acquisition.</w:t>
      </w:r>
    </w:p>
    <w:p>
      <w:pPr>
        <w:spacing w:after="0" w:line="104" w:lineRule="exact"/>
        <w:rPr>
          <w:sz w:val="20"/>
          <w:szCs w:val="20"/>
          <w:color w:val="auto"/>
        </w:rPr>
      </w:pPr>
    </w:p>
    <w:p>
      <w:pPr>
        <w:ind w:left="3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Retaining and expanding relationships with existing subscribers. </w:t>
      </w:r>
      <w:r>
        <w:rPr>
          <w:rFonts w:ascii="Times New Roman" w:cs="Times New Roman" w:eastAsia="Times New Roman" w:hAnsi="Times New Roman"/>
          <w:sz w:val="18"/>
          <w:szCs w:val="18"/>
          <w:color w:val="auto"/>
        </w:rPr>
        <w:t>We believe that we have a significant opportunity to expand our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large base of Active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w:t>
      </w:r>
    </w:p>
    <w:p>
      <w:pPr>
        <w:spacing w:after="0" w:line="126"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Our high-value composition rate reflects the percentage of Paid Subscribers that have purchased more than $600 of our products over their lifetime. We believe our high-value composition rate reflects our ability to retain existing subscribers through renewals and our ability to expand our relationship with them when those subscribers purchase higher-value subscriptions. Our ultra high-value composition rate reflects the percentage of Paid Subscribers that have purchased more than $5,000 of our products over their lifetime. We believe our ultra high-value composition rate reflects our ability to successfully build lifetime relationships with our subscribers, often across multiple products and brands. As of March 31, 2025, our high-value composition rate and ultra high-value composition rate were 58% and 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Metrics</w:t>
      </w:r>
    </w:p>
    <w:p>
      <w:pPr>
        <w:spacing w:after="0" w:line="175"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04" w:lineRule="exact"/>
        <w:rPr>
          <w:sz w:val="20"/>
          <w:szCs w:val="20"/>
          <w:color w:val="auto"/>
        </w:rPr>
      </w:pPr>
    </w:p>
    <w:p>
      <w:pPr>
        <w:ind w:left="34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High-value composition rate: </w:t>
      </w:r>
      <w:r>
        <w:rPr>
          <w:rFonts w:ascii="Times New Roman" w:cs="Times New Roman" w:eastAsia="Times New Roman" w:hAnsi="Times New Roman"/>
          <w:sz w:val="18"/>
          <w:szCs w:val="18"/>
          <w:color w:val="auto"/>
        </w:rPr>
        <w:t>High-value composition rate is the number of high-valued subscribers divided by Paid Subscribers. High-value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subscribers are Paid Subscribers who have purchased &gt;$600 in aggregate over their lifetime.</w:t>
      </w:r>
    </w:p>
    <w:p>
      <w:pPr>
        <w:spacing w:after="0" w:line="101" w:lineRule="exact"/>
        <w:rPr>
          <w:sz w:val="20"/>
          <w:szCs w:val="20"/>
          <w:color w:val="auto"/>
        </w:rPr>
      </w:pPr>
    </w:p>
    <w:p>
      <w:pPr>
        <w:ind w:left="340"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LTV/CAC ratio: </w:t>
      </w:r>
      <w:r>
        <w:rPr>
          <w:rFonts w:ascii="Times New Roman" w:cs="Times New Roman" w:eastAsia="Times New Roman" w:hAnsi="Times New Roman"/>
          <w:sz w:val="18"/>
          <w:szCs w:val="18"/>
          <w:color w:val="auto"/>
        </w:rPr>
        <w:t>We calculate LTV/CAC ratio as LTV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CAC. We use LTV/CAC ratio because it is a standard metric for subscription-based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external revenue share expense,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retention and renewal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copywriting and marketing salaries,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telesales salaries and commissions,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customer service commissions.</w:t>
      </w:r>
    </w:p>
    <w:p>
      <w:pPr>
        <w:spacing w:after="0" w:line="131" w:lineRule="exact"/>
        <w:rPr>
          <w:sz w:val="20"/>
          <w:szCs w:val="20"/>
          <w:color w:val="auto"/>
        </w:rPr>
      </w:pPr>
    </w:p>
    <w:p>
      <w:pPr>
        <w:ind w:left="34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retention: </w:t>
      </w:r>
      <w:r>
        <w:rPr>
          <w:rFonts w:ascii="Times New Roman" w:cs="Times New Roman" w:eastAsia="Times New Roman" w:hAnsi="Times New Roman"/>
          <w:sz w:val="18"/>
          <w:szCs w:val="18"/>
          <w:color w:val="auto"/>
        </w:rPr>
        <w:t>Net revenue retention is defined as Billings from all prior period cohorts in the current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Billings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122" w:lineRule="exact"/>
        <w:rPr>
          <w:sz w:val="20"/>
          <w:szCs w:val="20"/>
          <w:color w:val="auto"/>
        </w:rPr>
      </w:pPr>
    </w:p>
    <w:p>
      <w:pPr>
        <w:ind w:left="3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Subscriber count churn rate: </w:t>
      </w:r>
      <w:r>
        <w:rPr>
          <w:rFonts w:ascii="Times New Roman" w:cs="Times New Roman" w:eastAsia="Times New Roman" w:hAnsi="Times New Roman"/>
          <w:sz w:val="17"/>
          <w:szCs w:val="17"/>
          <w:color w:val="auto"/>
        </w:rPr>
        <w:t>Our subscriber count churn rate is defined as the number of paid subscribers who either cancelled or failed to renew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their paid subscriptions during the period divided by the number of unique paid subscribers at the beginning of the period plus the number of new subscribers obtained during the period. Monthly subscriber count churn rate is defined by the annual subscriber count churn divided by twelve months.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Ultra high-value composition rate: </w:t>
      </w:r>
      <w:r>
        <w:rPr>
          <w:rFonts w:ascii="Times New Roman" w:cs="Times New Roman" w:eastAsia="Times New Roman" w:hAnsi="Times New Roman"/>
          <w:sz w:val="18"/>
          <w:szCs w:val="18"/>
          <w:color w:val="auto"/>
        </w:rPr>
        <w:t>Ultra high-value composition rate is the number of ultra high-valued subscribers divided by Paid Subscribers.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Ultra high-value subscribers are Paid Subscribers who have purchased &gt;$5,000 in aggregate over their lifetime.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 We are not aware of any uniform standards for calculating these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metrics, which may hinder comparability with other companies who may calculate similarly titled metrics in a different way.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4"/>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80" w:type="dxa"/>
            <w:vAlign w:val="bottom"/>
            <w:gridSpan w:val="4"/>
          </w:tcPr>
          <w:p>
            <w:pPr>
              <w:jc w:val="center"/>
              <w:ind w:right="252"/>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8"/>
        </w:trPr>
        <w:tc>
          <w:tcPr>
            <w:tcW w:w="4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Free Subscribers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2,983,253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(21.2)%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w w:val="99"/>
              </w:rPr>
              <w:t>(10.5)%</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Subscribers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(30.7)%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rPr>
              <w:t>(6.4)%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ARPU</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(14.8)%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rPr>
              <w:t>6.3%</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Marketing Billings (in thousands)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rPr>
              <w:t>(6.3)%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w w:val="98"/>
              </w:rPr>
              <w:t>38.8%</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Renewal Billings (in thousands)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(14.5)%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w w:val="98"/>
              </w:rPr>
              <w:t>14.5%</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Billings (in thousands)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(19.0)%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w w:val="99"/>
              </w:rPr>
              <w:t>(65.8)%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Billings (in thousands)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rPr>
              <w:t>(8.8)%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w w:val="98"/>
              </w:rPr>
              <w:t>27.3%</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Active Free Subscribers. </w:t>
      </w:r>
      <w:r>
        <w:rPr>
          <w:rFonts w:ascii="Times New Roman" w:cs="Times New Roman" w:eastAsia="Times New Roman" w:hAnsi="Times New Roman"/>
          <w:sz w:val="18"/>
          <w:szCs w:val="18"/>
          <w:color w:val="auto"/>
        </w:rPr>
        <w:t>Active Free Subscribers are defined as unique subscribers who have subscribed to one of our free investment publications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valid email address and who have received and/or consumed our content during the quarter Active Free Subscribers exclude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Active Free Subscribers learn about our editors and analysts, get to know our products and services, and learn more about ways we can help them be a better investor.</w:t>
      </w:r>
    </w:p>
    <w:p>
      <w:pPr>
        <w:spacing w:after="0" w:line="132"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Active Free Subscribers decreased by 0.8 million, or 21.2%, to 3.0 million as of March 31, 2025 as compared to 3.8 million as of March 31, 2024. The year over year decline in Active Free Subscribers is a result of a reduced number of free subscriptions available as we rationalized our offerings in general and as a result of the shutdown of our Legacy Research Group in the first half of 2024.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Active Free Subscribers decreased by 0.3 million, or 10.5% to 3.0 million as of March 31, 2025 as compared to 3.3 million as of December 31, 2024.</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sequential reduction was the result of a reduced number of free subscriptions available during the current quarter.</w:t>
      </w:r>
    </w:p>
    <w:p>
      <w:pPr>
        <w:spacing w:after="0" w:line="149" w:lineRule="exact"/>
        <w:rPr>
          <w:sz w:val="20"/>
          <w:szCs w:val="20"/>
          <w:color w:val="auto"/>
        </w:rPr>
      </w:pPr>
    </w:p>
    <w:p>
      <w:pPr>
        <w:ind w:left="34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Paid Subscribers. </w:t>
      </w:r>
      <w:r>
        <w:rPr>
          <w:rFonts w:ascii="Times New Roman" w:cs="Times New Roman" w:eastAsia="Times New Roman" w:hAnsi="Times New Roman"/>
          <w:sz w:val="18"/>
          <w:szCs w:val="18"/>
          <w:color w:val="auto"/>
        </w:rPr>
        <w:t>We define Paid Subscribers as the total number of unique subscribers with at least one paid subscription at the end of the period.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spacing w:after="0" w:line="12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Total Paid Subscribers decreased by 210 thousand, or 30.7%, to 473 thousand as of March 31, 2025 as compared to 683 thousand at March 31, 2024, primarily related to lower customer acquisition as well as elevated churn associated with the shutdown of our Legacy Research business. Additionally, direct marketing spend decreased as we managed profitability given the aforementioned factors. The decrease was further compounded by the loss of approximately 20 thousand Paid Subscribers as part of sale of the MMP Business in fourth quarter 2024.</w:t>
      </w:r>
    </w:p>
    <w:p>
      <w:pPr>
        <w:spacing w:after="0" w:line="126" w:lineRule="exact"/>
        <w:rPr>
          <w:sz w:val="20"/>
          <w:szCs w:val="20"/>
          <w:color w:val="auto"/>
        </w:rPr>
      </w:pPr>
    </w:p>
    <w:p>
      <w:pPr>
        <w:jc w:val="both"/>
        <w:ind w:left="340" w:right="260"/>
        <w:spacing w:after="0" w:line="266" w:lineRule="auto"/>
        <w:rPr>
          <w:sz w:val="20"/>
          <w:szCs w:val="20"/>
          <w:color w:val="auto"/>
        </w:rPr>
      </w:pPr>
      <w:r>
        <w:rPr>
          <w:rFonts w:ascii="Times New Roman" w:cs="Times New Roman" w:eastAsia="Times New Roman" w:hAnsi="Times New Roman"/>
          <w:sz w:val="18"/>
          <w:szCs w:val="18"/>
          <w:color w:val="auto"/>
        </w:rPr>
        <w:t>Total Paid Subscribers decreased by 32 thousand, or 6.4%, to 473 thousand as of March 31, 2025 as compared to 506 thousand as of December 31, 2024. Gross new subscribers were up 8 thousand or 60% compared to fourth quarter 2024 as a result of increased marketing spend and engagement. However, the increase in new subscribers did offset churn within the quarter which was in line with the historical average.</w:t>
      </w:r>
    </w:p>
    <w:p>
      <w:pPr>
        <w:spacing w:after="0" w:line="122"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Subscriber count churn has ranged from approximately 2.4% to 3.3% per month between 2022 and 2024. Almost all of the subscribers who churned in first quarter 2025 did so having owned only one entry level publication. This is evidenced by the fact that their ARPU approximately matched the subscription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entry level publications. We believe our net revenue retention rate, which has averaged over 55% from 2022 to 2024, is a more meaningful gauge of subscriber satisfaction.</w:t>
      </w:r>
    </w:p>
    <w:p>
      <w:pPr>
        <w:spacing w:after="0" w:line="10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Revenue Per User (“ARPU”). </w:t>
      </w:r>
      <w:r>
        <w:rPr>
          <w:rFonts w:ascii="Times New Roman" w:cs="Times New Roman" w:eastAsia="Times New Roman" w:hAnsi="Times New Roman"/>
          <w:sz w:val="18"/>
          <w:szCs w:val="18"/>
          <w:color w:val="auto"/>
        </w:rPr>
        <w:t>We calculate ARPU as the trailing four quarters of net Billings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number of quarterly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Paid Subscribers over 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ARPU decreased by $73, or 14.9%, to $419 as of March 31, 2025 as compared to $492 as of March 31, 2024. The year-over-year decrease was driven by a 36% decrease in trailing four quarter Billings, while trailing four quarter Paid Subscribers only decreased by 25%. The decrease in trailing four quarter Billings was driven by reduced engagement of prospective and existing subscribers, as further discussed in Billings below. The decrease in trailing four quarter Paid Subscribers is also driven by the winding down of our Legacy Research business during 2024.</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ARPU increased by $25, or 6.4%, to $419 as of March 31, 2025 as compared to $394 as of December 31, 2024. The sequential increase was driven by a 9% decrease in trailing four-quarter average Paid Subscribers, while trailing four-quarter Billings only decreased 3%.</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While they have declined somewhat recently,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1.7 years for the years ended 2024 and 2023 and was 1.6 years in 2022. Our payback period remains elevated primarily due to a combination of increased customer acquisition costs and lower conversion rates on higher value products.</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Billings. </w:t>
      </w:r>
      <w:r>
        <w:rPr>
          <w:rFonts w:ascii="Times New Roman" w:cs="Times New Roman" w:eastAsia="Times New Roman" w:hAnsi="Times New Roman"/>
          <w:sz w:val="18"/>
          <w:szCs w:val="18"/>
          <w:color w:val="auto"/>
        </w:rPr>
        <w:t>Billings represents amounts invoiced to customers. We measure and monitor our Billings because it provides insight into trends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our Billings into three sub-categories: New Marketing Billings, Net Renewal Billings, and Other Billings.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New Marketing Billings are Billings from all new subscription sales. New Marketing Billings decreased by $3.5 million, or 6.3%, to $51.3 million for first quarter 2025 as compared to $54.8 million for first quarter 2024. The decrease was primarily driven by ceasing new sales campaigns within our Legacy Research Group brands, which began winding down operations in mid-February 2024, somewhat offset by larger campaigns in first quarter 2025.</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New Marketing Billings increased by $14.3 million, or 38.8% to $51.3 million for first quarter 2025 as compared to $37.0 million in fourth quarter 2024. The increase was primarily driven by successful campaigns targeted at existing subscribers in first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440" w:right="359" w:bottom="1440" w:gutter="0" w:footer="0" w:header="0"/>
        </w:sectPr>
      </w:pPr>
    </w:p>
    <w:bookmarkStart w:id="33" w:name="page34"/>
    <w:bookmarkEnd w:id="33"/>
    <w:p>
      <w:pPr>
        <w:spacing w:after="0" w:line="140"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Net Renewal Billings are Billings from renewals and maintenance fee payments. Net Renewal Billings decreased by $3.1 million, or 14.5%, to $18.3 million for first quarter 2025 as compared to $21.4 million for first quarter 2024. This is primarily a function of a significant decrease (approximately 180 thousand) in average Paid Subscribers for the trailing twelve months ended March 31, 2025 versus the trailing twelve months ended March 31, 2024.</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Renewal Billings increased by $2.3 million, or 14.5%, to $18.3 million for first quarter 2025 as compared to $16.0 million for fourth quarter 2024.</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was driven by an increased number of subscriptions up for renewal during first quarter 2025.</w:t>
      </w:r>
    </w:p>
    <w:p>
      <w:pPr>
        <w:spacing w:after="0" w:line="15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Other Billings are Billings from revenue share, advertising and conferences. Other Billings decreased by $0.2 million, or 19.0% to $0.8 million for first quarter 2025 as compared to $1.0 million for first quarter 2024.</w:t>
      </w:r>
    </w:p>
    <w:p>
      <w:pPr>
        <w:spacing w:after="0" w:line="108"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Other Billings decreased by $1.6 million or 65.8% to $0.8 million for first quarter 2025 as compared to $2.4 million for fourth quarter 2024 as a result of decreasing revenue share activity with external parties as well as well as lack of conference revenue compared to fourth quarter 2024.</w:t>
      </w:r>
    </w:p>
    <w:p>
      <w:pPr>
        <w:spacing w:after="0" w:line="108"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Total Billings decreased by $6.8 million, or 8.8%, to $70.5 million for the first quarter 2025 as compared to $77.2 million for first quarter 2024. The decrease was primarily driven by the lack of billings from our Legacy Research Group brands, which began winding down operations in mid-February 2024.</w:t>
      </w:r>
    </w:p>
    <w:p>
      <w:pPr>
        <w:spacing w:after="0" w:line="122"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Total Billings increased by $15.1 million, or 27.3%, to $70.5 million for first quarter 2025 as compared to $55.4 million for fourth quarter 2024. The increase was primarily driven by successful campaigns targeted at existing subscribers in first quarter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MarketWise’s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spacing w:after="0" w:line="108"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Costs</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 relate to impairment of leasehold improvements.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Related party expenses primarily consist of Board of Director compensation, revenue share expenses and expenses for certain corporate functions performed by a related party for certain historic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consists of the net gains or losses on our embedded derivative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income, net primarily consists of interest income from our money market accounts.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2025, MarketWise, Inc.’s controlling interest in MarketWise, LLC was 14.5% and the noncontrolling interest was 85.5%. For the three months ended March 31, 2025 net income attributable to controlling interests included a $1.0 million tax provision, which is 100% attributable to the controlling interest.</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March 31, 2024, MarketWise, Inc.’s controlling interest in MarketWise, LLC was 11.7% and the noncontrolling interest was 88.3%. For the three months ended March 31, 2024 net income attributable to controlling interests included a $0.7 million tax provision, which is 100%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30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r>
      <w:tr>
        <w:trPr>
          <w:trHeight w:val="229"/>
        </w:trPr>
        <w:tc>
          <w:tcPr>
            <w:tcW w:w="78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47,297</w:t>
            </w:r>
          </w:p>
        </w:tc>
      </w:tr>
      <w:tr>
        <w:trPr>
          <w:trHeight w:val="229"/>
        </w:trPr>
        <w:tc>
          <w:tcPr>
            <w:tcW w:w="78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w:t>
            </w:r>
          </w:p>
        </w:tc>
      </w:tr>
      <w:tr>
        <w:trPr>
          <w:trHeight w:val="230"/>
        </w:trPr>
        <w:tc>
          <w:tcPr>
            <w:tcW w:w="78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7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87,436</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22,712</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1"/>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expressed as a percentage of net revenue for the periods indicated:</w:t>
      </w:r>
    </w:p>
    <w:p>
      <w:pPr>
        <w:spacing w:after="0" w:line="43"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9"/>
        </w:trPr>
        <w:tc>
          <w:tcPr>
            <w:tcW w:w="868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30"/>
        </w:trPr>
        <w:tc>
          <w:tcPr>
            <w:tcW w:w="868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29"/>
        </w:trPr>
        <w:tc>
          <w:tcPr>
            <w:tcW w:w="868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8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8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80.2 %</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2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MarketWise, Inc.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7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161" w:lineRule="exact"/>
        <w:rPr>
          <w:sz w:val="20"/>
          <w:szCs w:val="20"/>
          <w:color w:val="auto"/>
        </w:rPr>
      </w:pPr>
    </w:p>
    <w:p>
      <w:pPr>
        <w:ind w:right="3920"/>
        <w:spacing w:after="0" w:line="467" w:lineRule="auto"/>
        <w:rPr>
          <w:sz w:val="20"/>
          <w:szCs w:val="20"/>
          <w:color w:val="auto"/>
        </w:rPr>
      </w:pPr>
      <w:r>
        <w:rPr>
          <w:rFonts w:ascii="Times New Roman" w:cs="Times New Roman" w:eastAsia="Times New Roman" w:hAnsi="Times New Roman"/>
          <w:sz w:val="18"/>
          <w:szCs w:val="18"/>
          <w:b w:val="1"/>
          <w:bCs w:val="1"/>
          <w:color w:val="auto"/>
        </w:rPr>
        <w:t xml:space="preserve">Comparison of Three Months Ended March 31, 2025 and Three Months Ended March 31, 2024 </w:t>
      </w:r>
      <w:r>
        <w:rPr>
          <w:rFonts w:ascii="Times New Roman" w:cs="Times New Roman" w:eastAsia="Times New Roman" w:hAnsi="Times New Roman"/>
          <w:sz w:val="18"/>
          <w:szCs w:val="18"/>
          <w:b w:val="1"/>
          <w:bCs w:val="1"/>
          <w:i w:val="1"/>
          <w:iCs w:val="1"/>
          <w:color w:val="auto"/>
        </w:rPr>
        <w:t>Net Revenue</w:t>
      </w:r>
    </w:p>
    <w:tbl>
      <w:tblPr>
        <w:tblLayout w:type="fixed"/>
        <w:tblInd w:w="0" w:type="dxa"/>
        <w:tblCellMar>
          <w:top w:w="0" w:type="dxa"/>
          <w:left w:w="0" w:type="dxa"/>
          <w:bottom w:w="0" w:type="dxa"/>
          <w:right w:w="0" w:type="dxa"/>
        </w:tblCellMar>
      </w:tblPr>
      <w:tr>
        <w:trPr>
          <w:trHeight w:val="19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80" w:type="dxa"/>
            <w:vAlign w:val="bottom"/>
            <w:gridSpan w:val="5"/>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6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83,507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decrease in net revenue was primarily driven by a $17.7 million decrease in term subscription revenue and a $7.7 million decrease in membership subscription revenue.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Term subscription revenue decreased during the three months ended March 31, 2025 primarily due to the wind down of Legacy Research, which contributed $11.6 million to the decrease in term subscription revenue and $7.3 million to the decrease in membership subscription revenue. Term subscription revenue also decreased during the three months ended March 31, 2025 due to lower billings as compared to the 2024 period which was driven by reduced engagement of prospective and existing subscribers in the 2025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(20,709)</w:t>
            </w: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Cost of revenue decreased primarily driven by a $1.8 million decrease in outsourced labor, and a $0.4 million decrease in credit card fees. This was partially offset by a $0.7 million increase in stock-based compensation expense.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Sales and marketing expense decreased primarily driven by a $10.2 million decrease in amortization of deferred contract acquisition costs, a $2.0 million decrease in salaries, taxes and benefits, and a $1.3 million decrease in marketing expense.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left="340" w:right="6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primarily driven by a $1.6 million gain on lease termination, a $1.2 million gain on contingent consideration receivable, a $1.4 million decrease in stock-based compensation expense, a $1.2 million decrease in legal expense, a $0.5 million decrease in outsourced labor, and a $0.5 million decrease in salaries, taxes and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the below non-GAAP financial measures are useful in evaluating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spacing w:after="0" w:line="13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quarter, we are introducing two additional non-GAAP financial measures: Free Cash Flow and EBITDA. These new non-GAAP financial measures are intended to provide investors with additional information regarding our liquidity and operating performance, and they are commonly used within our industry.</w:t>
      </w:r>
    </w:p>
    <w:p>
      <w:pPr>
        <w:spacing w:after="0" w:line="122"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These new non-GAAP measures are provided in addition to, and not as a substitute for or superior to, our existing non-GAAP financial measures, which we will continue to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Management uses these non-GAAP measures internally to evaluate performance and make operating decisions, and we believe they provide a meaningful perspective to investors when used in conjunction with our GAAP results.</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(18,511)</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(109.4)%</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(18,763)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(108.1)%</w:t>
            </w:r>
          </w:p>
        </w:tc>
        <w:tc>
          <w:tcPr>
            <w:tcW w:w="0" w:type="dxa"/>
            <w:vAlign w:val="bottom"/>
          </w:tcPr>
          <w:p>
            <w:pPr>
              <w:spacing w:after="0"/>
              <w:rPr>
                <w:sz w:val="1"/>
                <w:szCs w:val="1"/>
                <w:color w:val="auto"/>
              </w:rPr>
            </w:pPr>
          </w:p>
        </w:tc>
      </w:tr>
      <w:tr>
        <w:trPr>
          <w:trHeight w:val="256"/>
        </w:trPr>
        <w:tc>
          <w:tcPr>
            <w:tcW w:w="6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(22.3)%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CFFO / Adjusted CFFO Margin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Adjusted CFFO and Adjusted CFFO Margin are useful indicators that provide information to management and investors about our ability to generate cash, and for internal planning and forecasting purposes.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Adjusted CFFO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54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(109.4)%</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0" w:type="dxa"/>
            <w:vAlign w:val="bottom"/>
          </w:tcPr>
          <w:p>
            <w:pPr>
              <w:spacing w:after="0"/>
              <w:rPr>
                <w:sz w:val="1"/>
                <w:szCs w:val="1"/>
                <w:color w:val="auto"/>
              </w:rPr>
            </w:pP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44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(109.4)%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calculation of net cash provided by operating activities margin as a percentage of total net revenue, the most directly comparable financial measure in accordance with GAAP, and Adjusted CFFO Margin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76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(18,511)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(109.4)%</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83,507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108,991</w:t>
            </w:r>
          </w:p>
        </w:tc>
        <w:tc>
          <w:tcPr>
            <w:tcW w:w="14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(23.4)%</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(18,511)</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(109.4)%</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70,456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77,222</w:t>
            </w:r>
          </w:p>
        </w:tc>
        <w:tc>
          <w:tcPr>
            <w:tcW w:w="14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(8.8)%</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CFFO and Adjusted CFFO for the three months ended March 31, 2025 was primarily due to net income of $16.8 million, adjusted for net non-cash items which increased cash by $4.4 million. This was partially offset by net changes in our operating assets and liabilities which reduced cash by $19.5 million, including incentive compensation payouts and payments related to renegotiated employment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capital expenditures. We define capital expenditures as purchases of property and equipment plus capitalized software development costs. Acquisitions are not included in capital expenditures.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believe Free Cash Flow is a useful indicator that provides information to management and investors about the cash generated by the business that is available for discretionary purposes, such as dividends and strategic investments.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Free Cash Flow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54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(109.4)%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(11.9)%</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14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(108.1)%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define EBITDA as net income before interest income (expense), income taxes, depreciation, and amortization. We believe EBITDA provides a useful supplemental measure of operating performance and is helpful to investors in evaluating our GAAP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the most directly comparable financial measure calculated in accordance with GAAP,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54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(25.8)%</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44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(43.2)%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i w:val="1"/>
                <w:iCs w:val="1"/>
                <w:color w:val="auto"/>
              </w:rPr>
              <w:t>41.2%</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40" w:type="dxa"/>
            <w:vAlign w:val="bottom"/>
            <w:tcBorders>
              <w:bottom w:val="single" w:sz="8" w:color="CCEEFF"/>
            </w:tcBorders>
            <w:gridSpan w:val="2"/>
          </w:tcPr>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(23.4)%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44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(22.3)%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refer to this accumulation of cash as our “float” which we view as a valuable resource that we may invest or use to expand our operations. We expect that as we grow our business, the amount of our float will increase. The Company estimates that the amount of float was approximately $107.7 million and $119.7 million as of March 31, 2025 and December 31, 2024, respectively. As part of the Company's broader capital allocation strategy, our consolidated cash balance may from time to time decline below our estimate of the long term float requirement.</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earned interest income of $0.9 million and $1.8 million, respectively, on our cash portfolio which was invested solely in money market funds.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is responsible for approving investment decisions. Gains and losses on marketable securities may fluctuate significantly from period to period in the future and could have a significant impact on the Company’s results of operations.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March 31, 2025, our principal sources of liquidity were cash, cash equivalents, and restricted cash of $79.2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pay quarterly dividends on shares of our Class A common stock and distributions on our LLC Units. We also declared a special dividend for Class A shareholders on January 15, 2025.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0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incur payment obligations under the Tax Receivable Agreement in the future. These obligations correspond to future cash tax savings that MarketWise, Inc. derives from tax-related benefits created as MarketWise Members exchange their LLC Units for Class A shares of MarketWise, Inc. This obligation is equal to 85% of the estimated future tax benefit for MarketWise, Inc. and is recorded as a TRA liability on the condensed consolidated balance sheet. The TRA liability was $3.7 million as of March 31, 2025. No payments have been made under the TRA, and no significant payments are expected in the next 12 months. However, these obligations may be significant in the future.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Operations—Liquidity and Capital Resources—Tax Receivable Agreement” in the Annual Report.</w:t>
      </w:r>
    </w:p>
    <w:p>
      <w:pPr>
        <w:spacing w:after="0" w:line="13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Furthermore, to the extent we have taxable income, we will make distributions to the MarketWise Members and to MarketWise, Inc. in amounts sufficient for the recipients to pay taxes due on their share of MarketWise income at prevailing individual income tax rates, which for the 2024 tax year the highest federal, state and local tax rate the Company used was 49.75%. In January 2025, MarketWise, LLC made a quarterly tax distribution of $15.1 million proportionately to all MarketWise Members, including MarketWise, Inc. This quarterly tax distribution to MarketWise, Inc. exceeded its corporate tax liability and enabled MarketWise, Inc. to declare and pay the aforementioned special dividend with the excess tax distribution proceeds. We expect MarketWise, Inc. will receive quarterly tax distributions in future quarters however the amount is uncertain.</w:t>
      </w:r>
    </w:p>
    <w:p>
      <w:pPr>
        <w:spacing w:after="0" w:line="13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28, 2025, the Company announced that the Board 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next 12 months but the program may be modified, suspended, or terminated at any time. The share repurchase program does not obligate the Company to repurchase any dollar amount or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unitholders of MarketWise,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Reorganization</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In October 2024, we completed our reorganization and operational transition plans with respect to substantially all of the Legacy Research brands. The Company expects to dissolve the Legacy Research legal entities during second quarter 2025. For further background, see </w:t>
      </w:r>
      <w:r>
        <w:rPr>
          <w:rFonts w:ascii="Times New Roman" w:cs="Times New Roman" w:eastAsia="Times New Roman" w:hAnsi="Times New Roman"/>
          <w:sz w:val="18"/>
          <w:szCs w:val="18"/>
          <w:i w:val="1"/>
          <w:iCs w:val="1"/>
          <w:color w:val="auto"/>
        </w:rPr>
        <w:t>Note 4 – 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Disposals </w:t>
      </w:r>
      <w:r>
        <w:rPr>
          <w:rFonts w:ascii="Times New Roman" w:cs="Times New Roman" w:eastAsia="Times New Roman" w:hAnsi="Times New Roman"/>
          <w:sz w:val="18"/>
          <w:szCs w:val="18"/>
          <w:color w:val="auto"/>
        </w:rPr>
        <w:t>in our Annual Report on Form 10-K for the year ended December 31, 2024</w:t>
      </w:r>
      <w:r>
        <w:rPr>
          <w:rFonts w:ascii="Times New Roman" w:cs="Times New Roman" w:eastAsia="Times New Roman" w:hAnsi="Times New Roman"/>
          <w:sz w:val="18"/>
          <w:szCs w:val="18"/>
          <w:i w:val="1"/>
          <w:iCs w:val="1"/>
          <w:color w:val="auto"/>
        </w:rPr>
        <w:t>.</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March 2025, Legacy Research agreed to terminate its office lease early. During the three months ended March 31, 2025, the Company recorded an impairment loss on leasehold improvement assets totaling $380, and the related lease was terminated for a gain of $1,646, which is included within general and administrative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provided by (used in) operating, investing, and financing activities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304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7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operating activities was $1.7 million, primarily due to net income of $16.8 million, adjusted for net non-cash items which increased cash by $4.4 million, partially offset by net changes in our operating assets and liabilities which reduced cash by $19.5 million. The non-cash items include stock-based compensation expense of $3.1 million, and noncash lease expense of $2.1 million. The changes in operating assets and liabilities were primarily driven by a decrease in deferred revenue, which reduced cash by $11.9 million due to our overall decrease in sales, an increase in accounts receivable, which reduced cash by $6.9 million, a decrease in accrued expenses, which reduced cash by $4.8 million, partially offset by a net increase due to deferred contract acquisition costs, which increased cash by $8.2 million.</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net cash used in operating activities was $18.5 million, primarily due to net changes in our operating assets and liabilities which reduced cash by $46.8 million, partially offset by net income of $22.7 million, adjusted for net non-cash items which increased cash by $5.6 million. The non-cash items include stock-based compensation expense of $3.8 million, and depreciation and amortization of $0.7 million. The changes in operating assets and liabilities were primarily driven by a decrease in deferred revenue, which decreased cash by $30.9 million due to our overall decrease in sales, a decrease in accrued expenses, which decreased cash by $33.0 million, and a net increase due to deferred contract acquisition costs of $13.8 million.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net cash used in investing activities was $0.2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was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net cash used in financing activities was $20.2 million, primarily driven by dividends and distributions paid.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net cash used in financing activities was $5.2 million, primarily driven by dividends and distributions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The preparation of these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believes that, of our significant accounting policies, which are described in Note 2 to our consolidated financial statements for the year ended December 31, 2024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2024 Annual Report on Form 10-K for further discussion of these two policies. During the three months ended March 31, 2025, there were no material changes to these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Financial Officer concluded that, as of March 31, 2025, our disclosure controls and procedures are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 identified in connection with the evaluation required by Rule 13a-15(d) and 15d-15(d) of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 considered relative to their costs. Because of the inherent limitations in all control systems, no evaluation of controls can provide absolute assurance that all control issues and instances of fraud, if any, have been detected.</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could have a material adverse impact on our business, financial condition, or operating results. Although it is not possible to predict or identify all such risks and uncertainties, they may include, but are not limited to, the factors discussed below.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disclosed in Part 1, Item 1A, of our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18"/>
                <w:szCs w:val="18"/>
                <w:color w:val="auto"/>
              </w:rPr>
            </w:pPr>
          </w:p>
        </w:tc>
        <w:tc>
          <w:tcPr>
            <w:tcW w:w="9640" w:type="dxa"/>
            <w:vAlign w:val="bottom"/>
            <w:gridSpan w:val="12"/>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Certificate of Amendment to the Certificate of Incorporation of MarketWise, Inc. (incorporated by reference to Exhibit 3.1 to the</w:t>
              </w:r>
            </w:hyperlink>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Registrant’s Current Report on Form 8-K, filed with the SEC on March 31, 2025).</w:t>
              </w:r>
            </w:hyperlink>
          </w:p>
        </w:tc>
        <w:tc>
          <w:tcPr>
            <w:tcW w:w="3360" w:type="dxa"/>
            <w:vAlign w:val="bottom"/>
            <w:tcBorders>
              <w:top w:val="single" w:sz="8" w:color="0000FF"/>
            </w:tcBorders>
            <w:gridSpan w:val="2"/>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520" w:type="dxa"/>
            <w:vAlign w:val="bottom"/>
          </w:tcPr>
          <w:p>
            <w:pPr>
              <w:spacing w:after="0"/>
              <w:rPr>
                <w:sz w:val="19"/>
                <w:szCs w:val="19"/>
                <w:color w:val="auto"/>
              </w:rPr>
            </w:pPr>
          </w:p>
        </w:tc>
        <w:tc>
          <w:tcPr>
            <w:tcW w:w="9640" w:type="dxa"/>
            <w:vAlign w:val="bottom"/>
            <w:gridSpan w:val="12"/>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Letter from Deloitte &amp; Touche LLP to the Securities and Exchange Commission, dated March 14, 2025.</w:t>
              </w:r>
            </w:hyperlink>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8"/>
                <w:szCs w:val="18"/>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9"/>
                <w:szCs w:val="19"/>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9"/>
                <w:szCs w:val="19"/>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1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19"/>
                <w:szCs w:val="19"/>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5"/>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80" w:type="dxa"/>
            <w:vAlign w:val="bottom"/>
            <w:gridSpan w:val="4"/>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260" w:type="dxa"/>
            <w:vAlign w:val="bottom"/>
            <w:gridSpan w:val="10"/>
          </w:tcPr>
          <w:p>
            <w:pPr>
              <w:spacing w:after="0" w:line="20" w:lineRule="exact"/>
              <w:rPr>
                <w:sz w:val="1"/>
                <w:szCs w:val="1"/>
                <w:color w:val="auto"/>
              </w:rPr>
            </w:pPr>
          </w:p>
        </w:tc>
      </w:tr>
      <w:tr>
        <w:trPr>
          <w:trHeight w:val="25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367" w:hanging="1367"/>
        <w:spacing w:after="0"/>
        <w:tabs>
          <w:tab w:leader="none" w:pos="13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4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7"/>
          </w:cols>
          <w:pgMar w:left="373" w:top="1440" w:right="5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05"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4445</wp:posOffset>
            </wp:positionV>
            <wp:extent cx="2837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Erik Mickels</w:t>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846"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David Eifrig,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March 31, 2025;</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Mickels,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March 31, 2025;</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Dr. David Eifrig, certify, pursuant to 18 U.S.C. Section 1350, as adopted pursuant to Section 906 of the Sarbanes-Oxley Act of 2002, that the Quarterly Report on Form 10-Q of MarketWise, Inc. for the fiscal quarter ended March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Erik Mickels, certify, pursuant to 18 U.S.C. Section 1350, as adopted pursuant to Section 906 of the Sarbanes-Oxley Act of 2002, that the Quarterly Report on Form 10-Q of MarketWise, Inc. for the fiscal quarter ended March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8"/>
    </w:lvl>
    <w:lvl w:ilvl="1">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lvl w:ilvl="1">
      <w:lvlJc w:val="left"/>
      <w:lvlText w:val="(%2)"/>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1" Type="http://schemas.openxmlformats.org/officeDocument/2006/relationships/hyperlink" Target="https://www.sec.gov/Archives/edgar/data/1805651/000162828025015716/exhibit31_certificateofame.htm" TargetMode="External"/><Relationship Id="rId72" Type="http://schemas.openxmlformats.org/officeDocument/2006/relationships/hyperlink" Target="https://www.sec.gov/Archives/edgar/data/1805651/000162828025013203/exhibit161_deloittesec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2025-05-08T06:42:30Z</dcterms:created>
  <dcterms:modified xsi:type="dcterms:W3CDTF">2025-05-08T06:42:30Z</dcterms:modified>
</cp:coreProperties>
</file>