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60325</wp:posOffset>
            </wp:positionV>
            <wp:extent cx="18256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16"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143510</wp:posOffset>
            </wp:positionV>
            <wp:extent cx="15087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ind w:left="1380" w:hanging="598"/>
        <w:spacing w:after="0"/>
        <w:tabs>
          <w:tab w:leader="none" w:pos="1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7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For the quarterly period ended June 30, 2025</w:t>
      </w:r>
    </w:p>
    <w:p>
      <w:pPr>
        <w:spacing w:after="0" w:line="17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1380" w:hanging="582"/>
        <w:spacing w:after="0"/>
        <w:tabs>
          <w:tab w:leader="none" w:pos="13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93" w:lineRule="exact"/>
        <w:rPr>
          <w:sz w:val="24"/>
          <w:szCs w:val="24"/>
          <w:color w:val="auto"/>
        </w:rPr>
      </w:pPr>
    </w:p>
    <w:tbl>
      <w:tblPr>
        <w:tblLayout w:type="fixed"/>
        <w:tblInd w:w="4060" w:type="dxa"/>
        <w:tblCellMar>
          <w:top w:w="0" w:type="dxa"/>
          <w:left w:w="0" w:type="dxa"/>
          <w:bottom w:w="0" w:type="dxa"/>
          <w:right w:w="0" w:type="dxa"/>
        </w:tblCellMar>
      </w:tblPr>
      <w:tr>
        <w:trPr>
          <w:trHeight w:val="234"/>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w:t>
            </w:r>
          </w:p>
        </w:tc>
      </w:tr>
      <w:tr>
        <w:trPr>
          <w:trHeight w:val="378"/>
        </w:trPr>
        <w:tc>
          <w:tcPr>
            <w:tcW w:w="14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001-39405</w:t>
            </w:r>
          </w:p>
        </w:tc>
      </w:tr>
      <w:tr>
        <w:trPr>
          <w:trHeight w:val="135"/>
        </w:trPr>
        <w:tc>
          <w:tcPr>
            <w:tcW w:w="140" w:type="dxa"/>
            <w:vAlign w:val="bottom"/>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r>
    </w:tbl>
    <w:p>
      <w:pPr>
        <w:spacing w:after="0" w:line="17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36"/>
          <w:szCs w:val="36"/>
          <w:b w:val="1"/>
          <w:bCs w:val="1"/>
          <w:color w:val="auto"/>
        </w:rPr>
        <w:t>MarketWise, Inc.</w:t>
      </w:r>
    </w:p>
    <w:p>
      <w:pPr>
        <w:spacing w:after="0" w:line="193"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102870</wp:posOffset>
            </wp:positionV>
            <wp:extent cx="18256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370" w:lineRule="exact"/>
        <w:rPr>
          <w:sz w:val="24"/>
          <w:szCs w:val="24"/>
          <w:color w:val="auto"/>
        </w:rPr>
      </w:pPr>
    </w:p>
    <w:tbl>
      <w:tblPr>
        <w:tblLayout w:type="fixed"/>
        <w:tblInd w:w="1300" w:type="dxa"/>
        <w:tblCellMar>
          <w:top w:w="0" w:type="dxa"/>
          <w:left w:w="0" w:type="dxa"/>
          <w:bottom w:w="0" w:type="dxa"/>
          <w:right w:w="0" w:type="dxa"/>
        </w:tblCellMar>
      </w:tblPr>
      <w:tr>
        <w:trPr>
          <w:trHeight w:val="212"/>
        </w:trPr>
        <w:tc>
          <w:tcPr>
            <w:tcW w:w="6280" w:type="dxa"/>
            <w:vAlign w:val="bottom"/>
            <w:gridSpan w:val="3"/>
          </w:tcPr>
          <w:p>
            <w:pPr>
              <w:jc w:val="center"/>
              <w:ind w:right="326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52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87-1767914</w:t>
            </w:r>
          </w:p>
        </w:tc>
      </w:tr>
      <w:tr>
        <w:trPr>
          <w:trHeight w:val="199"/>
        </w:trPr>
        <w:tc>
          <w:tcPr>
            <w:tcW w:w="6280" w:type="dxa"/>
            <w:vAlign w:val="bottom"/>
            <w:gridSpan w:val="3"/>
          </w:tcPr>
          <w:p>
            <w:pPr>
              <w:jc w:val="center"/>
              <w:ind w:right="3240"/>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1520" w:type="dxa"/>
            <w:vAlign w:val="bottom"/>
          </w:tcPr>
          <w:p>
            <w:pPr>
              <w:jc w:val="center"/>
              <w:ind w:left="63"/>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6280" w:type="dxa"/>
            <w:vAlign w:val="bottom"/>
            <w:gridSpan w:val="3"/>
          </w:tcPr>
          <w:p>
            <w:pPr>
              <w:jc w:val="center"/>
              <w:ind w:right="324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520" w:type="dxa"/>
            <w:vAlign w:val="bottom"/>
          </w:tcPr>
          <w:p>
            <w:pPr>
              <w:jc w:val="center"/>
              <w:ind w:left="103"/>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530"/>
        </w:trPr>
        <w:tc>
          <w:tcPr>
            <w:tcW w:w="6280" w:type="dxa"/>
            <w:vAlign w:val="bottom"/>
            <w:gridSpan w:val="3"/>
          </w:tcPr>
          <w:p>
            <w:pPr>
              <w:jc w:val="center"/>
              <w:ind w:right="3240"/>
              <w:spacing w:after="0"/>
              <w:rPr>
                <w:sz w:val="20"/>
                <w:szCs w:val="20"/>
                <w:color w:val="auto"/>
              </w:rPr>
            </w:pPr>
            <w:r>
              <w:rPr>
                <w:rFonts w:ascii="Times New Roman" w:cs="Times New Roman" w:eastAsia="Times New Roman" w:hAnsi="Times New Roman"/>
                <w:sz w:val="16"/>
                <w:szCs w:val="16"/>
                <w:b w:val="1"/>
                <w:bCs w:val="1"/>
                <w:color w:val="auto"/>
              </w:rPr>
              <w:t>1125 N. Charles Street Baltimore, Maryland</w:t>
            </w:r>
          </w:p>
        </w:tc>
        <w:tc>
          <w:tcPr>
            <w:tcW w:w="1520" w:type="dxa"/>
            <w:vAlign w:val="bottom"/>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21201</w:t>
            </w:r>
          </w:p>
        </w:tc>
      </w:tr>
      <w:tr>
        <w:trPr>
          <w:trHeight w:val="216"/>
        </w:trPr>
        <w:tc>
          <w:tcPr>
            <w:tcW w:w="6280" w:type="dxa"/>
            <w:vAlign w:val="bottom"/>
            <w:gridSpan w:val="3"/>
          </w:tcPr>
          <w:p>
            <w:pPr>
              <w:jc w:val="center"/>
              <w:ind w:right="324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520" w:type="dxa"/>
            <w:vAlign w:val="bottom"/>
          </w:tcPr>
          <w:p>
            <w:pPr>
              <w:jc w:val="center"/>
              <w:ind w:left="103"/>
              <w:spacing w:after="0"/>
              <w:rPr>
                <w:sz w:val="20"/>
                <w:szCs w:val="20"/>
                <w:color w:val="auto"/>
              </w:rPr>
            </w:pPr>
            <w:r>
              <w:rPr>
                <w:rFonts w:ascii="Times New Roman" w:cs="Times New Roman" w:eastAsia="Times New Roman" w:hAnsi="Times New Roman"/>
                <w:sz w:val="16"/>
                <w:szCs w:val="16"/>
                <w:color w:val="auto"/>
                <w:w w:val="98"/>
              </w:rPr>
              <w:t>(Zip Code)</w:t>
            </w:r>
          </w:p>
        </w:tc>
      </w:tr>
      <w:tr>
        <w:trPr>
          <w:trHeight w:val="361"/>
        </w:trPr>
        <w:tc>
          <w:tcPr>
            <w:tcW w:w="6280" w:type="dxa"/>
            <w:vAlign w:val="bottom"/>
            <w:gridSpan w:val="3"/>
          </w:tcPr>
          <w:p>
            <w:pPr>
              <w:jc w:val="center"/>
              <w:ind w:left="2304"/>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c>
          <w:tcPr>
            <w:tcW w:w="1520" w:type="dxa"/>
            <w:vAlign w:val="bottom"/>
          </w:tcPr>
          <w:p>
            <w:pPr>
              <w:spacing w:after="0"/>
              <w:rPr>
                <w:sz w:val="24"/>
                <w:szCs w:val="24"/>
                <w:color w:val="auto"/>
              </w:rPr>
            </w:pPr>
          </w:p>
        </w:tc>
      </w:tr>
      <w:tr>
        <w:trPr>
          <w:trHeight w:val="199"/>
        </w:trPr>
        <w:tc>
          <w:tcPr>
            <w:tcW w:w="2900" w:type="dxa"/>
            <w:vAlign w:val="bottom"/>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393"/>
        </w:trPr>
        <w:tc>
          <w:tcPr>
            <w:tcW w:w="5760" w:type="dxa"/>
            <w:vAlign w:val="bottom"/>
            <w:gridSpan w:val="2"/>
          </w:tcPr>
          <w:p>
            <w:pPr>
              <w:jc w:val="center"/>
              <w:ind w:left="2824"/>
              <w:spacing w:after="0"/>
              <w:rPr>
                <w:sz w:val="20"/>
                <w:szCs w:val="20"/>
                <w:color w:val="auto"/>
              </w:rPr>
            </w:pPr>
            <w:r>
              <w:rPr>
                <w:rFonts w:ascii="Times New Roman" w:cs="Times New Roman" w:eastAsia="Times New Roman" w:hAnsi="Times New Roman"/>
                <w:sz w:val="16"/>
                <w:szCs w:val="16"/>
                <w:b w:val="1"/>
                <w:bCs w:val="1"/>
                <w:color w:val="auto"/>
              </w:rPr>
              <w:t>(888) 261-2693</w:t>
            </w:r>
          </w:p>
        </w:tc>
        <w:tc>
          <w:tcPr>
            <w:tcW w:w="5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66"/>
        </w:trPr>
        <w:tc>
          <w:tcPr>
            <w:tcW w:w="6280" w:type="dxa"/>
            <w:vAlign w:val="bottom"/>
            <w:gridSpan w:val="3"/>
          </w:tcPr>
          <w:p>
            <w:pPr>
              <w:jc w:val="center"/>
              <w:ind w:left="2284"/>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520" w:type="dxa"/>
            <w:vAlign w:val="bottom"/>
          </w:tcPr>
          <w:p>
            <w:pPr>
              <w:spacing w:after="0"/>
              <w:rPr>
                <w:sz w:val="23"/>
                <w:szCs w:val="23"/>
                <w:color w:val="auto"/>
              </w:rPr>
            </w:pPr>
          </w:p>
        </w:tc>
      </w:tr>
      <w:tr>
        <w:trPr>
          <w:trHeight w:val="199"/>
        </w:trPr>
        <w:tc>
          <w:tcPr>
            <w:tcW w:w="2900" w:type="dxa"/>
            <w:vAlign w:val="bottom"/>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362"/>
        </w:trPr>
        <w:tc>
          <w:tcPr>
            <w:tcW w:w="6280" w:type="dxa"/>
            <w:vAlign w:val="bottom"/>
            <w:gridSpan w:val="3"/>
          </w:tcPr>
          <w:p>
            <w:pPr>
              <w:jc w:val="center"/>
              <w:ind w:left="2304"/>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c>
          <w:tcPr>
            <w:tcW w:w="1520" w:type="dxa"/>
            <w:vAlign w:val="bottom"/>
          </w:tcPr>
          <w:p>
            <w:pPr>
              <w:spacing w:after="0"/>
              <w:rPr>
                <w:sz w:val="24"/>
                <w:szCs w:val="24"/>
                <w:color w:val="auto"/>
              </w:rPr>
            </w:pPr>
          </w:p>
        </w:tc>
      </w:tr>
      <w:tr>
        <w:trPr>
          <w:trHeight w:val="199"/>
        </w:trPr>
        <w:tc>
          <w:tcPr>
            <w:tcW w:w="2900" w:type="dxa"/>
            <w:vAlign w:val="bottom"/>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r>
    </w:tbl>
    <w:p>
      <w:pPr>
        <w:spacing w:after="0" w:line="22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21" w:lineRule="exact"/>
        <w:rPr>
          <w:sz w:val="24"/>
          <w:szCs w:val="24"/>
          <w:color w:val="auto"/>
        </w:rPr>
      </w:pPr>
    </w:p>
    <w:p>
      <w:pPr>
        <w:ind w:left="1580"/>
        <w:spacing w:after="0"/>
        <w:tabs>
          <w:tab w:leader="none" w:pos="4900" w:val="left"/>
          <w:tab w:leader="none" w:pos="718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12" w:lineRule="exact"/>
        <w:rPr>
          <w:sz w:val="24"/>
          <w:szCs w:val="24"/>
          <w:color w:val="auto"/>
        </w:rPr>
      </w:pPr>
    </w:p>
    <w:p>
      <w:pPr>
        <w:ind w:left="280"/>
        <w:spacing w:after="0"/>
        <w:tabs>
          <w:tab w:leader="none" w:pos="5320" w:val="left"/>
          <w:tab w:leader="none" w:pos="7640" w:val="left"/>
        </w:tabs>
        <w:rPr>
          <w:sz w:val="20"/>
          <w:szCs w:val="20"/>
          <w:color w:val="auto"/>
        </w:rPr>
      </w:pPr>
      <w:r>
        <w:rPr>
          <w:rFonts w:ascii="Times New Roman" w:cs="Times New Roman" w:eastAsia="Times New Roman" w:hAnsi="Times New Roman"/>
          <w:sz w:val="18"/>
          <w:szCs w:val="18"/>
          <w:b w:val="1"/>
          <w:bCs w:val="1"/>
          <w:color w:val="auto"/>
        </w:rPr>
        <w:t>Class A common stock, $0.0001 par value per share</w:t>
      </w:r>
      <w:r>
        <w:rPr>
          <w:sz w:val="20"/>
          <w:szCs w:val="20"/>
          <w:color w:val="auto"/>
        </w:rPr>
        <w:tab/>
      </w:r>
      <w:r>
        <w:rPr>
          <w:rFonts w:ascii="Times New Roman" w:cs="Times New Roman" w:eastAsia="Times New Roman" w:hAnsi="Times New Roman"/>
          <w:sz w:val="18"/>
          <w:szCs w:val="18"/>
          <w:b w:val="1"/>
          <w:bCs w:val="1"/>
          <w:color w:val="auto"/>
        </w:rPr>
        <w:t>MKTW</w:t>
      </w:r>
      <w:r>
        <w:rPr>
          <w:sz w:val="20"/>
          <w:szCs w:val="20"/>
          <w:color w:val="auto"/>
        </w:rPr>
        <w:tab/>
      </w:r>
      <w:r>
        <w:rPr>
          <w:rFonts w:ascii="Times New Roman" w:cs="Times New Roman" w:eastAsia="Times New Roman" w:hAnsi="Times New Roman"/>
          <w:sz w:val="17"/>
          <w:szCs w:val="17"/>
          <w:b w:val="1"/>
          <w:bCs w:val="1"/>
          <w:color w:val="auto"/>
        </w:rPr>
        <w:t>The Nasdaq Stock Market LLC</w:t>
      </w:r>
    </w:p>
    <w:p>
      <w:pPr>
        <w:spacing w:after="0" w:line="270" w:lineRule="exact"/>
        <w:rPr>
          <w:sz w:val="24"/>
          <w:szCs w:val="24"/>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314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No</w:t>
      </w:r>
    </w:p>
    <w:p>
      <w:pPr>
        <w:spacing w:after="0" w:line="104" w:lineRule="exact"/>
        <w:rPr>
          <w:sz w:val="24"/>
          <w:szCs w:val="24"/>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207" w:lineRule="exact"/>
        <w:tabs>
          <w:tab w:leader="none" w:pos="1840" w:val="left"/>
        </w:tabs>
        <w:rPr>
          <w:sz w:val="20"/>
          <w:szCs w:val="20"/>
          <w:color w:val="auto"/>
        </w:rPr>
      </w:pPr>
      <w:r>
        <w:rPr>
          <w:rFonts w:ascii="Times New Roman" w:cs="Times New Roman" w:eastAsia="Times New Roman" w:hAnsi="Times New Roman"/>
          <w:sz w:val="18"/>
          <w:szCs w:val="18"/>
          <w:color w:val="auto"/>
        </w:rPr>
        <w:t>files).</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No</w:t>
      </w:r>
    </w:p>
    <w:p>
      <w:pPr>
        <w:spacing w:after="0" w:line="104"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940"/>
          </w:cols>
          <w:pgMar w:left="320" w:top="1316" w:right="639" w:bottom="1440" w:gutter="0" w:footer="0" w:header="0"/>
        </w:sectPr>
      </w:pPr>
    </w:p>
    <w:p>
      <w:pPr>
        <w:spacing w:after="0" w:line="39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316" w:right="6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30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8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8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23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5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0"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12 (a) of the Exchange Act. </w:t>
      </w:r>
      <w:r>
        <w:rPr>
          <w:rFonts w:ascii="MS PGothic" w:cs="MS PGothic" w:eastAsia="MS PGothic" w:hAnsi="MS PGothic"/>
          <w:sz w:val="18"/>
          <w:szCs w:val="18"/>
          <w:color w:val="auto"/>
        </w:rPr>
        <w:t>☐</w:t>
      </w:r>
    </w:p>
    <w:p>
      <w:pPr>
        <w:spacing w:after="0" w:line="7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August 4, 2025, there were 2,758,989 shares of the registrant’s Class A common stock and 13,612,641 shares of the registrant’s Class B common stock, each with a par value of $0.0001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607" w:right="499" w:bottom="1440" w:gutter="0" w:footer="0" w:header="0"/>
        </w:sectPr>
      </w:pPr>
    </w:p>
    <w:bookmarkStart w:id="2" w:name="page3"/>
    <w:bookmarkEnd w:id="2"/>
    <w:p>
      <w:pPr>
        <w:spacing w:after="0" w:line="13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u w:val="single" w:color="auto"/>
          <w:color w:val="0000FF"/>
        </w:rPr>
        <w:t>FINANCIAL INFORMATION</w:t>
      </w:r>
    </w:p>
    <w:p>
      <w:pPr>
        <w:spacing w:after="0" w:line="24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7"/>
          <w:szCs w:val="17"/>
          <w:u w:val="single" w:color="auto"/>
          <w:color w:val="0000FF"/>
        </w:rPr>
        <w:t>Financial Statements</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u w:val="single" w:color="auto"/>
          <w:color w:val="0000FF"/>
        </w:rPr>
        <w:t>Condensed Consolidated Balance Sheets as of June 30, 2025 and December 31, 2024 (unaudited)</w:t>
      </w:r>
    </w:p>
    <w:p>
      <w:pPr>
        <w:spacing w:after="0" w:line="225" w:lineRule="exact"/>
        <w:rPr>
          <w:sz w:val="20"/>
          <w:szCs w:val="20"/>
          <w:color w:val="auto"/>
        </w:rPr>
      </w:pPr>
    </w:p>
    <w:p>
      <w:pPr>
        <w:ind w:left="1280"/>
        <w:spacing w:after="0" w:line="237"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 of Operations for the Three and Six Months Ended June 30, 2025 and 2024 (unaudited)</w:t>
      </w:r>
    </w:p>
    <w:p>
      <w:pPr>
        <w:spacing w:after="0" w:line="23" w:lineRule="exact"/>
        <w:rPr>
          <w:sz w:val="20"/>
          <w:szCs w:val="20"/>
          <w:color w:val="auto"/>
        </w:rPr>
      </w:pPr>
    </w:p>
    <w:p>
      <w:pPr>
        <w:ind w:left="1280"/>
        <w:spacing w:after="0" w:line="237"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Comprehensive Income for the Three and Six Months Ended June 30, 2025 and 2024 (unaudited)</w:t>
      </w:r>
    </w:p>
    <w:p>
      <w:pPr>
        <w:spacing w:after="0" w:line="23" w:lineRule="exact"/>
        <w:rPr>
          <w:sz w:val="20"/>
          <w:szCs w:val="20"/>
          <w:color w:val="auto"/>
        </w:rPr>
      </w:pPr>
    </w:p>
    <w:p>
      <w:pPr>
        <w:ind w:left="1280" w:right="220"/>
        <w:spacing w:after="0" w:line="237"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Changes in Stockholders' Deficit for the Three and Six Months Ended June 30, 2025 and 2024 (unaudited)</w:t>
      </w:r>
    </w:p>
    <w:p>
      <w:pPr>
        <w:spacing w:after="0" w:line="23" w:lineRule="exact"/>
        <w:rPr>
          <w:sz w:val="20"/>
          <w:szCs w:val="20"/>
          <w:color w:val="auto"/>
        </w:rPr>
      </w:pPr>
    </w:p>
    <w:p>
      <w:pPr>
        <w:ind w:left="1280" w:right="240"/>
        <w:spacing w:after="0" w:line="237"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Cash Flows for the Six Months Ended June 30, 2025 and 2024 (unaudited)</w:t>
      </w:r>
    </w:p>
    <w:p>
      <w:pPr>
        <w:spacing w:after="0" w:line="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u w:val="single" w:color="auto"/>
          <w:color w:val="0000FF"/>
        </w:rPr>
        <w:t>Notes to the condensed consolidated financial statements (unaudited)</w:t>
      </w:r>
    </w:p>
    <w:p>
      <w:pPr>
        <w:spacing w:after="0" w:line="22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u w:val="single" w:color="auto"/>
          <w:color w:val="0000FF"/>
        </w:rPr>
        <w:t>Management's Discussion and Analysis of Financial Condition and Results of Operations</w:t>
      </w:r>
    </w:p>
    <w:p>
      <w:pPr>
        <w:spacing w:after="0" w:line="22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u w:val="single" w:color="auto"/>
          <w:color w:val="0000FF"/>
        </w:rPr>
        <w:t>Quantitative and Qualitative Disclosures About Market Risk</w:t>
      </w:r>
    </w:p>
    <w:p>
      <w:pPr>
        <w:spacing w:after="0" w:line="22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u w:val="single" w:color="auto"/>
          <w:color w:val="0000FF"/>
        </w:rPr>
        <w:t>Controls and Procedures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2320" w:type="dxa"/>
            <w:vAlign w:val="bottom"/>
            <w:gridSpan w:val="2"/>
          </w:tcPr>
          <w:p>
            <w:pPr>
              <w:spacing w:after="0"/>
              <w:rPr>
                <w:sz w:val="18"/>
                <w:szCs w:val="18"/>
                <w:color w:val="auto"/>
              </w:rPr>
            </w:pPr>
          </w:p>
        </w:tc>
      </w:tr>
      <w:tr>
        <w:trPr>
          <w:trHeight w:val="41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r>
      <w:tr>
        <w:trPr>
          <w:trHeight w:val="41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4"/>
                <w:szCs w:val="24"/>
                <w:color w:val="auto"/>
              </w:rPr>
            </w:pPr>
          </w:p>
        </w:tc>
        <w:tc>
          <w:tcPr>
            <w:tcW w:w="3020" w:type="dxa"/>
            <w:vAlign w:val="bottom"/>
            <w:gridSpan w:val="4"/>
          </w:tcPr>
          <w:p>
            <w:pPr>
              <w:spacing w:after="0"/>
              <w:rPr>
                <w:sz w:val="24"/>
                <w:szCs w:val="24"/>
                <w:color w:val="auto"/>
              </w:rPr>
            </w:pPr>
          </w:p>
        </w:tc>
      </w:tr>
      <w:tr>
        <w:trPr>
          <w:trHeight w:val="41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r>
      <w:tr>
        <w:trPr>
          <w:trHeight w:val="41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Pr>
          <w:p>
            <w:pPr>
              <w:spacing w:after="0"/>
              <w:rPr>
                <w:sz w:val="24"/>
                <w:szCs w:val="24"/>
                <w:color w:val="auto"/>
              </w:rPr>
            </w:pPr>
          </w:p>
        </w:tc>
      </w:tr>
      <w:tr>
        <w:trPr>
          <w:trHeight w:val="41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r>
      <w:tr>
        <w:trPr>
          <w:trHeight w:val="41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2580" w:type="dxa"/>
            <w:vAlign w:val="bottom"/>
            <w:gridSpan w:val="3"/>
          </w:tcPr>
          <w:p>
            <w:pPr>
              <w:spacing w:after="0"/>
              <w:rPr>
                <w:sz w:val="24"/>
                <w:szCs w:val="24"/>
                <w:color w:val="auto"/>
              </w:rPr>
            </w:pPr>
          </w:p>
        </w:tc>
      </w:tr>
      <w:tr>
        <w:trPr>
          <w:trHeight w:val="41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3040" w:type="dxa"/>
            <w:vAlign w:val="bottom"/>
            <w:gridSpan w:val="5"/>
          </w:tcPr>
          <w:p>
            <w:pPr>
              <w:spacing w:after="0"/>
              <w:rPr>
                <w:sz w:val="24"/>
                <w:szCs w:val="24"/>
                <w:color w:val="auto"/>
              </w:rPr>
            </w:pPr>
          </w:p>
        </w:tc>
      </w:tr>
      <w:tr>
        <w:trPr>
          <w:trHeight w:val="41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175895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33655</wp:posOffset>
            </wp:positionV>
            <wp:extent cx="6089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8965" cy="8255"/>
                    </a:xfrm>
                    <a:prstGeom prst="rect">
                      <a:avLst/>
                    </a:prstGeom>
                    <a:noFill/>
                  </pic:spPr>
                </pic:pic>
              </a:graphicData>
            </a:graphic>
          </wp:anchor>
        </w:drawing>
      </w:r>
    </w:p>
    <w:p>
      <w:pPr>
        <w:spacing w:after="0" w:line="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5</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5</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5</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7</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8</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9</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13</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14</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32</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49</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49</w:t>
      </w:r>
    </w:p>
    <w:p>
      <w:pPr>
        <w:spacing w:after="0" w:line="200" w:lineRule="exact"/>
        <w:rPr>
          <w:sz w:val="20"/>
          <w:szCs w:val="20"/>
          <w:color w:val="auto"/>
        </w:rPr>
      </w:pPr>
    </w:p>
    <w:p>
      <w:pPr>
        <w:spacing w:after="0" w:line="2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50</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50</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50</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50</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51</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51</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51</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51</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53</w:t>
      </w:r>
    </w:p>
    <w:p>
      <w:pPr>
        <w:sectPr>
          <w:pgSz w:w="11900" w:h="16838" w:orient="portrait"/>
          <w:cols w:equalWidth="0" w:num="2">
            <w:col w:w="8900" w:space="600"/>
            <w:col w:w="619"/>
          </w:cols>
          <w:pgMar w:left="340" w:top="1440" w:right="1440" w:bottom="1440" w:gutter="0" w:footer="0" w:header="0"/>
        </w:sectPr>
      </w:pPr>
    </w:p>
    <w:bookmarkStart w:id="3" w:name="page4"/>
    <w:bookmarkEnd w:id="3"/>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(“Securities Act”), and Section 21E of the Securities Exchange Act of 1934, as amended (“Exchange Act”), and as such are not historical facts. This includes, without limitation, statements regarding our financial position and business strategy, and the plans and objectives of management for our future operations. Such statements can be identified by the fact that they do not relate strictly to historical or current facts. When used in this report,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report, including, but not limited to:</w:t>
      </w:r>
    </w:p>
    <w:p>
      <w:pPr>
        <w:spacing w:after="0" w:line="134" w:lineRule="exact"/>
        <w:rPr>
          <w:sz w:val="20"/>
          <w:szCs w:val="20"/>
          <w:color w:val="auto"/>
        </w:rPr>
      </w:pPr>
    </w:p>
    <w:p>
      <w:pPr>
        <w:ind w:left="660" w:right="720" w:hanging="328"/>
        <w:spacing w:after="0" w:line="282" w:lineRule="auto"/>
        <w:tabs>
          <w:tab w:leader="none" w:pos="6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subscribers and to persuade existing subscribers to renew their subscription agreements with us and to purchase additional products and services from us;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market our products and services, and to develop additional products and product offerings;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effectively, including through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and protect our reputation for trustworthiness and independence;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and retain capable management, editors, and other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market share in our existing markets or any new markets we may enter;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or weakened conditions in the financial sector, global financial markets, and global economy;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macroeconomic events, including heightened inflation, rise in interest rates and the potential for an economic recession;</w:t>
      </w:r>
    </w:p>
    <w:p>
      <w:pPr>
        <w:spacing w:after="0" w:line="171"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laws and regulations or other regulatory action or investigations, including the Investment Advisers Act of 1940, as amended (the “Advisers Act”);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and adapt to changes in technology and consumer behavior;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identify and integrate acquisitions, or dispose of assets and businesses;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regulatory environment and complexities with compliance related to such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needs;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 over financial reporting;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protect our intellectual property;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of our Annual Report on Form 10-K for the year ended December 31, 2024 entitled “Risk Factors.”</w:t>
      </w:r>
    </w:p>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report and current expectations, forecasts, and assumptions, and involve a number of judgments, risks, and uncertainties. Additionally, as a result of a number of known and unknown risks and uncertainties, our actual results or performance may be materially different from those expressed or implied by these forward-looking statements. Accordingly, forward-looking statements should not be relied upon as representing our views as of any subsequent date, and we do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undertake any obligation to update forward-looking statements for any reason, except as may be required under applicable securities laws.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5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97,876</w:t>
            </w:r>
          </w:p>
        </w:tc>
      </w:tr>
      <w:tr>
        <w:trPr>
          <w:trHeight w:val="230"/>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r>
      <w:tr>
        <w:trPr>
          <w:trHeight w:val="229"/>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10,051</w:t>
            </w:r>
          </w:p>
        </w:tc>
      </w:tr>
      <w:tr>
        <w:trPr>
          <w:trHeight w:val="230"/>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29"/>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contract acquisition costs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57,214</w:t>
            </w:r>
          </w:p>
        </w:tc>
      </w:tr>
      <w:tr>
        <w:trPr>
          <w:trHeight w:val="229"/>
        </w:trPr>
        <w:tc>
          <w:tcPr>
            <w:tcW w:w="7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w:t>
            </w:r>
          </w:p>
        </w:tc>
      </w:tr>
      <w:tr>
        <w:trPr>
          <w:trHeight w:val="223"/>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168,833</w:t>
            </w: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30,043</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 noncurrent</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42,121</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10,071</w:t>
            </w:r>
          </w:p>
        </w:tc>
      </w:tr>
      <w:tr>
        <w:trPr>
          <w:trHeight w:val="223"/>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211,753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259,515</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97"/>
        </w:trPr>
        <w:tc>
          <w:tcPr>
            <w:tcW w:w="75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3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and other payables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w:t>
            </w:r>
          </w:p>
        </w:tc>
      </w:tr>
      <w:tr>
        <w:trPr>
          <w:trHeight w:val="229"/>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payables</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30"/>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23,272</w:t>
            </w:r>
          </w:p>
        </w:tc>
      </w:tr>
      <w:tr>
        <w:trPr>
          <w:trHeight w:val="230"/>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and other contract liabilities</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217,973</w:t>
            </w:r>
          </w:p>
        </w:tc>
      </w:tr>
      <w:tr>
        <w:trPr>
          <w:trHeight w:val="230"/>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w:t>
            </w:r>
          </w:p>
        </w:tc>
      </w:tr>
      <w:tr>
        <w:trPr>
          <w:trHeight w:val="229"/>
        </w:trPr>
        <w:tc>
          <w:tcPr>
            <w:tcW w:w="7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12,985</w:t>
            </w:r>
          </w:p>
        </w:tc>
      </w:tr>
      <w:tr>
        <w:trPr>
          <w:trHeight w:val="223"/>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260,208</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and other contract liabilities, noncurrent</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209,013</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TRA liability, noncurrent (Note 9)</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r>
      <w:tr>
        <w:trPr>
          <w:trHeight w:val="223"/>
        </w:trPr>
        <w:tc>
          <w:tcPr>
            <w:tcW w:w="7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438,771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477,439</w:t>
            </w:r>
          </w:p>
        </w:tc>
      </w:tr>
      <w:tr>
        <w:trPr>
          <w:trHeight w:val="22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175"/>
        </w:trPr>
        <w:tc>
          <w:tcPr>
            <w:tcW w:w="75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Common stock - Class A, par value of $0.0001 per share, 47,500,000 shares authorized; 2,357,128</w:t>
            </w:r>
          </w:p>
        </w:tc>
        <w:tc>
          <w:tcPr>
            <w:tcW w:w="3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43"/>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1,978,013 shares issued and outstanding at June 30, 2025 and December 31, 2024, respectively</w:t>
            </w:r>
          </w:p>
        </w:tc>
        <w:tc>
          <w:tcPr>
            <w:tcW w:w="3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Common stock - Class B, par value of $0.0001 per share, 15,000,000 shares authorized; 13,612,641</w:t>
      </w:r>
    </w:p>
    <w:tbl>
      <w:tblPr>
        <w:tblLayout w:type="fixed"/>
        <w:tblInd w:w="0" w:type="dxa"/>
        <w:tblCellMar>
          <w:top w:w="0" w:type="dxa"/>
          <w:left w:w="0" w:type="dxa"/>
          <w:bottom w:w="0" w:type="dxa"/>
          <w:right w:w="0" w:type="dxa"/>
        </w:tblCellMar>
      </w:tblPr>
      <w:tr>
        <w:trPr>
          <w:trHeight w:val="169"/>
        </w:trPr>
        <w:tc>
          <w:tcPr>
            <w:tcW w:w="7580" w:type="dxa"/>
            <w:vAlign w:val="bottom"/>
          </w:tcPr>
          <w:p>
            <w:pPr>
              <w:ind w:left="360"/>
              <w:spacing w:after="0" w:line="169" w:lineRule="exact"/>
              <w:rPr>
                <w:sz w:val="20"/>
                <w:szCs w:val="20"/>
                <w:color w:val="auto"/>
              </w:rPr>
            </w:pPr>
            <w:r>
              <w:rPr>
                <w:rFonts w:ascii="Times New Roman" w:cs="Times New Roman" w:eastAsia="Times New Roman" w:hAnsi="Times New Roman"/>
                <w:sz w:val="18"/>
                <w:szCs w:val="18"/>
                <w:color w:val="auto"/>
              </w:rPr>
              <w:t>and 13,994,498 shares issued and outstanding at June 30, 2025 and December 31, 2024,</w:t>
            </w: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4"/>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76"/>
        </w:trPr>
        <w:tc>
          <w:tcPr>
            <w:tcW w:w="75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Preferred stock - par value of $0.0001 per share, 100,000,000 shares authorized; 0 shares issued and</w:t>
            </w:r>
          </w:p>
        </w:tc>
        <w:tc>
          <w:tcPr>
            <w:tcW w:w="6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3"/>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at June 30, 2025 and December 31, 2024, respectively</w:t>
            </w:r>
          </w:p>
        </w:tc>
        <w:tc>
          <w:tcPr>
            <w:tcW w:w="6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101,281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106,691</w:t>
            </w:r>
          </w:p>
        </w:tc>
      </w:tr>
      <w:tr>
        <w:trPr>
          <w:trHeight w:val="229"/>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6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7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6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(117,097)</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(119,284)</w:t>
            </w:r>
          </w:p>
        </w:tc>
      </w:tr>
      <w:tr>
        <w:trPr>
          <w:trHeight w:val="223"/>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deficit attributable to MarketWise, Inc.</w:t>
            </w:r>
          </w:p>
        </w:tc>
        <w:tc>
          <w:tcPr>
            <w:tcW w:w="6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(12,536)</w:t>
            </w:r>
          </w:p>
        </w:tc>
      </w:tr>
      <w:tr>
        <w:trPr>
          <w:trHeight w:val="229"/>
        </w:trPr>
        <w:tc>
          <w:tcPr>
            <w:tcW w:w="7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6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(211,259)</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(205,388)</w:t>
            </w:r>
          </w:p>
        </w:tc>
      </w:tr>
      <w:tr>
        <w:trPr>
          <w:trHeight w:val="223"/>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6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(227,018)</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(217,924)</w:t>
            </w:r>
          </w:p>
        </w:tc>
      </w:tr>
      <w:tr>
        <w:trPr>
          <w:trHeight w:val="223"/>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211,753</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259,515</w:t>
            </w:r>
          </w:p>
        </w:tc>
      </w:tr>
      <w:tr>
        <w:trPr>
          <w:trHeight w:val="21"/>
        </w:trPr>
        <w:tc>
          <w:tcPr>
            <w:tcW w:w="75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318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6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9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49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212,786</w:t>
            </w:r>
          </w:p>
        </w:tc>
      </w:tr>
      <w:tr>
        <w:trPr>
          <w:trHeight w:val="229"/>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Related party revenue</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w:t>
            </w:r>
          </w:p>
        </w:tc>
      </w:tr>
      <w:tr>
        <w:trPr>
          <w:trHeight w:val="223"/>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revenue</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79,950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163,457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214,037</w:t>
            </w: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9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26,747</w:t>
            </w:r>
          </w:p>
        </w:tc>
      </w:tr>
      <w:tr>
        <w:trPr>
          <w:trHeight w:val="229"/>
        </w:trPr>
        <w:tc>
          <w:tcPr>
            <w:tcW w:w="494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3"/>
                <w:szCs w:val="23"/>
                <w:color w:val="auto"/>
                <w:vertAlign w:val="superscript"/>
              </w:rPr>
              <w:t>(1)</w:t>
            </w: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90,019</w:t>
            </w:r>
          </w:p>
        </w:tc>
      </w:tr>
      <w:tr>
        <w:trPr>
          <w:trHeight w:val="230"/>
        </w:trPr>
        <w:tc>
          <w:tcPr>
            <w:tcW w:w="49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48,316</w:t>
            </w:r>
          </w:p>
        </w:tc>
      </w:tr>
      <w:tr>
        <w:trPr>
          <w:trHeight w:val="229"/>
        </w:trPr>
        <w:tc>
          <w:tcPr>
            <w:tcW w:w="494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3"/>
                <w:szCs w:val="23"/>
                <w:color w:val="auto"/>
                <w:vertAlign w:val="superscript"/>
              </w:rPr>
              <w:t>(1)</w:t>
            </w: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w:t>
            </w:r>
          </w:p>
        </w:tc>
      </w:tr>
      <w:tr>
        <w:trPr>
          <w:trHeight w:val="229"/>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r>
      <w:tr>
        <w:trPr>
          <w:trHeight w:val="230"/>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9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expense</w:t>
            </w: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23"/>
        </w:trPr>
        <w:tc>
          <w:tcPr>
            <w:tcW w:w="4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65,139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131,866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171,148</w:t>
            </w: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42,889</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45,466</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r>
      <w:tr>
        <w:trPr>
          <w:trHeight w:val="22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43,952</w:t>
            </w: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40,751</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MarketWise, Inc.</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49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75"/>
        </w:trPr>
        <w:tc>
          <w:tcPr>
            <w:tcW w:w="49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75"/>
        </w:trPr>
        <w:tc>
          <w:tcPr>
            <w:tcW w:w="49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75"/>
        </w:trPr>
        <w:tc>
          <w:tcPr>
            <w:tcW w:w="49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49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bl>
    <w:p>
      <w:pPr>
        <w:spacing w:after="0" w:line="11" w:lineRule="exact"/>
        <w:rPr>
          <w:sz w:val="20"/>
          <w:szCs w:val="20"/>
          <w:color w:val="auto"/>
        </w:rPr>
      </w:pPr>
    </w:p>
    <w:p>
      <w:pPr>
        <w:ind w:left="20" w:right="320" w:firstLine="6"/>
        <w:spacing w:after="0" w:line="239" w:lineRule="auto"/>
        <w:tabs>
          <w:tab w:leader="none" w:pos="183" w:val="left"/>
        </w:tabs>
        <w:numPr>
          <w:ilvl w:val="0"/>
          <w:numId w:val="4"/>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5"/>
          <w:szCs w:val="15"/>
          <w:i w:val="1"/>
          <w:iCs w:val="1"/>
          <w:color w:val="auto"/>
        </w:rPr>
        <w:t>Cost of revenue, sales and marketing, general and administrative, and research and development expenses are exclusive of depreciation and amortization shown as a separate line item</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2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47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43,952</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96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15,310</w:t>
            </w: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21,223</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32,151</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43,897</w:t>
            </w:r>
          </w:p>
        </w:tc>
      </w:tr>
      <w:tr>
        <w:trPr>
          <w:trHeight w:val="21"/>
        </w:trPr>
        <w:tc>
          <w:tcPr>
            <w:tcW w:w="4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Deficit (Unaudited)</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154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Common Stock -</w:t>
            </w:r>
          </w:p>
        </w:tc>
        <w:tc>
          <w:tcPr>
            <w:tcW w:w="162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Common Stock -</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Attributable</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34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880" w:type="dxa"/>
            <w:vAlign w:val="bottom"/>
            <w:gridSpan w:val="3"/>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4"/>
                <w:szCs w:val="4"/>
                <w:color w:val="auto"/>
              </w:rPr>
            </w:pPr>
          </w:p>
        </w:tc>
        <w:tc>
          <w:tcPr>
            <w:tcW w:w="1100" w:type="dxa"/>
            <w:vAlign w:val="bottom"/>
            <w:gridSpan w:val="2"/>
            <w:vMerge w:val="restart"/>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89"/>
              </w:rPr>
              <w:t>to</w:t>
            </w: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vMerge w:val="restart"/>
          </w:tcPr>
          <w:p>
            <w:pPr>
              <w:jc w:val="right"/>
              <w:ind w:right="239"/>
              <w:spacing w:after="0" w:line="16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8"/>
        </w:trPr>
        <w:tc>
          <w:tcPr>
            <w:tcW w:w="1340" w:type="dxa"/>
            <w:vAlign w:val="bottom"/>
          </w:tcPr>
          <w:p>
            <w:pPr>
              <w:spacing w:after="0"/>
              <w:rPr>
                <w:sz w:val="9"/>
                <w:szCs w:val="9"/>
                <w:color w:val="auto"/>
              </w:rPr>
            </w:pPr>
          </w:p>
        </w:tc>
        <w:tc>
          <w:tcPr>
            <w:tcW w:w="1120" w:type="dxa"/>
            <w:vAlign w:val="bottom"/>
            <w:gridSpan w:val="3"/>
            <w:vMerge w:val="restart"/>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3"/>
            <w:vMerge w:val="restart"/>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340" w:type="dxa"/>
            <w:vAlign w:val="bottom"/>
          </w:tcPr>
          <w:p>
            <w:pPr>
              <w:spacing w:after="0"/>
              <w:rPr>
                <w:sz w:val="9"/>
                <w:szCs w:val="9"/>
                <w:color w:val="auto"/>
              </w:rPr>
            </w:pPr>
          </w:p>
        </w:tc>
        <w:tc>
          <w:tcPr>
            <w:tcW w:w="1120" w:type="dxa"/>
            <w:vAlign w:val="bottom"/>
            <w:tcBorders>
              <w:bottom w:val="single" w:sz="8" w:color="auto"/>
            </w:tcBorders>
            <w:gridSpan w:val="3"/>
            <w:vMerge w:val="continue"/>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Borders>
              <w:bottom w:val="single" w:sz="8" w:color="auto"/>
            </w:tcBorders>
            <w:gridSpan w:val="3"/>
            <w:vMerge w:val="continue"/>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80" w:type="dxa"/>
            <w:vAlign w:val="bottom"/>
            <w:gridSpan w:val="3"/>
            <w:vMerge w:val="restart"/>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rPr>
              <w:t>MarketWise,</w:t>
            </w:r>
          </w:p>
        </w:tc>
        <w:tc>
          <w:tcPr>
            <w:tcW w:w="116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Noncontrolling</w:t>
            </w:r>
          </w:p>
        </w:tc>
        <w:tc>
          <w:tcPr>
            <w:tcW w:w="100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36"/>
        </w:trPr>
        <w:tc>
          <w:tcPr>
            <w:tcW w:w="1340" w:type="dxa"/>
            <w:vAlign w:val="bottom"/>
          </w:tcPr>
          <w:p>
            <w:pPr>
              <w:spacing w:after="0"/>
              <w:rPr>
                <w:sz w:val="3"/>
                <w:szCs w:val="3"/>
                <w:color w:val="auto"/>
              </w:rPr>
            </w:pPr>
          </w:p>
        </w:tc>
        <w:tc>
          <w:tcPr>
            <w:tcW w:w="7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vMerge w:val="restart"/>
          </w:tcPr>
          <w:p>
            <w:pPr>
              <w:spacing w:after="0"/>
              <w:rPr>
                <w:sz w:val="3"/>
                <w:szCs w:val="3"/>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vMerge w:val="restart"/>
          </w:tcPr>
          <w:p>
            <w:pPr>
              <w:spacing w:after="0"/>
              <w:rPr>
                <w:sz w:val="3"/>
                <w:szCs w:val="3"/>
                <w:color w:val="auto"/>
              </w:rPr>
            </w:pPr>
          </w:p>
        </w:tc>
        <w:tc>
          <w:tcPr>
            <w:tcW w:w="8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vMerge w:val="restart"/>
          </w:tcPr>
          <w:p>
            <w:pPr>
              <w:spacing w:after="0"/>
              <w:rPr>
                <w:sz w:val="3"/>
                <w:szCs w:val="3"/>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13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6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6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Inc.</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144"/>
        </w:trPr>
        <w:tc>
          <w:tcPr>
            <w:tcW w:w="13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rPr>
              <w:t>Balance at April</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2,320,003</w:t>
            </w:r>
          </w:p>
        </w:tc>
        <w:tc>
          <w:tcPr>
            <w:tcW w:w="8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13,732,864</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102,531</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(118,394)</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(15,806)</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(201,925)</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(217,731)</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1, 2025</w:t>
            </w: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Equity-based</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3,068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3,068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3,068</w:t>
            </w:r>
          </w:p>
        </w:tc>
        <w:tc>
          <w:tcPr>
            <w:tcW w:w="0" w:type="dxa"/>
            <w:vAlign w:val="bottom"/>
          </w:tcPr>
          <w:p>
            <w:pPr>
              <w:spacing w:after="0"/>
              <w:rPr>
                <w:sz w:val="1"/>
                <w:szCs w:val="1"/>
                <w:color w:val="auto"/>
              </w:rPr>
            </w:pPr>
          </w:p>
        </w:tc>
      </w:tr>
      <w:tr>
        <w:trPr>
          <w:trHeight w:val="213"/>
        </w:trPr>
        <w:tc>
          <w:tcPr>
            <w:tcW w:w="1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3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w:t>
            </w: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Vesting of</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restricted stock</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19,333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3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Restricted stock</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units withheld</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 pay taxes</w:t>
            </w: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Repurchase of</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(117,673)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0" w:type="dxa"/>
            <w:vAlign w:val="bottom"/>
          </w:tcPr>
          <w:p>
            <w:pPr>
              <w:spacing w:after="0"/>
              <w:rPr>
                <w:sz w:val="1"/>
                <w:szCs w:val="1"/>
                <w:color w:val="auto"/>
              </w:rPr>
            </w:pPr>
          </w:p>
        </w:tc>
      </w:tr>
      <w:tr>
        <w:trPr>
          <w:trHeight w:val="213"/>
        </w:trPr>
        <w:tc>
          <w:tcPr>
            <w:tcW w:w="1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A shares</w:t>
            </w: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3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Cash dividends</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declared to</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Class A</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shareholders</w:t>
            </w:r>
          </w:p>
        </w:tc>
        <w:tc>
          <w:tcPr>
            <w:tcW w:w="8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Distributions to</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noncontrolling</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(25,229)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(25,229)</w:t>
            </w:r>
          </w:p>
        </w:tc>
        <w:tc>
          <w:tcPr>
            <w:tcW w:w="0" w:type="dxa"/>
            <w:vAlign w:val="bottom"/>
          </w:tcPr>
          <w:p>
            <w:pPr>
              <w:spacing w:after="0"/>
              <w:rPr>
                <w:sz w:val="1"/>
                <w:szCs w:val="1"/>
                <w:color w:val="auto"/>
              </w:rPr>
            </w:pPr>
          </w:p>
        </w:tc>
      </w:tr>
      <w:tr>
        <w:trPr>
          <w:trHeight w:val="213"/>
        </w:trPr>
        <w:tc>
          <w:tcPr>
            <w:tcW w:w="1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8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3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per</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redemption of</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Class B shares</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120,223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(120,223)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 Class A</w:t>
            </w: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Remeasurement of</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deferred taxes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due to change</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in</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noncontrolling</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3"/>
        </w:trPr>
        <w:tc>
          <w:tcPr>
            <w:tcW w:w="1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w:t>
            </w:r>
          </w:p>
        </w:tc>
        <w:tc>
          <w:tcPr>
            <w:tcW w:w="8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15,310</w:t>
            </w:r>
          </w:p>
        </w:tc>
        <w:tc>
          <w:tcPr>
            <w:tcW w:w="0" w:type="dxa"/>
            <w:vAlign w:val="bottom"/>
          </w:tcPr>
          <w:p>
            <w:pPr>
              <w:spacing w:after="0"/>
              <w:rPr>
                <w:sz w:val="1"/>
                <w:szCs w:val="1"/>
                <w:color w:val="auto"/>
              </w:rPr>
            </w:pPr>
          </w:p>
        </w:tc>
      </w:tr>
      <w:tr>
        <w:trPr>
          <w:trHeight w:val="142"/>
        </w:trPr>
        <w:tc>
          <w:tcPr>
            <w:tcW w:w="134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2,357,128</w:t>
            </w:r>
          </w:p>
        </w:tc>
        <w:tc>
          <w:tcPr>
            <w:tcW w:w="80" w:type="dxa"/>
            <w:vAlign w:val="bottom"/>
          </w:tcPr>
          <w:p>
            <w:pPr>
              <w:spacing w:after="0"/>
              <w:rPr>
                <w:sz w:val="12"/>
                <w:szCs w:val="12"/>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13,612,641</w:t>
            </w:r>
          </w:p>
        </w:tc>
        <w:tc>
          <w:tcPr>
            <w:tcW w:w="80" w:type="dxa"/>
            <w:vAlign w:val="bottom"/>
          </w:tcPr>
          <w:p>
            <w:pPr>
              <w:spacing w:after="0"/>
              <w:rPr>
                <w:sz w:val="12"/>
                <w:szCs w:val="12"/>
                <w:color w:val="auto"/>
              </w:rPr>
            </w:pP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101,281</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(117,097)</w:t>
            </w:r>
          </w:p>
        </w:tc>
        <w:tc>
          <w:tcPr>
            <w:tcW w:w="8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(15,759)</w:t>
            </w:r>
          </w:p>
        </w:tc>
        <w:tc>
          <w:tcPr>
            <w:tcW w:w="8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(211,259)</w:t>
            </w:r>
          </w:p>
        </w:tc>
        <w:tc>
          <w:tcPr>
            <w:tcW w:w="8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(227,018)</w:t>
            </w:r>
          </w:p>
        </w:tc>
        <w:tc>
          <w:tcPr>
            <w:tcW w:w="0" w:type="dxa"/>
            <w:vAlign w:val="bottom"/>
          </w:tcPr>
          <w:p>
            <w:pPr>
              <w:spacing w:after="0"/>
              <w:rPr>
                <w:sz w:val="1"/>
                <w:szCs w:val="1"/>
                <w:color w:val="auto"/>
              </w:rPr>
            </w:pPr>
          </w:p>
        </w:tc>
      </w:tr>
      <w:tr>
        <w:trPr>
          <w:trHeight w:val="189"/>
        </w:trPr>
        <w:tc>
          <w:tcPr>
            <w:tcW w:w="1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17" w:right="719" w:bottom="1440" w:gutter="0" w:footer="0" w:header="0"/>
        </w:sectPr>
      </w:pPr>
    </w:p>
    <w:bookmarkStart w:id="9" w:name="page10"/>
    <w:bookmarkEnd w:id="9"/>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Deficit (Unaudited)</w:t>
      </w:r>
    </w:p>
    <w:p>
      <w:pPr>
        <w:spacing w:after="0" w:line="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54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Common Stock -</w:t>
            </w:r>
          </w:p>
        </w:tc>
        <w:tc>
          <w:tcPr>
            <w:tcW w:w="162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Common Stock -</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rPr>
              <w:t>Attributable</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880" w:type="dxa"/>
            <w:vAlign w:val="bottom"/>
            <w:gridSpan w:val="3"/>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4"/>
                <w:szCs w:val="4"/>
                <w:color w:val="auto"/>
              </w:rPr>
            </w:pPr>
          </w:p>
        </w:tc>
        <w:tc>
          <w:tcPr>
            <w:tcW w:w="1100" w:type="dxa"/>
            <w:vAlign w:val="bottom"/>
            <w:gridSpan w:val="2"/>
            <w:vMerge w:val="restart"/>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to</w:t>
            </w: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vMerge w:val="restart"/>
          </w:tcPr>
          <w:p>
            <w:pPr>
              <w:jc w:val="right"/>
              <w:ind w:right="239"/>
              <w:spacing w:after="0" w:line="16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1120" w:type="dxa"/>
            <w:vAlign w:val="bottom"/>
            <w:gridSpan w:val="3"/>
            <w:vMerge w:val="restart"/>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3"/>
            <w:vMerge w:val="restart"/>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60" w:type="dxa"/>
            <w:vAlign w:val="bottom"/>
          </w:tcPr>
          <w:p>
            <w:pPr>
              <w:spacing w:after="0"/>
              <w:rPr>
                <w:sz w:val="9"/>
                <w:szCs w:val="9"/>
                <w:color w:val="auto"/>
              </w:rPr>
            </w:pPr>
          </w:p>
        </w:tc>
        <w:tc>
          <w:tcPr>
            <w:tcW w:w="1120" w:type="dxa"/>
            <w:vAlign w:val="bottom"/>
            <w:tcBorders>
              <w:bottom w:val="single" w:sz="8" w:color="auto"/>
            </w:tcBorders>
            <w:gridSpan w:val="3"/>
            <w:vMerge w:val="continue"/>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Borders>
              <w:bottom w:val="single" w:sz="8" w:color="auto"/>
            </w:tcBorders>
            <w:gridSpan w:val="3"/>
            <w:vMerge w:val="continue"/>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80" w:type="dxa"/>
            <w:vAlign w:val="bottom"/>
            <w:gridSpan w:val="3"/>
            <w:vMerge w:val="restart"/>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rPr>
              <w:t>MarketWise,</w:t>
            </w:r>
          </w:p>
        </w:tc>
        <w:tc>
          <w:tcPr>
            <w:tcW w:w="116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Noncontrolling</w:t>
            </w:r>
          </w:p>
        </w:tc>
        <w:tc>
          <w:tcPr>
            <w:tcW w:w="100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36"/>
        </w:trPr>
        <w:tc>
          <w:tcPr>
            <w:tcW w:w="1160" w:type="dxa"/>
            <w:vAlign w:val="bottom"/>
          </w:tcPr>
          <w:p>
            <w:pPr>
              <w:spacing w:after="0"/>
              <w:rPr>
                <w:sz w:val="3"/>
                <w:szCs w:val="3"/>
                <w:color w:val="auto"/>
              </w:rPr>
            </w:pPr>
          </w:p>
        </w:tc>
        <w:tc>
          <w:tcPr>
            <w:tcW w:w="7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vMerge w:val="restart"/>
          </w:tcPr>
          <w:p>
            <w:pPr>
              <w:spacing w:after="0"/>
              <w:rPr>
                <w:sz w:val="3"/>
                <w:szCs w:val="3"/>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vMerge w:val="restart"/>
          </w:tcPr>
          <w:p>
            <w:pPr>
              <w:spacing w:after="0"/>
              <w:rPr>
                <w:sz w:val="3"/>
                <w:szCs w:val="3"/>
                <w:color w:val="auto"/>
              </w:rPr>
            </w:pPr>
          </w:p>
        </w:tc>
        <w:tc>
          <w:tcPr>
            <w:tcW w:w="8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vMerge w:val="restart"/>
          </w:tcPr>
          <w:p>
            <w:pPr>
              <w:spacing w:after="0"/>
              <w:rPr>
                <w:sz w:val="3"/>
                <w:szCs w:val="3"/>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11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6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6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Inc.</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144"/>
        </w:trPr>
        <w:tc>
          <w:tcPr>
            <w:tcW w:w="116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1,905,989</w:t>
            </w:r>
          </w:p>
        </w:tc>
        <w:tc>
          <w:tcPr>
            <w:tcW w:w="8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14,379,605</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115,291</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center"/>
              <w:ind w:left="659"/>
              <w:spacing w:after="0"/>
              <w:rPr>
                <w:sz w:val="20"/>
                <w:szCs w:val="20"/>
                <w:color w:val="auto"/>
              </w:rPr>
            </w:pPr>
            <w:r>
              <w:rPr>
                <w:rFonts w:ascii="Times New Roman" w:cs="Times New Roman" w:eastAsia="Times New Roman" w:hAnsi="Times New Roman"/>
                <w:sz w:val="16"/>
                <w:szCs w:val="16"/>
                <w:color w:val="auto"/>
                <w:w w:val="99"/>
              </w:rPr>
              <w:t>27</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(124,686)</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(9,367)</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(260,019)</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(269,386)</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April 1, 2024</w:t>
            </w: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Equity-based</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1,766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left="57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1,766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1,766</w:t>
            </w:r>
          </w:p>
        </w:tc>
        <w:tc>
          <w:tcPr>
            <w:tcW w:w="0" w:type="dxa"/>
            <w:vAlign w:val="bottom"/>
          </w:tcPr>
          <w:p>
            <w:pPr>
              <w:spacing w:after="0"/>
              <w:rPr>
                <w:sz w:val="1"/>
                <w:szCs w:val="1"/>
                <w:color w:val="auto"/>
              </w:rPr>
            </w:pPr>
          </w:p>
        </w:tc>
      </w:tr>
      <w:tr>
        <w:trPr>
          <w:trHeight w:val="213"/>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1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center"/>
              <w:ind w:left="57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Vesting of</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restricted stock</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13,035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center"/>
              <w:ind w:left="57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1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Repurchase of</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(360,107)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center"/>
              <w:ind w:left="57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(10,803)</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A shares</w:t>
            </w:r>
          </w:p>
        </w:tc>
        <w:tc>
          <w:tcPr>
            <w:tcW w:w="8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Cash dividends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declared to</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Class A</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left="57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0" w:type="dxa"/>
            <w:vAlign w:val="bottom"/>
          </w:tcPr>
          <w:p>
            <w:pPr>
              <w:spacing w:after="0"/>
              <w:rPr>
                <w:sz w:val="1"/>
                <w:szCs w:val="1"/>
                <w:color w:val="auto"/>
              </w:rPr>
            </w:pPr>
          </w:p>
        </w:tc>
      </w:tr>
      <w:tr>
        <w:trPr>
          <w:trHeight w:val="213"/>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shareholders</w:t>
            </w:r>
          </w:p>
        </w:tc>
        <w:tc>
          <w:tcPr>
            <w:tcW w:w="8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1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Distributions to</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noncontrolling</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center"/>
              <w:ind w:left="57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(6,554)</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8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Foreign</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currency</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20" w:type="dxa"/>
            <w:vAlign w:val="bottom"/>
            <w:vMerge w:val="restart"/>
          </w:tcPr>
          <w:p>
            <w:pPr>
              <w:jc w:val="center"/>
              <w:ind w:left="619"/>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1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adjustments</w:t>
            </w:r>
          </w:p>
        </w:tc>
        <w:tc>
          <w:tcPr>
            <w:tcW w:w="8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1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Change in</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noncontrolling</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center"/>
              <w:ind w:left="57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w:t>
            </w:r>
          </w:p>
        </w:tc>
        <w:tc>
          <w:tcPr>
            <w:tcW w:w="8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Remeasurement</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of deferred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taxes due to</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change in</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noncontrolling</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left="57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3"/>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w:t>
            </w:r>
          </w:p>
        </w:tc>
        <w:tc>
          <w:tcPr>
            <w:tcW w:w="8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65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21,240</w:t>
            </w:r>
          </w:p>
        </w:tc>
        <w:tc>
          <w:tcPr>
            <w:tcW w:w="0" w:type="dxa"/>
            <w:vAlign w:val="bottom"/>
          </w:tcPr>
          <w:p>
            <w:pPr>
              <w:spacing w:after="0"/>
              <w:rPr>
                <w:sz w:val="1"/>
                <w:szCs w:val="1"/>
                <w:color w:val="auto"/>
              </w:rPr>
            </w:pPr>
          </w:p>
        </w:tc>
      </w:tr>
      <w:tr>
        <w:trPr>
          <w:trHeight w:val="142"/>
        </w:trPr>
        <w:tc>
          <w:tcPr>
            <w:tcW w:w="11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1,929,849</w:t>
            </w:r>
          </w:p>
        </w:tc>
        <w:tc>
          <w:tcPr>
            <w:tcW w:w="80" w:type="dxa"/>
            <w:vAlign w:val="bottom"/>
          </w:tcPr>
          <w:p>
            <w:pPr>
              <w:spacing w:after="0"/>
              <w:rPr>
                <w:sz w:val="12"/>
                <w:szCs w:val="12"/>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14,019,498</w:t>
            </w:r>
          </w:p>
        </w:tc>
        <w:tc>
          <w:tcPr>
            <w:tcW w:w="80" w:type="dxa"/>
            <w:vAlign w:val="bottom"/>
          </w:tcPr>
          <w:p>
            <w:pPr>
              <w:spacing w:after="0"/>
              <w:rPr>
                <w:sz w:val="12"/>
                <w:szCs w:val="12"/>
                <w:color w:val="auto"/>
              </w:rPr>
            </w:pP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2"/>
                <w:szCs w:val="12"/>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99,463</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tcPr>
          <w:p>
            <w:pPr>
              <w:jc w:val="center"/>
              <w:ind w:left="659"/>
              <w:spacing w:after="0"/>
              <w:rPr>
                <w:sz w:val="20"/>
                <w:szCs w:val="20"/>
                <w:color w:val="auto"/>
              </w:rPr>
            </w:pPr>
            <w:r>
              <w:rPr>
                <w:rFonts w:ascii="Times New Roman" w:cs="Times New Roman" w:eastAsia="Times New Roman" w:hAnsi="Times New Roman"/>
                <w:sz w:val="16"/>
                <w:szCs w:val="16"/>
                <w:color w:val="auto"/>
                <w:w w:val="99"/>
              </w:rPr>
              <w:t>10</w:t>
            </w:r>
          </w:p>
        </w:tc>
        <w:tc>
          <w:tcPr>
            <w:tcW w:w="8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(123,142)</w:t>
            </w:r>
          </w:p>
        </w:tc>
        <w:tc>
          <w:tcPr>
            <w:tcW w:w="80" w:type="dxa"/>
            <w:vAlign w:val="bottom"/>
          </w:tcPr>
          <w:p>
            <w:pPr>
              <w:spacing w:after="0"/>
              <w:rPr>
                <w:sz w:val="12"/>
                <w:szCs w:val="12"/>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(23,668)</w:t>
            </w:r>
          </w:p>
        </w:tc>
        <w:tc>
          <w:tcPr>
            <w:tcW w:w="80" w:type="dxa"/>
            <w:vAlign w:val="bottom"/>
          </w:tcPr>
          <w:p>
            <w:pPr>
              <w:spacing w:after="0"/>
              <w:rPr>
                <w:sz w:val="12"/>
                <w:szCs w:val="12"/>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(240,286)</w:t>
            </w:r>
          </w:p>
        </w:tc>
        <w:tc>
          <w:tcPr>
            <w:tcW w:w="80" w:type="dxa"/>
            <w:vAlign w:val="bottom"/>
          </w:tcPr>
          <w:p>
            <w:pPr>
              <w:spacing w:after="0"/>
              <w:rPr>
                <w:sz w:val="12"/>
                <w:szCs w:val="12"/>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(263,954)</w:t>
            </w:r>
          </w:p>
        </w:tc>
        <w:tc>
          <w:tcPr>
            <w:tcW w:w="0" w:type="dxa"/>
            <w:vAlign w:val="bottom"/>
          </w:tcPr>
          <w:p>
            <w:pPr>
              <w:spacing w:after="0"/>
              <w:rPr>
                <w:sz w:val="1"/>
                <w:szCs w:val="1"/>
                <w:color w:val="auto"/>
              </w:rPr>
            </w:pPr>
          </w:p>
        </w:tc>
      </w:tr>
      <w:tr>
        <w:trPr>
          <w:trHeight w:val="189"/>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17" w:right="899" w:bottom="1440" w:gutter="0" w:footer="0" w:header="0"/>
        </w:sectPr>
      </w:pPr>
    </w:p>
    <w:bookmarkStart w:id="10" w:name="page11"/>
    <w:bookmarkEnd w:id="10"/>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Deficit (Unaudited)</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154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Common Stock -</w:t>
            </w:r>
          </w:p>
        </w:tc>
        <w:tc>
          <w:tcPr>
            <w:tcW w:w="162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Common Stock -</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Attributable</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34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880" w:type="dxa"/>
            <w:vAlign w:val="bottom"/>
            <w:gridSpan w:val="3"/>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4"/>
                <w:szCs w:val="4"/>
                <w:color w:val="auto"/>
              </w:rPr>
            </w:pPr>
          </w:p>
        </w:tc>
        <w:tc>
          <w:tcPr>
            <w:tcW w:w="1100" w:type="dxa"/>
            <w:vAlign w:val="bottom"/>
            <w:gridSpan w:val="2"/>
            <w:vMerge w:val="restart"/>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89"/>
              </w:rPr>
              <w:t>to</w:t>
            </w: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vMerge w:val="restart"/>
          </w:tcPr>
          <w:p>
            <w:pPr>
              <w:jc w:val="right"/>
              <w:ind w:right="239"/>
              <w:spacing w:after="0" w:line="16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8"/>
        </w:trPr>
        <w:tc>
          <w:tcPr>
            <w:tcW w:w="1340" w:type="dxa"/>
            <w:vAlign w:val="bottom"/>
          </w:tcPr>
          <w:p>
            <w:pPr>
              <w:spacing w:after="0"/>
              <w:rPr>
                <w:sz w:val="9"/>
                <w:szCs w:val="9"/>
                <w:color w:val="auto"/>
              </w:rPr>
            </w:pPr>
          </w:p>
        </w:tc>
        <w:tc>
          <w:tcPr>
            <w:tcW w:w="1120" w:type="dxa"/>
            <w:vAlign w:val="bottom"/>
            <w:gridSpan w:val="3"/>
            <w:vMerge w:val="restart"/>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3"/>
            <w:vMerge w:val="restart"/>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340" w:type="dxa"/>
            <w:vAlign w:val="bottom"/>
          </w:tcPr>
          <w:p>
            <w:pPr>
              <w:spacing w:after="0"/>
              <w:rPr>
                <w:sz w:val="9"/>
                <w:szCs w:val="9"/>
                <w:color w:val="auto"/>
              </w:rPr>
            </w:pPr>
          </w:p>
        </w:tc>
        <w:tc>
          <w:tcPr>
            <w:tcW w:w="1120" w:type="dxa"/>
            <w:vAlign w:val="bottom"/>
            <w:tcBorders>
              <w:bottom w:val="single" w:sz="8" w:color="auto"/>
            </w:tcBorders>
            <w:gridSpan w:val="3"/>
            <w:vMerge w:val="continue"/>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Borders>
              <w:bottom w:val="single" w:sz="8" w:color="auto"/>
            </w:tcBorders>
            <w:gridSpan w:val="3"/>
            <w:vMerge w:val="continue"/>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80" w:type="dxa"/>
            <w:vAlign w:val="bottom"/>
            <w:gridSpan w:val="3"/>
            <w:vMerge w:val="restart"/>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rPr>
              <w:t>MarketWise,</w:t>
            </w:r>
          </w:p>
        </w:tc>
        <w:tc>
          <w:tcPr>
            <w:tcW w:w="116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Noncontrolling</w:t>
            </w:r>
          </w:p>
        </w:tc>
        <w:tc>
          <w:tcPr>
            <w:tcW w:w="100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36"/>
        </w:trPr>
        <w:tc>
          <w:tcPr>
            <w:tcW w:w="1340" w:type="dxa"/>
            <w:vAlign w:val="bottom"/>
          </w:tcPr>
          <w:p>
            <w:pPr>
              <w:spacing w:after="0"/>
              <w:rPr>
                <w:sz w:val="3"/>
                <w:szCs w:val="3"/>
                <w:color w:val="auto"/>
              </w:rPr>
            </w:pPr>
          </w:p>
        </w:tc>
        <w:tc>
          <w:tcPr>
            <w:tcW w:w="7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vMerge w:val="restart"/>
          </w:tcPr>
          <w:p>
            <w:pPr>
              <w:spacing w:after="0"/>
              <w:rPr>
                <w:sz w:val="3"/>
                <w:szCs w:val="3"/>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vMerge w:val="restart"/>
          </w:tcPr>
          <w:p>
            <w:pPr>
              <w:spacing w:after="0"/>
              <w:rPr>
                <w:sz w:val="3"/>
                <w:szCs w:val="3"/>
                <w:color w:val="auto"/>
              </w:rPr>
            </w:pPr>
          </w:p>
        </w:tc>
        <w:tc>
          <w:tcPr>
            <w:tcW w:w="8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vMerge w:val="restart"/>
          </w:tcPr>
          <w:p>
            <w:pPr>
              <w:spacing w:after="0"/>
              <w:rPr>
                <w:sz w:val="3"/>
                <w:szCs w:val="3"/>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13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6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6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Inc.</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144"/>
        </w:trPr>
        <w:tc>
          <w:tcPr>
            <w:tcW w:w="13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1,978,013</w:t>
            </w:r>
          </w:p>
        </w:tc>
        <w:tc>
          <w:tcPr>
            <w:tcW w:w="8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13,994,498</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106,691</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(119,284)</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(12,536)</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(205,388)</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(217,924)</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January 1, 2025</w:t>
            </w: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Equity-based</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6,410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6,410</w:t>
            </w:r>
          </w:p>
        </w:tc>
        <w:tc>
          <w:tcPr>
            <w:tcW w:w="0" w:type="dxa"/>
            <w:vAlign w:val="bottom"/>
          </w:tcPr>
          <w:p>
            <w:pPr>
              <w:spacing w:after="0"/>
              <w:rPr>
                <w:sz w:val="1"/>
                <w:szCs w:val="1"/>
                <w:color w:val="auto"/>
              </w:rPr>
            </w:pPr>
          </w:p>
        </w:tc>
      </w:tr>
      <w:tr>
        <w:trPr>
          <w:trHeight w:val="213"/>
        </w:trPr>
        <w:tc>
          <w:tcPr>
            <w:tcW w:w="1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3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Vesting of</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restricted stock</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138,647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3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Restricted stock</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units withheld</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(38,965)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 pay taxes</w:t>
            </w: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Repurchase of</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(117,673)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0" w:type="dxa"/>
            <w:vAlign w:val="bottom"/>
          </w:tcPr>
          <w:p>
            <w:pPr>
              <w:spacing w:after="0"/>
              <w:rPr>
                <w:sz w:val="1"/>
                <w:szCs w:val="1"/>
                <w:color w:val="auto"/>
              </w:rPr>
            </w:pPr>
          </w:p>
        </w:tc>
      </w:tr>
      <w:tr>
        <w:trPr>
          <w:trHeight w:val="213"/>
        </w:trPr>
        <w:tc>
          <w:tcPr>
            <w:tcW w:w="1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A shares</w:t>
            </w: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3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Cancellation of</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B shares</w:t>
            </w:r>
          </w:p>
        </w:tc>
        <w:tc>
          <w:tcPr>
            <w:tcW w:w="8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Cash dividends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declared to</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Class A</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(2,915)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(2,915)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(2,915)</w:t>
            </w:r>
          </w:p>
        </w:tc>
        <w:tc>
          <w:tcPr>
            <w:tcW w:w="0" w:type="dxa"/>
            <w:vAlign w:val="bottom"/>
          </w:tcPr>
          <w:p>
            <w:pPr>
              <w:spacing w:after="0"/>
              <w:rPr>
                <w:sz w:val="1"/>
                <w:szCs w:val="1"/>
                <w:color w:val="auto"/>
              </w:rPr>
            </w:pPr>
          </w:p>
        </w:tc>
      </w:tr>
      <w:tr>
        <w:trPr>
          <w:trHeight w:val="213"/>
        </w:trPr>
        <w:tc>
          <w:tcPr>
            <w:tcW w:w="1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shareholders</w:t>
            </w:r>
          </w:p>
        </w:tc>
        <w:tc>
          <w:tcPr>
            <w:tcW w:w="8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3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Distributions to</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noncontrolling</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(42,869)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(42,869)</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8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per</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redemption of</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Class B shares</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381,857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(381,857)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(7,034)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7,034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Class A</w:t>
            </w: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3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Remeasurement of</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deferred taxes</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due to change</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in</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noncontrolling</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w:t>
            </w:r>
          </w:p>
        </w:tc>
        <w:tc>
          <w:tcPr>
            <w:tcW w:w="8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29,964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32,151</w:t>
            </w:r>
          </w:p>
        </w:tc>
        <w:tc>
          <w:tcPr>
            <w:tcW w:w="0" w:type="dxa"/>
            <w:vAlign w:val="bottom"/>
          </w:tcPr>
          <w:p>
            <w:pPr>
              <w:spacing w:after="0"/>
              <w:rPr>
                <w:sz w:val="1"/>
                <w:szCs w:val="1"/>
                <w:color w:val="auto"/>
              </w:rPr>
            </w:pPr>
          </w:p>
        </w:tc>
      </w:tr>
      <w:tr>
        <w:trPr>
          <w:trHeight w:val="145"/>
        </w:trPr>
        <w:tc>
          <w:tcPr>
            <w:tcW w:w="13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2,357,128</w:t>
            </w:r>
          </w:p>
        </w:tc>
        <w:tc>
          <w:tcPr>
            <w:tcW w:w="8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13,612,641</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101,281</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(117,097)</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(15,759)</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(211,259)</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(227,018)</w:t>
            </w:r>
          </w:p>
        </w:tc>
        <w:tc>
          <w:tcPr>
            <w:tcW w:w="0" w:type="dxa"/>
            <w:vAlign w:val="bottom"/>
          </w:tcPr>
          <w:p>
            <w:pPr>
              <w:spacing w:after="0"/>
              <w:rPr>
                <w:sz w:val="1"/>
                <w:szCs w:val="1"/>
                <w:color w:val="auto"/>
              </w:rPr>
            </w:pPr>
          </w:p>
        </w:tc>
      </w:tr>
      <w:tr>
        <w:trPr>
          <w:trHeight w:val="209"/>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17" w:right="719" w:bottom="1440" w:gutter="0" w:footer="0" w:header="0"/>
        </w:sectPr>
      </w:pPr>
    </w:p>
    <w:bookmarkStart w:id="11" w:name="page12"/>
    <w:bookmarkEnd w:id="11"/>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Deficit (Unaudited)</w:t>
      </w:r>
    </w:p>
    <w:p>
      <w:pPr>
        <w:spacing w:after="0" w:line="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540" w:type="dxa"/>
            <w:vAlign w:val="bottom"/>
            <w:gridSpan w:val="5"/>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Common Stock -</w:t>
            </w:r>
          </w:p>
        </w:tc>
        <w:tc>
          <w:tcPr>
            <w:tcW w:w="1620" w:type="dxa"/>
            <w:vAlign w:val="bottom"/>
            <w:gridSpan w:val="5"/>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Common Stock -</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rPr>
              <w:t>Attributable</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880" w:type="dxa"/>
            <w:vAlign w:val="bottom"/>
            <w:gridSpan w:val="3"/>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4"/>
                <w:szCs w:val="4"/>
                <w:color w:val="auto"/>
              </w:rPr>
            </w:pPr>
          </w:p>
        </w:tc>
        <w:tc>
          <w:tcPr>
            <w:tcW w:w="1100" w:type="dxa"/>
            <w:vAlign w:val="bottom"/>
            <w:gridSpan w:val="2"/>
            <w:vMerge w:val="restart"/>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to</w:t>
            </w: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vMerge w:val="restart"/>
          </w:tcPr>
          <w:p>
            <w:pPr>
              <w:jc w:val="right"/>
              <w:ind w:right="239"/>
              <w:spacing w:after="0" w:line="16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1120" w:type="dxa"/>
            <w:vAlign w:val="bottom"/>
            <w:gridSpan w:val="3"/>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3"/>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60" w:type="dxa"/>
            <w:vAlign w:val="bottom"/>
          </w:tcPr>
          <w:p>
            <w:pPr>
              <w:spacing w:after="0"/>
              <w:rPr>
                <w:sz w:val="9"/>
                <w:szCs w:val="9"/>
                <w:color w:val="auto"/>
              </w:rPr>
            </w:pPr>
          </w:p>
        </w:tc>
        <w:tc>
          <w:tcPr>
            <w:tcW w:w="1120" w:type="dxa"/>
            <w:vAlign w:val="bottom"/>
            <w:tcBorders>
              <w:bottom w:val="single" w:sz="8" w:color="auto"/>
            </w:tcBorders>
            <w:gridSpan w:val="3"/>
            <w:vMerge w:val="continue"/>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Borders>
              <w:bottom w:val="single" w:sz="8" w:color="auto"/>
            </w:tcBorders>
            <w:gridSpan w:val="3"/>
            <w:vMerge w:val="continue"/>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80" w:type="dxa"/>
            <w:vAlign w:val="bottom"/>
            <w:gridSpan w:val="3"/>
            <w:vMerge w:val="restart"/>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rPr>
              <w:t>MarketWise,</w:t>
            </w:r>
          </w:p>
        </w:tc>
        <w:tc>
          <w:tcPr>
            <w:tcW w:w="116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Noncontrolling</w:t>
            </w:r>
          </w:p>
        </w:tc>
        <w:tc>
          <w:tcPr>
            <w:tcW w:w="100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36"/>
        </w:trPr>
        <w:tc>
          <w:tcPr>
            <w:tcW w:w="1160" w:type="dxa"/>
            <w:vAlign w:val="bottom"/>
          </w:tcPr>
          <w:p>
            <w:pPr>
              <w:spacing w:after="0"/>
              <w:rPr>
                <w:sz w:val="3"/>
                <w:szCs w:val="3"/>
                <w:color w:val="auto"/>
              </w:rPr>
            </w:pP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11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720" w:type="dxa"/>
            <w:vAlign w:val="bottom"/>
            <w:gridSpan w:val="3"/>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8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Inc.</w:t>
            </w:r>
          </w:p>
        </w:tc>
        <w:tc>
          <w:tcPr>
            <w:tcW w:w="2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00" w:type="dxa"/>
            <w:vAlign w:val="bottom"/>
          </w:tcPr>
          <w:p>
            <w:pPr>
              <w:spacing w:after="0"/>
              <w:rPr>
                <w:sz w:val="18"/>
                <w:szCs w:val="18"/>
                <w:color w:val="auto"/>
              </w:rPr>
            </w:pPr>
          </w:p>
        </w:tc>
        <w:tc>
          <w:tcPr>
            <w:tcW w:w="8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144"/>
        </w:trPr>
        <w:tc>
          <w:tcPr>
            <w:tcW w:w="1160" w:type="dxa"/>
            <w:vAlign w:val="bottom"/>
            <w:tcBorders>
              <w:top w:val="single" w:sz="8" w:color="CCEEFF"/>
            </w:tcBorders>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January 1,</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1,819,123</w:t>
            </w:r>
          </w:p>
        </w:tc>
        <w:tc>
          <w:tcPr>
            <w:tcW w:w="8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14,404,605</w:t>
            </w:r>
          </w:p>
        </w:tc>
        <w:tc>
          <w:tcPr>
            <w:tcW w:w="8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115,196</w:t>
            </w:r>
          </w:p>
        </w:tc>
        <w:tc>
          <w:tcPr>
            <w:tcW w:w="8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center"/>
              <w:ind w:left="659"/>
              <w:spacing w:after="0"/>
              <w:rPr>
                <w:sz w:val="20"/>
                <w:szCs w:val="20"/>
                <w:color w:val="auto"/>
              </w:rPr>
            </w:pPr>
            <w:r>
              <w:rPr>
                <w:rFonts w:ascii="Times New Roman" w:cs="Times New Roman" w:eastAsia="Times New Roman" w:hAnsi="Times New Roman"/>
                <w:sz w:val="16"/>
                <w:szCs w:val="16"/>
                <w:color w:val="auto"/>
                <w:w w:val="99"/>
              </w:rPr>
              <w:t>65</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(126,343)</w:t>
            </w:r>
          </w:p>
        </w:tc>
        <w:tc>
          <w:tcPr>
            <w:tcW w:w="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(11,081)</w:t>
            </w:r>
          </w:p>
        </w:tc>
        <w:tc>
          <w:tcPr>
            <w:tcW w:w="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(277,862)</w:t>
            </w:r>
          </w:p>
        </w:tc>
        <w:tc>
          <w:tcPr>
            <w:tcW w:w="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(288,943)</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Equity-based</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3,941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left="57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3,941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3,941</w:t>
            </w:r>
          </w:p>
        </w:tc>
        <w:tc>
          <w:tcPr>
            <w:tcW w:w="0" w:type="dxa"/>
            <w:vAlign w:val="bottom"/>
          </w:tcPr>
          <w:p>
            <w:pPr>
              <w:spacing w:after="0"/>
              <w:rPr>
                <w:sz w:val="1"/>
                <w:szCs w:val="1"/>
                <w:color w:val="auto"/>
              </w:rPr>
            </w:pPr>
          </w:p>
        </w:tc>
      </w:tr>
      <w:tr>
        <w:trPr>
          <w:trHeight w:val="213"/>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1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center"/>
              <w:ind w:left="57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Vesting of</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restricted stock</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102,869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center"/>
              <w:ind w:left="57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1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Restricted stock</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units</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withheld to</w:t>
            </w:r>
          </w:p>
        </w:tc>
        <w:tc>
          <w:tcPr>
            <w:tcW w:w="74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(27,968)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center"/>
              <w:ind w:left="57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 taxes</w:t>
            </w: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Repurchase of</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(360,107)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(10,803)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left="57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(10,803)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(10,803)</w:t>
            </w:r>
          </w:p>
        </w:tc>
        <w:tc>
          <w:tcPr>
            <w:tcW w:w="0" w:type="dxa"/>
            <w:vAlign w:val="bottom"/>
          </w:tcPr>
          <w:p>
            <w:pPr>
              <w:spacing w:after="0"/>
              <w:rPr>
                <w:sz w:val="1"/>
                <w:szCs w:val="1"/>
                <w:color w:val="auto"/>
              </w:rPr>
            </w:pPr>
          </w:p>
        </w:tc>
      </w:tr>
      <w:tr>
        <w:trPr>
          <w:trHeight w:val="213"/>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B shares</w:t>
            </w:r>
          </w:p>
        </w:tc>
        <w:tc>
          <w:tcPr>
            <w:tcW w:w="8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1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Cash dividends</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declared to</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Class A</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center"/>
              <w:ind w:left="57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shareholders</w:t>
            </w:r>
          </w:p>
        </w:tc>
        <w:tc>
          <w:tcPr>
            <w:tcW w:w="8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Distributions to</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noncontrolling</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center"/>
              <w:ind w:left="57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(10,237)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(10,237)</w:t>
            </w:r>
          </w:p>
        </w:tc>
        <w:tc>
          <w:tcPr>
            <w:tcW w:w="0" w:type="dxa"/>
            <w:vAlign w:val="bottom"/>
          </w:tcPr>
          <w:p>
            <w:pPr>
              <w:spacing w:after="0"/>
              <w:rPr>
                <w:sz w:val="1"/>
                <w:szCs w:val="1"/>
                <w:color w:val="auto"/>
              </w:rPr>
            </w:pPr>
          </w:p>
        </w:tc>
      </w:tr>
      <w:tr>
        <w:trPr>
          <w:trHeight w:val="213"/>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w:t>
            </w:r>
          </w:p>
        </w:tc>
        <w:tc>
          <w:tcPr>
            <w:tcW w:w="8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1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per</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redemption</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of Class B</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shares for</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center"/>
              <w:ind w:left="57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A</w:t>
            </w: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Foreign</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currency</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20" w:type="dxa"/>
            <w:vAlign w:val="bottom"/>
            <w:vMerge w:val="restart"/>
          </w:tcPr>
          <w:p>
            <w:pPr>
              <w:jc w:val="center"/>
              <w:ind w:left="619"/>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3"/>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8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1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Change in</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noncontrolling</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center"/>
              <w:ind w:left="57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w:t>
            </w:r>
          </w:p>
        </w:tc>
        <w:tc>
          <w:tcPr>
            <w:tcW w:w="8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Remeasurement</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of deferred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taxes due to</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change in</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noncontrolling</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left="57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13"/>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w:t>
            </w:r>
          </w:p>
        </w:tc>
        <w:tc>
          <w:tcPr>
            <w:tcW w:w="8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65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40,751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43,952</w:t>
            </w:r>
          </w:p>
        </w:tc>
        <w:tc>
          <w:tcPr>
            <w:tcW w:w="0" w:type="dxa"/>
            <w:vAlign w:val="bottom"/>
          </w:tcPr>
          <w:p>
            <w:pPr>
              <w:spacing w:after="0"/>
              <w:rPr>
                <w:sz w:val="1"/>
                <w:szCs w:val="1"/>
                <w:color w:val="auto"/>
              </w:rPr>
            </w:pPr>
          </w:p>
        </w:tc>
      </w:tr>
      <w:tr>
        <w:trPr>
          <w:trHeight w:val="142"/>
        </w:trPr>
        <w:tc>
          <w:tcPr>
            <w:tcW w:w="11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1,929,849</w:t>
            </w:r>
          </w:p>
        </w:tc>
        <w:tc>
          <w:tcPr>
            <w:tcW w:w="80" w:type="dxa"/>
            <w:vAlign w:val="bottom"/>
          </w:tcPr>
          <w:p>
            <w:pPr>
              <w:spacing w:after="0"/>
              <w:rPr>
                <w:sz w:val="12"/>
                <w:szCs w:val="12"/>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14,019,498</w:t>
            </w:r>
          </w:p>
        </w:tc>
        <w:tc>
          <w:tcPr>
            <w:tcW w:w="80" w:type="dxa"/>
            <w:vAlign w:val="bottom"/>
          </w:tcPr>
          <w:p>
            <w:pPr>
              <w:spacing w:after="0"/>
              <w:rPr>
                <w:sz w:val="12"/>
                <w:szCs w:val="12"/>
                <w:color w:val="auto"/>
              </w:rPr>
            </w:pP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2"/>
                <w:szCs w:val="12"/>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99,463</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tcPr>
          <w:p>
            <w:pPr>
              <w:jc w:val="center"/>
              <w:ind w:left="659"/>
              <w:spacing w:after="0"/>
              <w:rPr>
                <w:sz w:val="20"/>
                <w:szCs w:val="20"/>
                <w:color w:val="auto"/>
              </w:rPr>
            </w:pPr>
            <w:r>
              <w:rPr>
                <w:rFonts w:ascii="Times New Roman" w:cs="Times New Roman" w:eastAsia="Times New Roman" w:hAnsi="Times New Roman"/>
                <w:sz w:val="16"/>
                <w:szCs w:val="16"/>
                <w:color w:val="auto"/>
                <w:w w:val="99"/>
              </w:rPr>
              <w:t>10</w:t>
            </w:r>
          </w:p>
        </w:tc>
        <w:tc>
          <w:tcPr>
            <w:tcW w:w="8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(123,142)</w:t>
            </w:r>
          </w:p>
        </w:tc>
        <w:tc>
          <w:tcPr>
            <w:tcW w:w="80" w:type="dxa"/>
            <w:vAlign w:val="bottom"/>
          </w:tcPr>
          <w:p>
            <w:pPr>
              <w:spacing w:after="0"/>
              <w:rPr>
                <w:sz w:val="12"/>
                <w:szCs w:val="12"/>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(23,668)</w:t>
            </w:r>
          </w:p>
        </w:tc>
        <w:tc>
          <w:tcPr>
            <w:tcW w:w="80" w:type="dxa"/>
            <w:vAlign w:val="bottom"/>
          </w:tcPr>
          <w:p>
            <w:pPr>
              <w:spacing w:after="0"/>
              <w:rPr>
                <w:sz w:val="12"/>
                <w:szCs w:val="12"/>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(240,286)</w:t>
            </w:r>
          </w:p>
        </w:tc>
        <w:tc>
          <w:tcPr>
            <w:tcW w:w="80" w:type="dxa"/>
            <w:vAlign w:val="bottom"/>
          </w:tcPr>
          <w:p>
            <w:pPr>
              <w:spacing w:after="0"/>
              <w:rPr>
                <w:sz w:val="12"/>
                <w:szCs w:val="12"/>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(263,954)</w:t>
            </w:r>
          </w:p>
        </w:tc>
        <w:tc>
          <w:tcPr>
            <w:tcW w:w="0" w:type="dxa"/>
            <w:vAlign w:val="bottom"/>
          </w:tcPr>
          <w:p>
            <w:pPr>
              <w:spacing w:after="0"/>
              <w:rPr>
                <w:sz w:val="1"/>
                <w:szCs w:val="1"/>
                <w:color w:val="auto"/>
              </w:rPr>
            </w:pPr>
          </w:p>
        </w:tc>
      </w:tr>
      <w:tr>
        <w:trPr>
          <w:trHeight w:val="189"/>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17" w:right="899" w:bottom="1440" w:gutter="0" w:footer="0" w:header="0"/>
        </w:sectPr>
      </w:pPr>
    </w:p>
    <w:bookmarkStart w:id="12" w:name="page13"/>
    <w:bookmarkEnd w:id="12"/>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43,952</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r>
      <w:tr>
        <w:trPr>
          <w:trHeight w:val="22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property and equipment,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5,464</w:t>
            </w:r>
          </w:p>
        </w:tc>
      </w:tr>
      <w:tr>
        <w:trPr>
          <w:trHeight w:val="22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on foreign currency</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gains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lease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Related party receivables and payables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r>
      <w:tr>
        <w:trPr>
          <w:trHeight w:val="229"/>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30"/>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 and other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29"/>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contract acquisition costs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32,919</w:t>
            </w:r>
          </w:p>
        </w:tc>
      </w:tr>
      <w:tr>
        <w:trPr>
          <w:trHeight w:val="229"/>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and other payables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w:t>
            </w:r>
          </w:p>
        </w:tc>
      </w:tr>
      <w:tr>
        <w:trPr>
          <w:trHeight w:val="230"/>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(29,317)</w:t>
            </w:r>
          </w:p>
        </w:tc>
      </w:tr>
      <w:tr>
        <w:trPr>
          <w:trHeight w:val="229"/>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(86,852)</w:t>
            </w:r>
          </w:p>
        </w:tc>
      </w:tr>
      <w:tr>
        <w:trPr>
          <w:trHeight w:val="230"/>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30"/>
        </w:trPr>
        <w:tc>
          <w:tcPr>
            <w:tcW w:w="8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and long-term liabilities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223"/>
        </w:trPr>
        <w:tc>
          <w:tcPr>
            <w:tcW w:w="80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(22,306)</w:t>
            </w: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8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23"/>
        </w:trPr>
        <w:tc>
          <w:tcPr>
            <w:tcW w:w="80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Repurchases of stock</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(10,803)</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units withheld to pay taxes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r>
      <w:tr>
        <w:trPr>
          <w:trHeight w:val="230"/>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paid to Class A shareholders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(10,237)</w:t>
            </w:r>
          </w:p>
        </w:tc>
      </w:tr>
      <w:tr>
        <w:trPr>
          <w:trHeight w:val="223"/>
        </w:trPr>
        <w:tc>
          <w:tcPr>
            <w:tcW w:w="80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(47,778)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(22,723)</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(45,832)</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155,174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69,112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109,342</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 and Basis of Presentation</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MarketWise, Inc. (“MarketWise,” “the Company,” “we,” “us,” or “our”) is a holding company that has no material assets other than its ownership in MarketWise, LLC, and operates and controls all of the businesses and operations of MarketWise, LLC and its subsidiaries. The Company provides independent investment research for investors around the world. We believe we are a leading content and technology multi-brand platform for self-directed investors. We offer a comprehensive portfolio of high-quality, independent investment research, as well as several software and analytical tools, on a subscription basis.</w:t>
      </w:r>
    </w:p>
    <w:p>
      <w:pPr>
        <w:spacing w:after="0" w:line="129" w:lineRule="exact"/>
        <w:rPr>
          <w:sz w:val="20"/>
          <w:szCs w:val="20"/>
          <w:color w:val="auto"/>
        </w:rPr>
      </w:pPr>
    </w:p>
    <w:p>
      <w:pPr>
        <w:ind w:right="3980"/>
        <w:spacing w:after="0" w:line="525" w:lineRule="auto"/>
        <w:rPr>
          <w:sz w:val="20"/>
          <w:szCs w:val="20"/>
          <w:color w:val="auto"/>
        </w:rPr>
      </w:pPr>
      <w:r>
        <w:rPr>
          <w:rFonts w:ascii="Times New Roman" w:cs="Times New Roman" w:eastAsia="Times New Roman" w:hAnsi="Times New Roman"/>
          <w:sz w:val="18"/>
          <w:szCs w:val="18"/>
          <w:color w:val="auto"/>
        </w:rPr>
        <w:t xml:space="preserve">We operate multiple subsidiaries in the United States from our headquarters in Baltimore, Maryland. </w:t>
      </w: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b w:val="1"/>
          <w:bCs w:val="1"/>
          <w:i w:val="1"/>
          <w:iCs w:val="1"/>
          <w:color w:val="auto"/>
        </w:rPr>
        <w:t>Basis of Consolidation</w:t>
      </w:r>
    </w:p>
    <w:p>
      <w:pPr>
        <w:spacing w:after="0" w:line="22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MarketWise, Inc. and its subsidiary, MarketWise, LLC, a variable interest entity (“VIE”) for which MarketWise, Inc. is deemed to be the primary beneficiary.</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MarketWise, Inc. is a holding company that owns a minority economic interest in MarketWise, LLC but, through its role as the managing member of MarketWise, LLC, controls all of the business and operations of MarketWise, LLC. Therefore, MarketWise, LLC and its subsidiaries are included in the Company’s condensed consolidated financial statements (“financial statements”). As of June 30, 2025, MarketWise, Inc. had a 14.8% ownership interest in MarketWise, LLC.</w:t>
      </w:r>
    </w:p>
    <w:p>
      <w:pPr>
        <w:spacing w:after="0" w:line="12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determined that MarketWise, LLC is the primary beneficiary of a VIE, and therefore, the assets, liabilities, and results of operations of that VIE are included in the Company’s condensed consolidated financial statements.</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financial statements have been prepared in accordance with accounting principles generally accepted in the United States of America (“GAAP”). All intercompany balances and transactions have been eliminated in consolidation.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accompanying unaudited financial statements and the related footnote disclosures have been prepared by us in accordance with GAAP for interim financial reporting and as required by Rule 10-01 of Regulation S-X. Accordingly, the unaudited financial statements may not include all of the information and notes required by GAAP for audited financial statements. The year-end December 31, 2024 consolidated balance sheet data included herein was derived from audited financial statements but does not include all disclosures required by GAAP for complete financial statements. In the opinion of management, the accompanying unaudited financial statements contain all adjustments, consisting of items of a normal and recurring nature, necessary to present fairly our financial position as of June 30, 2025, the results of operations, comprehensive income, stockholders’ deficit, and cash flows for the three and six months ended June 30, 2025 and 2024. The results of operations for the three and six months ended June 30, 2025 and 2024 are not necessarily indicative of the results to be expected for the full year. The information contained herein should be read in conjunction with the audited financial statements included in our Annual Report on Form 10-K for the year ended December 31, 2024 filed with the SEC. Management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of issuance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Significant estimates and assumptions made in the accompanying financial statements include, but are not limited to, the fair value of common units, estimates of the Tax Receivable Agreement liability, valuation of assets acquired and liabilities assumed in business combinations, useful lives of intangible assets with definite lives, benefit period of deferred contract acquisition costs, determination of standalone selling prices, estimated life of lifetime customers, recoverability of goodwill and long-lived assets, valuation allowances on deferred tax assets, the incremental borrowing rates to calculate lease liabilities and right-of-use (“ROU”) assets and certain accruals. We evaluate our estimates and assumptions on an ongoing basis using historical experience and other factors and adjust those estimates and assumptions when facts and circumstances dictate. Actual results could differ from those estimates.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Jumpstart Our Business Startups Act of 2012 (the “JOBS Act”), and we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3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unaudited condensed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Effective as of April 2, 2025, the Company effected a reverse stock split (the “Reverse Stock Split”) of the Company’s shares of Class A and Class B common stock at a ratio of 1-for-20 as approved by the Company’s Board of Directors (the “Board”) and stockholders.</w:t>
      </w:r>
    </w:p>
    <w:p>
      <w:pPr>
        <w:spacing w:after="0" w:line="10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Reverse Stock Split proportionately decreased the number of shares of common stock authorized under the Company’s Certificate of Incorporation. The number of shares of authorized Class A common stock was reduced from 950,000,000 shares to 47,500,000 shares and the number of shares of authorized Class B common stock was reduced from 300,000,000 shares to 15,000,000 shares. The number of authorized shares of preferred stock remained unchanged.</w:t>
      </w:r>
    </w:p>
    <w:p>
      <w:pPr>
        <w:spacing w:after="0" w:line="12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Proportional adjustments were made to (i) the per share exercise price and number of shares issuable upon the exercise of outstanding equity awards, including Sponsor Earnout Shares and Management Earnout Shares (as defined and discussed in our Current Report on Form 8-K filed with the SEC on July 28, 2021); and (ii) the number of shares reserved for issuance pursuant to the Company’s equity incentive plan and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No fractional shares were issued in connection with the Reverse Stock Split. Holders of fractional shares as a result of the Reverse Stock Split were paid in cash, with reference to the closing price of the Company’s common stock on April 2, 2025 (adjusted to give effect to the reverse stock split), without interest.</w:t>
      </w:r>
    </w:p>
    <w:p>
      <w:pPr>
        <w:spacing w:after="0" w:line="12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notes to the condensed consolidated financial statements give retroactive effect to the Reverse Stock Split for all periods presented, unless otherwise specified.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Noncontrolling interest represents the Company’s noncontrolling interest in consolidated subsidiaries which are not attributable, directly or indirectly, to the controlling Class A common stock ownership of the Company.</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Net income for the three and six months ended June 30, 2025 and 2024 was attributable to consolidated MarketWise, Inc. and its respective noncontrolling interests.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June 30, 2025, MarketWise, Inc.’s controlling interest in MarketWise, LLC was 14.8% and the noncontrolling interest was 85.2%. For the three months ended June 30, 2025, net income attributable to controlling interests included a $613 tax provision, and for the six months ended June 30, 2025, net income attributable to controlling interests included a $1,651 tax provision, both of which were solely attributable to the controlling interest.</w:t>
      </w:r>
    </w:p>
    <w:p>
      <w:pPr>
        <w:spacing w:after="0" w:line="1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June 30, 2024, MarketWise, Inc.’s controlling interest in MarketWise, LLC was 12.1% and the noncontrolling interest was 87.9%. For the three months ended June 30, 2024, net income attributable to controlling interests included a $779 tax provision, and for the six months ended June 30, 2024, net income attributable to controlling interests included a $1,514 tax provision, both of which were 100% attributable to the controlling interest.</w:t>
      </w:r>
    </w:p>
    <w:p>
      <w:pPr>
        <w:spacing w:after="0" w:line="200" w:lineRule="exact"/>
        <w:rPr>
          <w:sz w:val="20"/>
          <w:szCs w:val="20"/>
          <w:color w:val="auto"/>
        </w:rPr>
      </w:pPr>
    </w:p>
    <w:p>
      <w:pPr>
        <w:spacing w:after="0" w:line="3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depicts the disaggregation of revenue according to customer type and is consistent with how we evaluate our financial performance.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this depicts how the nature, amount, timing and uncertainty of revenue and cash flows are affected by economic factors.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Timing of transfer:</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Transferred over time</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Transferred at a point in time</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Timing of transfer:</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Transferred over time</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Transferred at a point in time</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Subscriptions</w:t>
            </w:r>
          </w:p>
        </w:tc>
        <w:tc>
          <w:tcPr>
            <w:tcW w:w="2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Advertising</w:t>
            </w: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jc w:val="center"/>
              <w:ind w:right="300"/>
              <w:spacing w:after="0" w:line="151" w:lineRule="exact"/>
              <w:rPr>
                <w:sz w:val="20"/>
                <w:szCs w:val="20"/>
                <w:color w:val="auto"/>
              </w:rPr>
            </w:pPr>
            <w:r>
              <w:rPr>
                <w:rFonts w:ascii="Times New Roman" w:cs="Times New Roman" w:eastAsia="Times New Roman" w:hAnsi="Times New Roman"/>
                <w:sz w:val="14"/>
                <w:szCs w:val="14"/>
                <w:b w:val="1"/>
                <w:bCs w:val="1"/>
                <w:color w:val="auto"/>
              </w:rPr>
              <w:t>Revenue Share</w:t>
            </w:r>
          </w:p>
        </w:tc>
        <w:tc>
          <w:tcPr>
            <w:tcW w:w="2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center"/>
              <w:ind w:right="360"/>
              <w:spacing w:after="0" w:line="151" w:lineRule="exact"/>
              <w:rPr>
                <w:sz w:val="20"/>
                <w:szCs w:val="20"/>
                <w:color w:val="auto"/>
              </w:rPr>
            </w:pPr>
            <w:r>
              <w:rPr>
                <w:rFonts w:ascii="Times New Roman" w:cs="Times New Roman" w:eastAsia="Times New Roman" w:hAnsi="Times New Roman"/>
                <w:sz w:val="14"/>
                <w:szCs w:val="14"/>
                <w:b w:val="1"/>
                <w:bCs w:val="1"/>
                <w:color w:val="auto"/>
              </w:rPr>
              <w:t>Revenue Share</w:t>
            </w: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(Third-party)</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39"/>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79,274</w:t>
            </w:r>
          </w:p>
        </w:tc>
        <w:tc>
          <w:tcPr>
            <w:tcW w:w="14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79,274</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23"/>
        </w:trPr>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79,274</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79,950</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gridSpan w:val="6"/>
          </w:tcPr>
          <w:p>
            <w:pPr>
              <w:jc w:val="center"/>
              <w:ind w:left="836"/>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0" w:type="dxa"/>
            <w:vAlign w:val="bottom"/>
          </w:tcPr>
          <w:p>
            <w:pPr>
              <w:spacing w:after="0"/>
              <w:rPr>
                <w:sz w:val="11"/>
                <w:szCs w:val="11"/>
                <w:color w:val="auto"/>
              </w:rPr>
            </w:pPr>
          </w:p>
        </w:tc>
        <w:tc>
          <w:tcPr>
            <w:tcW w:w="1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Subscriptions</w:t>
            </w:r>
          </w:p>
        </w:tc>
        <w:tc>
          <w:tcPr>
            <w:tcW w:w="220" w:type="dxa"/>
            <w:vAlign w:val="bottom"/>
          </w:tcPr>
          <w:p>
            <w:pPr>
              <w:spacing w:after="0"/>
              <w:rPr>
                <w:sz w:val="11"/>
                <w:szCs w:val="11"/>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Advertising</w:t>
            </w:r>
          </w:p>
        </w:tc>
        <w:tc>
          <w:tcPr>
            <w:tcW w:w="180" w:type="dxa"/>
            <w:vAlign w:val="bottom"/>
          </w:tcPr>
          <w:p>
            <w:pPr>
              <w:spacing w:after="0"/>
              <w:rPr>
                <w:sz w:val="11"/>
                <w:szCs w:val="11"/>
                <w:color w:val="auto"/>
              </w:rPr>
            </w:pPr>
          </w:p>
        </w:tc>
        <w:tc>
          <w:tcPr>
            <w:tcW w:w="138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Revenue Share</w:t>
            </w:r>
          </w:p>
        </w:tc>
        <w:tc>
          <w:tcPr>
            <w:tcW w:w="260" w:type="dxa"/>
            <w:vAlign w:val="bottom"/>
          </w:tcPr>
          <w:p>
            <w:pPr>
              <w:spacing w:after="0"/>
              <w:rPr>
                <w:sz w:val="11"/>
                <w:szCs w:val="11"/>
                <w:color w:val="auto"/>
              </w:rPr>
            </w:pPr>
          </w:p>
        </w:tc>
        <w:tc>
          <w:tcPr>
            <w:tcW w:w="128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Revenue Share</w:t>
            </w:r>
          </w:p>
        </w:tc>
        <w:tc>
          <w:tcPr>
            <w:tcW w:w="340" w:type="dxa"/>
            <w:vAlign w:val="bottom"/>
          </w:tcPr>
          <w:p>
            <w:pPr>
              <w:spacing w:after="0"/>
              <w:rPr>
                <w:sz w:val="11"/>
                <w:szCs w:val="11"/>
                <w:color w:val="auto"/>
              </w:rPr>
            </w:pPr>
          </w:p>
        </w:tc>
        <w:tc>
          <w:tcPr>
            <w:tcW w:w="110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(Third-party)</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39"/>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103,777</w:t>
            </w:r>
          </w:p>
        </w:tc>
        <w:tc>
          <w:tcPr>
            <w:tcW w:w="14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103,777</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23"/>
        </w:trPr>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103,777</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105,046</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-1748155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-1456690</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-624840</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-333375</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80" w:space="720"/>
            <w:col w:w="76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(Dollar amounts in thousands, except share, unit, per share, and per unit data)</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Timing of transfer:</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Transferred over time</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Transferred at a point in time</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Timing of transfer:</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Transferred over time</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Transferred at a point in time</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Subscriptions</w:t>
            </w:r>
          </w:p>
        </w:tc>
        <w:tc>
          <w:tcPr>
            <w:tcW w:w="2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Advertising</w:t>
            </w: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jc w:val="center"/>
              <w:ind w:right="300"/>
              <w:spacing w:after="0" w:line="151" w:lineRule="exact"/>
              <w:rPr>
                <w:sz w:val="20"/>
                <w:szCs w:val="20"/>
                <w:color w:val="auto"/>
              </w:rPr>
            </w:pPr>
            <w:r>
              <w:rPr>
                <w:rFonts w:ascii="Times New Roman" w:cs="Times New Roman" w:eastAsia="Times New Roman" w:hAnsi="Times New Roman"/>
                <w:sz w:val="14"/>
                <w:szCs w:val="14"/>
                <w:b w:val="1"/>
                <w:bCs w:val="1"/>
                <w:color w:val="auto"/>
              </w:rPr>
              <w:t>Revenue Share</w:t>
            </w:r>
          </w:p>
        </w:tc>
        <w:tc>
          <w:tcPr>
            <w:tcW w:w="2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jc w:val="center"/>
              <w:ind w:right="300"/>
              <w:spacing w:after="0" w:line="151" w:lineRule="exact"/>
              <w:rPr>
                <w:sz w:val="20"/>
                <w:szCs w:val="20"/>
                <w:color w:val="auto"/>
              </w:rPr>
            </w:pPr>
            <w:r>
              <w:rPr>
                <w:rFonts w:ascii="Times New Roman" w:cs="Times New Roman" w:eastAsia="Times New Roman" w:hAnsi="Times New Roman"/>
                <w:sz w:val="14"/>
                <w:szCs w:val="14"/>
                <w:b w:val="1"/>
                <w:bCs w:val="1"/>
                <w:color w:val="auto"/>
              </w:rPr>
              <w:t>Revenue Share</w:t>
            </w: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(Third-party)</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39"/>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162,206</w:t>
            </w:r>
          </w:p>
        </w:tc>
        <w:tc>
          <w:tcPr>
            <w:tcW w:w="14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162,206</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223"/>
        </w:trPr>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162,206</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163,457</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gridSpan w:val="6"/>
          </w:tcPr>
          <w:p>
            <w:pPr>
              <w:jc w:val="center"/>
              <w:ind w:left="916"/>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0" w:type="dxa"/>
            <w:vAlign w:val="bottom"/>
          </w:tcPr>
          <w:p>
            <w:pPr>
              <w:spacing w:after="0"/>
              <w:rPr>
                <w:sz w:val="11"/>
                <w:szCs w:val="11"/>
                <w:color w:val="auto"/>
              </w:rPr>
            </w:pPr>
          </w:p>
        </w:tc>
        <w:tc>
          <w:tcPr>
            <w:tcW w:w="1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Subscriptions</w:t>
            </w:r>
          </w:p>
        </w:tc>
        <w:tc>
          <w:tcPr>
            <w:tcW w:w="220" w:type="dxa"/>
            <w:vAlign w:val="bottom"/>
          </w:tcPr>
          <w:p>
            <w:pPr>
              <w:spacing w:after="0"/>
              <w:rPr>
                <w:sz w:val="11"/>
                <w:szCs w:val="11"/>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Advertising</w:t>
            </w:r>
          </w:p>
        </w:tc>
        <w:tc>
          <w:tcPr>
            <w:tcW w:w="180" w:type="dxa"/>
            <w:vAlign w:val="bottom"/>
          </w:tcPr>
          <w:p>
            <w:pPr>
              <w:spacing w:after="0"/>
              <w:rPr>
                <w:sz w:val="11"/>
                <w:szCs w:val="11"/>
                <w:color w:val="auto"/>
              </w:rPr>
            </w:pPr>
          </w:p>
        </w:tc>
        <w:tc>
          <w:tcPr>
            <w:tcW w:w="138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Revenue Share</w:t>
            </w: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Revenue Share</w:t>
            </w:r>
          </w:p>
        </w:tc>
        <w:tc>
          <w:tcPr>
            <w:tcW w:w="340" w:type="dxa"/>
            <w:vAlign w:val="bottom"/>
          </w:tcPr>
          <w:p>
            <w:pPr>
              <w:spacing w:after="0"/>
              <w:rPr>
                <w:sz w:val="11"/>
                <w:szCs w:val="11"/>
                <w:color w:val="auto"/>
              </w:rPr>
            </w:pPr>
          </w:p>
        </w:tc>
        <w:tc>
          <w:tcPr>
            <w:tcW w:w="110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(Third-party)</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39"/>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212,052</w:t>
            </w:r>
          </w:p>
        </w:tc>
        <w:tc>
          <w:tcPr>
            <w:tcW w:w="14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212,052</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0" w:type="dxa"/>
            <w:vAlign w:val="bottom"/>
          </w:tcPr>
          <w:p>
            <w:pPr>
              <w:spacing w:after="0"/>
              <w:rPr>
                <w:sz w:val="1"/>
                <w:szCs w:val="1"/>
                <w:color w:val="auto"/>
              </w:rPr>
            </w:pPr>
          </w:p>
        </w:tc>
      </w:tr>
      <w:tr>
        <w:trPr>
          <w:trHeight w:val="223"/>
        </w:trPr>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212,052</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214,037</w:t>
            </w:r>
          </w:p>
        </w:tc>
        <w:tc>
          <w:tcPr>
            <w:tcW w:w="0" w:type="dxa"/>
            <w:vAlign w:val="bottom"/>
          </w:tcPr>
          <w:p>
            <w:pPr>
              <w:spacing w:after="0"/>
              <w:rPr>
                <w:sz w:val="1"/>
                <w:szCs w:val="1"/>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-1748155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-1456690</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-625475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-334010</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80" w:space="720"/>
            <w:col w:w="7640"/>
          </w:cols>
          <w:pgMar w:left="320" w:top="117" w:right="339" w:bottom="1440" w:gutter="0" w:footer="0" w:header="0"/>
          <w:type w:val="continuous"/>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recognition by subscription type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274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40" w:type="dxa"/>
            <w:vAlign w:val="bottom"/>
            <w:gridSpan w:val="4"/>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2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42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Membership subscriptions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41,857</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98,228</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subscriptions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37,417</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55,175</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78,386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113,824</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Non-subscription revenue</w:t>
            </w: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r>
      <w:tr>
        <w:trPr>
          <w:trHeight w:val="223"/>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79,950</w:t>
            </w:r>
          </w:p>
        </w:tc>
        <w:tc>
          <w:tcPr>
            <w:tcW w:w="80" w:type="dxa"/>
            <w:vAlign w:val="bottom"/>
          </w:tcPr>
          <w:p>
            <w:pPr>
              <w:spacing w:after="0"/>
              <w:rPr>
                <w:sz w:val="19"/>
                <w:szCs w:val="19"/>
                <w:color w:val="auto"/>
              </w:rPr>
            </w:pPr>
          </w:p>
        </w:tc>
        <w:tc>
          <w:tcPr>
            <w:tcW w:w="100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105,046</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163,457</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214,037</w:t>
            </w:r>
          </w:p>
        </w:tc>
      </w:tr>
      <w:tr>
        <w:trPr>
          <w:trHeight w:val="20"/>
        </w:trPr>
        <w:tc>
          <w:tcPr>
            <w:tcW w:w="4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Revenue for the Membership and Term subscription types are determined based on the terms of the subscription agreements. Non-subscription revenue consists of revenue from advertising and other revenue.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75"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billings, cash collections and refunds affects the recognition of accounts receivable, contract assets and deferred revenue. Our current deferred revenue balance in the condensed consolidated balance sheets includes an obligation for refunds for contracts where the provision for refund has not lapsed. Accounts receivable, deferred revenue and obligation for refunds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0" w:type="dxa"/>
            <w:vAlign w:val="bottom"/>
          </w:tcPr>
          <w:p>
            <w:pPr>
              <w:spacing w:after="0"/>
              <w:rPr>
                <w:sz w:val="16"/>
                <w:szCs w:val="16"/>
                <w:color w:val="auto"/>
              </w:rPr>
            </w:pPr>
          </w:p>
        </w:tc>
      </w:tr>
      <w:tr>
        <w:trPr>
          <w:trHeight w:val="23"/>
        </w:trPr>
        <w:tc>
          <w:tcPr>
            <w:tcW w:w="7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0"/>
        </w:trPr>
        <w:tc>
          <w:tcPr>
            <w:tcW w:w="7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16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6"/>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balances</w:t>
            </w:r>
          </w:p>
        </w:tc>
        <w:tc>
          <w:tcPr>
            <w:tcW w:w="3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for refunds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current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199,000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215,326</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 non-current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209,013</w:t>
            </w:r>
          </w:p>
        </w:tc>
      </w:tr>
    </w:tbl>
    <w:p>
      <w:pPr>
        <w:spacing w:after="0" w:line="23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recognized $59,198 and $79,088 of revenue during the three months ended June 30, 2025 and 2024, respectively, and $130,113 and $171,649 during the six months ended June 30, 2025 and 2024, respectively, that was included within the beginning contract liability balance of the respective periods. The Company has collected all amounts included in deferred revenue other than $4,068 and $1,876 as of June 30, 2025 and December 31, 2024, respectively, related to the timing of cash settlement with our credit card processor.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jc w:val="center"/>
        <w:ind w:left="202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ind w:left="202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ind w:left="2020"/>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Recognized from Costs to Obtain a Contract with a Customer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opening and closing balances of our capitalized costs associated with contracts with customers:</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Royalties and sales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Revenue share and cost per acquisition fees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Amortization of capitalized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June 30,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00" w:hanging="1096"/>
        <w:spacing w:after="0"/>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99,335</w:t>
      </w:r>
    </w:p>
    <w:p>
      <w:pPr>
        <w:spacing w:after="0" w:line="27"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6,735</w:t>
      </w:r>
    </w:p>
    <w:p>
      <w:pPr>
        <w:spacing w:after="0" w:line="2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10,907</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(34,433)</w:t>
      </w:r>
    </w:p>
    <w:p>
      <w:pPr>
        <w:spacing w:after="0" w:line="31" w:lineRule="exact"/>
        <w:rPr>
          <w:sz w:val="20"/>
          <w:szCs w:val="20"/>
          <w:color w:val="auto"/>
        </w:rPr>
      </w:pPr>
    </w:p>
    <w:p>
      <w:pPr>
        <w:ind w:left="1100" w:hanging="1096"/>
        <w:spacing w:after="0"/>
        <w:tabs>
          <w:tab w:leader="none" w:pos="1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82,544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43180</wp:posOffset>
            </wp:positionV>
            <wp:extent cx="1062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220" w:space="360"/>
            <w:col w:w="1660"/>
          </w:cols>
          <w:pgMar w:left="320" w:top="117" w:right="339" w:bottom="1440" w:gutter="0" w:footer="0" w:header="0"/>
        </w:sectPr>
      </w:pPr>
    </w:p>
    <w:p>
      <w:pPr>
        <w:spacing w:after="0" w:line="9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did not recognize any impairment on capitalized costs associated with contracts with customers for the three and six months ended June 30, 2025 and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75"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As of June 30, 2025, the Company had $393,470 of remaining performance obligations presented as deferred revenue in the condensed consolidated balance sheets. We expect to recognize approximately 51% of that amount as revenues over the next twelve months, with the remainder recognized thereafter.</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Goodwill and Intangible Assets, Net</w:t>
            </w: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The carrying amounts of goodwill are as follows:</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30,043</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9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 consisted of the following as of the dates indicated:</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4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gridSpan w:val="7"/>
          </w:tcPr>
          <w:p>
            <w:pPr>
              <w:ind w:left="10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0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ind w:right="115"/>
              <w:spacing w:after="0" w:line="131"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3"/>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Remaining Useful Life (in</w:t>
            </w:r>
          </w:p>
        </w:tc>
        <w:tc>
          <w:tcPr>
            <w:tcW w:w="0" w:type="dxa"/>
            <w:vAlign w:val="bottom"/>
          </w:tcPr>
          <w:p>
            <w:pPr>
              <w:spacing w:after="0"/>
              <w:rPr>
                <w:sz w:val="1"/>
                <w:szCs w:val="1"/>
                <w:color w:val="auto"/>
              </w:rPr>
            </w:pPr>
          </w:p>
        </w:tc>
      </w:tr>
      <w:tr>
        <w:trPr>
          <w:trHeight w:val="198"/>
        </w:trPr>
        <w:tc>
          <w:tcPr>
            <w:tcW w:w="49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1580" w:type="dxa"/>
            <w:vAlign w:val="bottom"/>
            <w:gridSpan w:val="4"/>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14"/>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8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12,443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center"/>
              <w:ind w:right="135"/>
              <w:spacing w:after="0"/>
              <w:rPr>
                <w:sz w:val="20"/>
                <w:szCs w:val="20"/>
                <w:color w:val="auto"/>
              </w:rPr>
            </w:pPr>
            <w:r>
              <w:rPr>
                <w:rFonts w:ascii="Times New Roman" w:cs="Times New Roman" w:eastAsia="Times New Roman" w:hAnsi="Times New Roman"/>
                <w:sz w:val="18"/>
                <w:szCs w:val="18"/>
                <w:color w:val="auto"/>
                <w:w w:val="97"/>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Tradenames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right="135"/>
              <w:spacing w:after="0"/>
              <w:rPr>
                <w:sz w:val="20"/>
                <w:szCs w:val="20"/>
                <w:color w:val="auto"/>
              </w:rPr>
            </w:pPr>
            <w:r>
              <w:rPr>
                <w:rFonts w:ascii="Times New Roman" w:cs="Times New Roman" w:eastAsia="Times New Roman" w:hAnsi="Times New Roman"/>
                <w:sz w:val="18"/>
                <w:szCs w:val="18"/>
                <w:color w:val="auto"/>
                <w:w w:val="97"/>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center"/>
              <w:ind w:right="135"/>
              <w:spacing w:after="0"/>
              <w:rPr>
                <w:sz w:val="20"/>
                <w:szCs w:val="20"/>
                <w:color w:val="auto"/>
              </w:rPr>
            </w:pPr>
            <w:r>
              <w:rPr>
                <w:rFonts w:ascii="Times New Roman" w:cs="Times New Roman" w:eastAsia="Times New Roman" w:hAnsi="Times New Roman"/>
                <w:sz w:val="18"/>
                <w:szCs w:val="18"/>
                <w:color w:val="auto"/>
                <w:w w:val="97"/>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 net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21,691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Internet domain names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 net</w:t>
            </w: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22,778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00" w:type="dxa"/>
            <w:vAlign w:val="bottom"/>
          </w:tcPr>
          <w:p>
            <w:pPr>
              <w:spacing w:after="0"/>
              <w:rPr>
                <w:sz w:val="12"/>
                <w:szCs w:val="12"/>
                <w:color w:val="auto"/>
              </w:rPr>
            </w:pPr>
          </w:p>
        </w:tc>
        <w:tc>
          <w:tcPr>
            <w:tcW w:w="1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Useful Life (in</w:t>
            </w:r>
          </w:p>
        </w:tc>
        <w:tc>
          <w:tcPr>
            <w:tcW w:w="0" w:type="dxa"/>
            <w:vAlign w:val="bottom"/>
          </w:tcPr>
          <w:p>
            <w:pPr>
              <w:spacing w:after="0"/>
              <w:rPr>
                <w:sz w:val="1"/>
                <w:szCs w:val="1"/>
                <w:color w:val="auto"/>
              </w:rPr>
            </w:pPr>
          </w:p>
        </w:tc>
      </w:tr>
      <w:tr>
        <w:trPr>
          <w:trHeight w:val="198"/>
        </w:trPr>
        <w:tc>
          <w:tcPr>
            <w:tcW w:w="49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15"/>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8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12,443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(11,087)</w:t>
            </w:r>
          </w:p>
        </w:tc>
        <w:tc>
          <w:tcPr>
            <w:tcW w:w="100" w:type="dxa"/>
            <w:vAlign w:val="bottom"/>
          </w:tcPr>
          <w:p>
            <w:pPr>
              <w:spacing w:after="0"/>
              <w:rPr>
                <w:sz w:val="19"/>
                <w:szCs w:val="19"/>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Tradenames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78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2.8</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 net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21,293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Internet domain names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 net</w:t>
            </w: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22,380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recorded amortization expense related to finite-lived intangible assets of $473 and $613 for the three months ended June 30, 2025 and 2024, respectively, and $949 and $1,246 for the six months ended June 30, 2025 and 2024, respectively, within depreciation and amortization in the accompanying condensed consolidated statement of operations. These amounts include amortization of capitalized software development costs of $218 and $278 for the three months ended June 30, 2025 and 2024, respectively, and $443 and $542 for the six months ended June 30, 2025 and 2024, respectively.</w:t>
      </w:r>
    </w:p>
    <w:p>
      <w:pPr>
        <w:spacing w:after="0" w:line="12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recorded additions to capitalized software development costs of $204 and $477 for the three months ended June 30, 2025 and 2024, respectively, and $398 and $774 for the six months ended June 30, 2025 and 2024, respectively.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As of June 30, 2025, the total expected future amortization expense for finite-lived intangible assets is as follows:</w:t>
            </w: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89"/>
        </w:trPr>
        <w:tc>
          <w:tcPr>
            <w:tcW w:w="9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3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29"/>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 net</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financial assets and liabilities measured at fair value on a recurring basis by level within the fair value hierarchy as of the dates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8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5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190"/>
        </w:trPr>
        <w:tc>
          <w:tcPr>
            <w:tcW w:w="5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Fair Value</w:t>
            </w:r>
          </w:p>
        </w:tc>
      </w:tr>
      <w:tr>
        <w:trPr>
          <w:trHeight w:val="21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65,192</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65,192</w:t>
            </w:r>
          </w:p>
        </w:tc>
      </w:tr>
      <w:tr>
        <w:trPr>
          <w:trHeight w:val="230"/>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Contingent consideration receivable</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23"/>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65,192</w:t>
            </w:r>
          </w:p>
        </w:tc>
        <w:tc>
          <w:tcPr>
            <w:tcW w:w="14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65,481</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51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9"/>
        </w:trPr>
        <w:tc>
          <w:tcPr>
            <w:tcW w:w="5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Profits interests, noncurrent</w:t>
            </w:r>
          </w:p>
        </w:tc>
        <w:tc>
          <w:tcPr>
            <w:tcW w:w="3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2,099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w:t>
            </w:r>
          </w:p>
        </w:tc>
      </w:tr>
      <w:tr>
        <w:trPr>
          <w:trHeight w:val="248"/>
        </w:trPr>
        <w:tc>
          <w:tcPr>
            <w:tcW w:w="51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437"/>
        </w:trPr>
        <w:tc>
          <w:tcPr>
            <w:tcW w:w="5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8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
        </w:trPr>
        <w:tc>
          <w:tcPr>
            <w:tcW w:w="5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190"/>
        </w:trPr>
        <w:tc>
          <w:tcPr>
            <w:tcW w:w="5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Fair Value</w:t>
            </w:r>
          </w:p>
        </w:tc>
      </w:tr>
      <w:tr>
        <w:trPr>
          <w:trHeight w:val="21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96,069</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96,069</w:t>
            </w:r>
          </w:p>
        </w:tc>
      </w:tr>
      <w:tr>
        <w:trPr>
          <w:trHeight w:val="229"/>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Contingent consideration receivable</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3"/>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96,069</w:t>
            </w:r>
          </w:p>
        </w:tc>
        <w:tc>
          <w:tcPr>
            <w:tcW w:w="14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96,215</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51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9"/>
        </w:trPr>
        <w:tc>
          <w:tcPr>
            <w:tcW w:w="5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Profits interests, noncurrent</w:t>
            </w:r>
          </w:p>
        </w:tc>
        <w:tc>
          <w:tcPr>
            <w:tcW w:w="3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2,811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r>
      <w:tr>
        <w:trPr>
          <w:trHeight w:val="248"/>
        </w:trPr>
        <w:tc>
          <w:tcPr>
            <w:tcW w:w="51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level 3 assets relate to contingent consideration receivable from a related party associated with the sale of brands disposed as part of the Legacy Reorganization and the Buttonwood Publishing sale. The level 3 liabilities relate to profits interests, which are presented in other liabilities, noncurrent on the condensed consolidated balance sheet.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fair value of the recurring Level 3 fair value measurements during the six months ended June 30,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Level 3 Fair Value Measurements</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60" w:type="dxa"/>
            <w:vAlign w:val="bottom"/>
          </w:tcPr>
          <w:p>
            <w:pPr>
              <w:spacing w:after="0"/>
              <w:rPr>
                <w:sz w:val="11"/>
                <w:szCs w:val="11"/>
                <w:color w:val="auto"/>
              </w:rPr>
            </w:pPr>
          </w:p>
        </w:tc>
        <w:tc>
          <w:tcPr>
            <w:tcW w:w="4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Statement Line Item That Includes The Gains And</w:t>
            </w: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Contingent</w:t>
            </w:r>
          </w:p>
        </w:tc>
        <w:tc>
          <w:tcPr>
            <w:tcW w:w="180" w:type="dxa"/>
            <w:vAlign w:val="bottom"/>
          </w:tcPr>
          <w:p>
            <w:pPr>
              <w:spacing w:after="0"/>
              <w:rPr>
                <w:sz w:val="11"/>
                <w:szCs w:val="11"/>
                <w:color w:val="auto"/>
              </w:rPr>
            </w:pPr>
          </w:p>
        </w:tc>
        <w:tc>
          <w:tcPr>
            <w:tcW w:w="128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Profits interests,</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4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1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60" w:type="dxa"/>
            <w:vAlign w:val="bottom"/>
          </w:tcPr>
          <w:p>
            <w:pPr>
              <w:spacing w:after="0"/>
              <w:rPr>
                <w:sz w:val="16"/>
                <w:szCs w:val="16"/>
                <w:color w:val="auto"/>
              </w:rPr>
            </w:pPr>
          </w:p>
        </w:tc>
        <w:tc>
          <w:tcPr>
            <w:tcW w:w="4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0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80" w:type="dxa"/>
            <w:vAlign w:val="bottom"/>
          </w:tcPr>
          <w:p>
            <w:pPr>
              <w:spacing w:after="0"/>
              <w:rPr>
                <w:sz w:val="16"/>
                <w:szCs w:val="16"/>
                <w:color w:val="auto"/>
              </w:rPr>
            </w:pPr>
          </w:p>
        </w:tc>
        <w:tc>
          <w:tcPr>
            <w:tcW w:w="12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0" w:type="dxa"/>
            <w:vAlign w:val="bottom"/>
          </w:tcPr>
          <w:p>
            <w:pPr>
              <w:spacing w:after="0"/>
              <w:rPr>
                <w:sz w:val="1"/>
                <w:szCs w:val="1"/>
                <w:color w:val="auto"/>
              </w:rPr>
            </w:pPr>
          </w:p>
        </w:tc>
      </w:tr>
      <w:tr>
        <w:trPr>
          <w:trHeight w:val="255"/>
        </w:trPr>
        <w:tc>
          <w:tcPr>
            <w:tcW w:w="4060" w:type="dxa"/>
            <w:vAlign w:val="bottom"/>
            <w:tcBorders>
              <w:top w:val="single" w:sz="8" w:color="CCEEFF"/>
            </w:tcBorders>
            <w:shd w:val="clear" w:color="auto" w:fill="CCEEFF"/>
          </w:tcPr>
          <w:p>
            <w:pPr>
              <w:spacing w:after="0"/>
              <w:rPr>
                <w:sz w:val="22"/>
                <w:szCs w:val="22"/>
                <w:color w:val="auto"/>
              </w:rPr>
            </w:pPr>
          </w:p>
        </w:tc>
        <w:tc>
          <w:tcPr>
            <w:tcW w:w="40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gains (losses) recorded in earnings</w:t>
            </w:r>
          </w:p>
        </w:tc>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(gains) losses recorded in earnings</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received</w:t>
            </w:r>
          </w:p>
        </w:tc>
        <w:tc>
          <w:tcPr>
            <w:tcW w:w="4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ind w:right="440"/>
        <w:spacing w:after="0" w:line="270" w:lineRule="auto"/>
        <w:rPr>
          <w:sz w:val="20"/>
          <w:szCs w:val="20"/>
          <w:color w:val="auto"/>
        </w:rPr>
      </w:pPr>
      <w:r>
        <w:rPr>
          <w:rFonts w:ascii="Times New Roman" w:cs="Times New Roman" w:eastAsia="Times New Roman" w:hAnsi="Times New Roman"/>
          <w:sz w:val="18"/>
          <w:szCs w:val="18"/>
          <w:color w:val="auto"/>
        </w:rPr>
        <w:t>The following table provides quantitative information regarding the recurring Level 3 fair value measurements inputs for the contingent consideration receivable and profits interests at their measurement dates:</w:t>
      </w:r>
    </w:p>
    <w:tbl>
      <w:tblPr>
        <w:tblLayout w:type="fixed"/>
        <w:tblInd w:w="0" w:type="dxa"/>
        <w:tblCellMar>
          <w:top w:w="0" w:type="dxa"/>
          <w:left w:w="0" w:type="dxa"/>
          <w:bottom w:w="0" w:type="dxa"/>
          <w:right w:w="0" w:type="dxa"/>
        </w:tblCellMar>
      </w:tblPr>
      <w:tr>
        <w:trPr>
          <w:trHeight w:val="190"/>
        </w:trPr>
        <w:tc>
          <w:tcPr>
            <w:tcW w:w="9300" w:type="dxa"/>
            <w:vAlign w:val="bottom"/>
          </w:tcPr>
          <w:p>
            <w:pPr>
              <w:spacing w:after="0"/>
              <w:rPr>
                <w:sz w:val="16"/>
                <w:szCs w:val="16"/>
                <w:color w:val="auto"/>
              </w:rPr>
            </w:pPr>
          </w:p>
        </w:tc>
        <w:tc>
          <w:tcPr>
            <w:tcW w:w="1940" w:type="dxa"/>
            <w:vAlign w:val="bottom"/>
          </w:tcPr>
          <w:p>
            <w:pPr>
              <w:jc w:val="right"/>
              <w:ind w:right="737"/>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203"/>
        </w:trPr>
        <w:tc>
          <w:tcPr>
            <w:tcW w:w="9300" w:type="dxa"/>
            <w:vAlign w:val="bottom"/>
          </w:tcPr>
          <w:p>
            <w:pPr>
              <w:spacing w:after="0"/>
              <w:rPr>
                <w:sz w:val="17"/>
                <w:szCs w:val="17"/>
                <w:color w:val="auto"/>
              </w:rPr>
            </w:pPr>
          </w:p>
        </w:tc>
        <w:tc>
          <w:tcPr>
            <w:tcW w:w="194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June 30, 2025</w:t>
            </w:r>
          </w:p>
        </w:tc>
      </w:tr>
      <w:tr>
        <w:trPr>
          <w:trHeight w:val="23"/>
        </w:trPr>
        <w:tc>
          <w:tcPr>
            <w:tcW w:w="93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Contingent consideration receivable</w:t>
            </w:r>
          </w:p>
        </w:tc>
        <w:tc>
          <w:tcPr>
            <w:tcW w:w="1940" w:type="dxa"/>
            <w:vAlign w:val="bottom"/>
            <w:shd w:val="clear" w:color="auto" w:fill="CCEEFF"/>
          </w:tcPr>
          <w:p>
            <w:pPr>
              <w:spacing w:after="0"/>
              <w:rPr>
                <w:sz w:val="18"/>
                <w:szCs w:val="18"/>
                <w:color w:val="auto"/>
              </w:rPr>
            </w:pPr>
          </w:p>
        </w:tc>
      </w:tr>
      <w:tr>
        <w:trPr>
          <w:trHeight w:val="229"/>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30.6 %</w:t>
            </w:r>
          </w:p>
        </w:tc>
      </w:tr>
      <w:tr>
        <w:trPr>
          <w:trHeight w:val="257"/>
        </w:trPr>
        <w:tc>
          <w:tcPr>
            <w:tcW w:w="930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r>
      <w:tr>
        <w:trPr>
          <w:trHeight w:val="229"/>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Profits interests</w:t>
            </w:r>
          </w:p>
        </w:tc>
        <w:tc>
          <w:tcPr>
            <w:tcW w:w="1940" w:type="dxa"/>
            <w:vAlign w:val="bottom"/>
          </w:tcPr>
          <w:p>
            <w:pPr>
              <w:spacing w:after="0"/>
              <w:rPr>
                <w:sz w:val="19"/>
                <w:szCs w:val="19"/>
                <w:color w:val="auto"/>
              </w:rPr>
            </w:pP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r>
      <w:tr>
        <w:trPr>
          <w:trHeight w:val="234"/>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for lack of marketability</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30.6 %</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Balance Sheet Components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Implementation Costs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capitalized cloud computing implementation costs for customer-relationship management, revenue management, and enterprise resource planning systems of $0 and $56 for the three months ended June 30, 2025 and 2024, respectively, and $0 and $56 for the six months ended June 30, 2025 and 2024, respectively. The capitalized implementation costs are capitalized within other current assets and other assets on the condensed consolidated balance sheets. Amortization expense related to capitalized cloud computing implementation costs was $237 and $240, for the three months ended June 30, 2025 and 2024, respectively, and $479 and $478 for the six months ended June 30, 2025 and 2024,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3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Pr>
          <w:p>
            <w:pPr>
              <w:spacing w:after="0"/>
              <w:rPr>
                <w:sz w:val="16"/>
                <w:szCs w:val="16"/>
                <w:color w:val="auto"/>
              </w:rPr>
            </w:pPr>
          </w:p>
        </w:tc>
        <w:tc>
          <w:tcPr>
            <w:tcW w:w="31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Pr>
          <w:p>
            <w:pPr>
              <w:spacing w:after="0"/>
              <w:rPr>
                <w:sz w:val="16"/>
                <w:szCs w:val="16"/>
                <w:color w:val="auto"/>
              </w:rPr>
            </w:pPr>
          </w:p>
        </w:tc>
        <w:tc>
          <w:tcPr>
            <w:tcW w:w="15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29"/>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software and equipment</w:t>
            </w:r>
          </w:p>
        </w:tc>
        <w:tc>
          <w:tcPr>
            <w:tcW w:w="3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3 years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spacing w:after="0"/>
              <w:rPr>
                <w:sz w:val="15"/>
                <w:szCs w:val="15"/>
                <w:color w:val="auto"/>
              </w:rPr>
            </w:pPr>
          </w:p>
        </w:tc>
        <w:tc>
          <w:tcPr>
            <w:tcW w:w="314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Shorter of estimated useful life or</w:t>
            </w: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remaining term of lease</w:t>
            </w:r>
          </w:p>
        </w:tc>
        <w:tc>
          <w:tcPr>
            <w:tcW w:w="3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0" w:type="dxa"/>
            <w:vAlign w:val="bottom"/>
          </w:tcPr>
          <w:p>
            <w:pPr>
              <w:spacing w:after="0"/>
              <w:rPr>
                <w:sz w:val="1"/>
                <w:szCs w:val="1"/>
                <w:color w:val="auto"/>
              </w:rPr>
            </w:pPr>
          </w:p>
        </w:tc>
      </w:tr>
      <w:tr>
        <w:trPr>
          <w:trHeight w:val="223"/>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for property and equipment was $28 and $56 for the three months ended June 30, 2025 and 2024, respectively, and $82 and $116 for the six months ended June 30, 2025 and 2024, respectively. During the six months ended June 30, 2025, the Company recorded an impairment loss on leasehold improvement assets totaling $380, and the related lease was terminated for a gain of $1,646, which is included within general and administrative expense.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0" w:type="dxa"/>
            <w:vAlign w:val="bottom"/>
          </w:tcPr>
          <w:p>
            <w:pPr>
              <w:spacing w:after="0"/>
              <w:rPr>
                <w:sz w:val="16"/>
                <w:szCs w:val="16"/>
                <w:color w:val="auto"/>
              </w:rPr>
            </w:pPr>
          </w:p>
        </w:tc>
      </w:tr>
      <w:tr>
        <w:trPr>
          <w:trHeight w:val="23"/>
        </w:trPr>
        <w:tc>
          <w:tcPr>
            <w:tcW w:w="7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0"/>
        </w:trPr>
        <w:tc>
          <w:tcPr>
            <w:tcW w:w="7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16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9"/>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 and variable compensation</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10,523</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benefits</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7,585</w:t>
            </w:r>
          </w:p>
        </w:tc>
      </w:tr>
      <w:tr>
        <w:trPr>
          <w:trHeight w:val="223"/>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accrued expenses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23,272</w:t>
            </w:r>
          </w:p>
        </w:tc>
      </w:tr>
      <w:tr>
        <w:trPr>
          <w:trHeight w:val="21"/>
        </w:trPr>
        <w:tc>
          <w:tcPr>
            <w:tcW w:w="7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within cost of revenue, sales and marketing, and general and administrative expenses are total stock-based compensation expenses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282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gridSpan w:val="4"/>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3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43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8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 based-compensation expense</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5,464</w:t>
            </w:r>
          </w:p>
        </w:tc>
      </w:tr>
      <w:tr>
        <w:trPr>
          <w:trHeight w:val="21"/>
        </w:trPr>
        <w:tc>
          <w:tcPr>
            <w:tcW w:w="4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includes expenses related to our 2021 Incentive Award Plan, our ESPP and profits interests,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284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Pr>
          <w:p>
            <w:pPr>
              <w:spacing w:after="0"/>
              <w:rPr>
                <w:sz w:val="16"/>
                <w:szCs w:val="16"/>
                <w:color w:val="auto"/>
              </w:rPr>
            </w:pPr>
          </w:p>
        </w:tc>
      </w:tr>
      <w:tr>
        <w:trPr>
          <w:trHeight w:val="23"/>
        </w:trPr>
        <w:tc>
          <w:tcPr>
            <w:tcW w:w="43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43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Incentive Award Plan</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w:t>
            </w: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Profits interests</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5,464</w:t>
            </w:r>
          </w:p>
        </w:tc>
      </w:tr>
      <w:tr>
        <w:trPr>
          <w:trHeight w:val="20"/>
        </w:trPr>
        <w:tc>
          <w:tcPr>
            <w:tcW w:w="4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Incentive Award Plan</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we granted 52,388 restricted stock units (“RSUs”) to certain employees and service providers in aggregate under our 2021 Incentive Award Plan.</w:t>
      </w:r>
    </w:p>
    <w:p>
      <w:pPr>
        <w:spacing w:after="0" w:line="108" w:lineRule="exact"/>
        <w:rPr>
          <w:sz w:val="20"/>
          <w:szCs w:val="20"/>
          <w:color w:val="auto"/>
        </w:rPr>
      </w:pPr>
    </w:p>
    <w:p>
      <w:pPr>
        <w:ind w:firstLine="243"/>
        <w:spacing w:after="0" w:line="256" w:lineRule="auto"/>
        <w:rPr>
          <w:sz w:val="20"/>
          <w:szCs w:val="20"/>
          <w:color w:val="auto"/>
        </w:rPr>
      </w:pPr>
      <w:r>
        <w:rPr>
          <w:rFonts w:ascii="Times New Roman" w:cs="Times New Roman" w:eastAsia="Times New Roman" w:hAnsi="Times New Roman"/>
          <w:sz w:val="18"/>
          <w:szCs w:val="18"/>
          <w:color w:val="auto"/>
        </w:rPr>
        <w:t>For employees and service providers, both RSUs and stock appreciation rights (“SARs”) are primarily time based and typically vest ratably over four years, as specified in the individual grant notices. The RSUs may entitle the recipients to dividend equivalents if approved by the Plan Administrator, which are subject to the same vesting terms and accumulate during the vesting period. Upon vesting, the RSU holder will be issued the Company’s Class A common stock. The SARs will be settled in the Company’s Class A common stock upon exercise. The shares to be issued upon exercise will have a total market value equal to the SAR value calculated as (x) number of shares underlying SAR, multiplied by (y) any excess of the Company’s share value on the date of exercise over the exercise price set in each individual grant notice.</w:t>
      </w:r>
    </w:p>
    <w:p>
      <w:pPr>
        <w:spacing w:after="0" w:line="13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fair value of the RSU is the same as the Company’s share price on the date of grant. The fair value of the SARs was determined using a Black-Scholes model.</w:t>
      </w:r>
    </w:p>
    <w:p>
      <w:pPr>
        <w:spacing w:after="0" w:line="10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activities of the RSUs and SARs and the related weighted average grant-date fair value of the respective share classes are summarized as follows, including granted, exercised and forfeited from January 1, 2025 to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RSUs</w:t>
            </w: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SARs</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80" w:type="dxa"/>
            <w:vAlign w:val="bottom"/>
          </w:tcPr>
          <w:p>
            <w:pPr>
              <w:spacing w:after="0"/>
              <w:rPr>
                <w:sz w:val="11"/>
                <w:szCs w:val="11"/>
                <w:color w:val="auto"/>
              </w:rPr>
            </w:pPr>
          </w:p>
        </w:tc>
        <w:tc>
          <w:tcPr>
            <w:tcW w:w="1880" w:type="dxa"/>
            <w:vAlign w:val="bottom"/>
            <w:tcBorders>
              <w:top w:val="single" w:sz="8" w:color="auto"/>
            </w:tcBorders>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tcPr>
          <w:p>
            <w:pPr>
              <w:jc w:val="center"/>
              <w:ind w:right="14"/>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 Grant</w:t>
            </w:r>
          </w:p>
        </w:tc>
        <w:tc>
          <w:tcPr>
            <w:tcW w:w="100" w:type="dxa"/>
            <w:vAlign w:val="bottom"/>
          </w:tcPr>
          <w:p>
            <w:pPr>
              <w:spacing w:after="0"/>
              <w:rPr>
                <w:sz w:val="11"/>
                <w:szCs w:val="11"/>
                <w:color w:val="auto"/>
              </w:rPr>
            </w:pPr>
          </w:p>
        </w:tc>
        <w:tc>
          <w:tcPr>
            <w:tcW w:w="1140" w:type="dxa"/>
            <w:vAlign w:val="bottom"/>
            <w:tcBorders>
              <w:top w:val="single" w:sz="8" w:color="auto"/>
            </w:tcBorders>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tcPr>
          <w:p>
            <w:pPr>
              <w:jc w:val="right"/>
              <w:ind w:right="34"/>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1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14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8"/>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January 1, 2025</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1,269,883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(RSUs) or Exercised (SARs)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June 30, 2025</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1,140,607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59,221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June 30, 2025</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stock compensation expense related to the RSU and SAR grants was $3,056 and $1,687 for the three months ended June 30, 2025 and 2024, respectively, and $6,385 and $3,773 for the six months ended June 30, 2025 and 2024, respectively. As of June 30, 2025, 44,624 SARs were exercisable and they have a remaining contractual term of 6.2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2025, 151,325 RSUs vested in accordance with the original grant terms.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recognized $12 and $79 of stock-based compensation expense related to the ESPP for the three months ended June 30, 2025 and 2024, respectively, and $25 and $168 for the six months ended June 30, 2025 and 2024, respectively.</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issued 15,249 shares of Class A common stock for $283 related to employee purchases under the ESPP during the six months ended June 30,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Profits Interests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recognized $(511) and $(109) of stock-based compensation (benefit) expense related to the profits interests, which are liability classified, for the three months ended June 30, 2025 and 2024, respectively, and $(712) and $1,523 for the six months ended June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three and six months ended June 30, 2025 and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42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6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43,952</w:t>
            </w:r>
          </w:p>
        </w:tc>
      </w:tr>
      <w:tr>
        <w:trPr>
          <w:trHeight w:val="229"/>
        </w:trPr>
        <w:tc>
          <w:tcPr>
            <w:tcW w:w="5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40,751</w:t>
            </w:r>
          </w:p>
        </w:tc>
      </w:tr>
      <w:tr>
        <w:trPr>
          <w:trHeight w:val="248"/>
        </w:trPr>
        <w:tc>
          <w:tcPr>
            <w:tcW w:w="5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Class A common stockholders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(in thousands)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5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5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43,952</w:t>
            </w:r>
          </w:p>
        </w:tc>
      </w:tr>
      <w:tr>
        <w:trPr>
          <w:trHeight w:val="229"/>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40,751</w:t>
            </w:r>
          </w:p>
        </w:tc>
      </w:tr>
      <w:tr>
        <w:trPr>
          <w:trHeight w:val="223"/>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Class A common stockholders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5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4"/>
        </w:trPr>
        <w:tc>
          <w:tcPr>
            <w:tcW w:w="5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(in thousands)</w:t>
            </w: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5"/>
        </w:trPr>
        <w:tc>
          <w:tcPr>
            <w:tcW w:w="5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potentially dilutive securities and their impact on the computation of diluted earnings per share is as follows:</w:t>
      </w:r>
    </w:p>
    <w:p>
      <w:pPr>
        <w:spacing w:after="0" w:line="171" w:lineRule="exact"/>
        <w:rPr>
          <w:sz w:val="20"/>
          <w:szCs w:val="20"/>
          <w:color w:val="auto"/>
        </w:rPr>
      </w:pPr>
    </w:p>
    <w:p>
      <w:pPr>
        <w:jc w:val="both"/>
        <w:ind w:left="660" w:right="220" w:hanging="328"/>
        <w:spacing w:after="0" w:line="266" w:lineRule="auto"/>
        <w:tabs>
          <w:tab w:leader="none" w:pos="6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and MarketWise Management Member Earnout Shares: the 152,550 Sponsor Earnout Shares and the 99,998 MarketWise Management Member Earnout Shares held in escrow are excluded from the earnings per share computation in both periods since the earnout contingency has not been met.</w:t>
      </w:r>
    </w:p>
    <w:p>
      <w:pPr>
        <w:spacing w:after="0" w:line="12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The basic earnings per share calculation includes the impact of vested RSUs. The diluted earnings per share calculation includes the impact of unvested RSUs, where the impact is dilutive, unless the Company has a net loss.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 The diluted earnings per share calculation excludes the impact of SARs since the effect was antidilutive.</w:t>
      </w:r>
    </w:p>
    <w:p>
      <w:pPr>
        <w:spacing w:after="0" w:line="17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ESPP: The diluted earnings per share calculation includes the impact of dilutive shares and excludes the impact of antidilutive shares under the ESPP as of June 30, 2025 and 2024.</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Subsequent to quarter end, the earnout period for all 252,548 previously escrowed Management Member Earnout Shares and Sponsor Earnout Shares (“EO Shares”) expired. As a result, there will be no potential dilution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other shareholders related to this arrangement. The EO Shares were previously excluded from both basic and diluted shares outstanding, and we believe their expiration will have no impact on the Company’s financial statements.</w:t>
      </w:r>
    </w:p>
    <w:p>
      <w:pPr>
        <w:spacing w:after="0" w:line="34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subject to U.S. federal and state taxes with respect to our allocable share of any taxable income or loss of MarketWise, LLC, as well as any stand-alone income or loss we generate. MarketWise, LLC is treated as a partnership for U.S. income tax purposes and for most applicable state and local income tax purposes and generally does not pay income taxes in most jurisdictions. Instead, MarketWise, LLC’s taxable income or loss is passed through to its members, including us.</w:t>
      </w:r>
    </w:p>
    <w:p>
      <w:pPr>
        <w:spacing w:after="0" w:line="1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effective tax rate was 4.9% and 3.3% for the six months ended June 30, 2025 and 2024, respectively. The main driver of the effective income tax rate for the six months ended June 30, 2025 was the income allocation to the noncontrolling interest. The main driver of the increase in the effective tax rate from the six months ended June 30, 2024 is the impact of discrete items related to the gain on settlement of lease liability upon termination and related impairment of leasehold improvements and change in fair value of contingent consideration. Our effective tax rate for the six months ended June 30, 2025 differs from the U.S. federal statutory rate primarily because we generally do not record income taxes for the noncontrolling portion of pre-tax income.</w:t>
      </w:r>
    </w:p>
    <w:p>
      <w:pPr>
        <w:spacing w:after="0" w:line="1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a result of the reverse capitalization in 2021, we recorded a deferred tax asset resulting from the outside basis difference in our interest in MarketWise, LLC. The company considers both positive and negative evidence when measuring the need for a valuation allowance. A valuation allowance is not required to the extent that, in management’s judgment, positive evidence exists with a magnitude and duration sufficient to result in a conclusion that it is more likely than not (a likelihood of more than 50%) that the Company’s deferred tax assets will be realized.</w:t>
      </w:r>
    </w:p>
    <w:p>
      <w:pPr>
        <w:spacing w:after="0" w:line="12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evaluating the need for a valuation allowance on the deferred tax asset, the company considered positive evidence related to its historic earnings, forecasted income and reversal of temporary differences. Therefore, the Company recorded a valuation allowance in the amount of $30,944 for certain deferred tax assets that are not more likely than not to be realized.</w:t>
      </w:r>
    </w:p>
    <w:p>
      <w:pPr>
        <w:spacing w:after="0" w:line="12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part of the Transactions (as defined and discussed in our Current Report on Form 8-K filed with the SEC on July 28, 2021), we entered into Tax Receivable Agreements (“TRAs”) with certain shareholders. Pursuant to our election under Section 754 of the Code, as amended, and the regulations issued thereunder, we expect to receive a step up in the tax basis of our ownership in MarketWise, LLC as exchanges of the LLC Units (as defined herein) occur. These increases in tax basis may reduce the amount we may otherwise pay to various tax authorities in the future. The TRA liability will represent approximately 85% of the calculated tax savings based on basis adjustments and other carryforward attributes assumed that we anticipate being able to utilize in future years. We will retain the remaining 15% of calculated tax savings. The payments contemplated by the TRA are not conditioned upon any continued ownership interest in MarketWise, LLC. The timing and amount of aggregate payments due pursuant to the TRA may vary based on several factors including the timing and amount of future taxable income, as well as future applicable tax rates. As such, significant inputs and assumptions are used to estimate the future expected payments under the TRA. During the three months ended June 30, 2025, Members of MarketWise, LLC exchanged an aggregate of 381,857 common units of MarketWise, LLC (“LLC Units”) together with an equal number of shares of Class B common stock for 381,857 newly-issued shares of Class A common stock. As a result, we have recorded a cumulative liability of $4,260 under the TRA as of June 30, 2025. No payments have been made under the TRA and no significant payments are expected in the next 12 months.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we had no unrecognized tax positions and believe there will be no changes to uncertain tax positions within the next 12 months.</w:t>
      </w:r>
    </w:p>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One Big Beautiful Bill was enacted on July 4, 2025. The Company is currently evaluating the impact of this legislation but does not expect it to have a material impact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have certain revenue share agreements with related parties. Accordingly, we recognized revenue from related parties of $641 and $872 for the three months ended June 30, 2025 and 2024, respectively and $1,134 and $1,251 for the six months ended June 30, 2025 and 2024, respectively.</w:t>
      </w:r>
    </w:p>
    <w:p>
      <w:pPr>
        <w:spacing w:after="0" w:line="10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also incurred revenue share expenses paid to related parties of $1,205 and $745 which were capitalized as contract origination costs for the three months ended June 30, 2025 and 2024, respectively, and $2,266 and $2,051 for the six months ended June 30, 2025 and 2024, respectively.</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related party provided call center support and other services to the Company for which we recorded an expense within cost of revenue of $91 and $86 for the three months ended June 30, 2025 and 2024, respectively, and $201 and $220 for the six months ended June 30, 2025 and 2024, respectively.</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related party provided marketing and copywriting services to the Company for which we recorded an expense within cost of revenue of $286 and $0 for the three months ended June 30, 2025 and 2024, respectively, and $376 and $0 for the six months ended June 30, 2025 and 2024, respectively.</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 related party also provided certain corporate functions to MarketWise and the costs of these services are charged to MarketWise. We recorded $24 and $16 for the three months ended June 30, 2025 and 2024, respectively, and $48 and $39 for the six months ended June 30, 2025 and 2024, respectively, within related party expense in the accompanying condensed consolidated statement of operations. We held balances of $643 and $354 as of June 30, 2025 and December 31, 2024 of related party payables related to revenue share expenses, call center support, and the services noted above. The balances with this related party are presented net and are included in related party payables in the condensed consolidated balance sheet.</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earned fees and provided certain accounting and marketing services to companies owned by certain of MarketWise’s Class B stockholders. As a result, we recognized $84 and $107 in other income, net for the three months ended June 30, 2025 and 2024, respectively, and $244 and $262 for the six months ended June 30, 2025 and 2024, respectively. Related party receivables related to these services were $269 and $194 as of June 30, 2025 and December 31, 2024, respectively.</w:t>
      </w:r>
    </w:p>
    <w:p>
      <w:pPr>
        <w:spacing w:after="0" w:line="126"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 xml:space="preserve">We lease offices from related parties. Lease payments made to related parties were $279 and $435 for the three months ended June 30, 2025 and 2024, respectively, and $668 and $870 for the six months ended June 30, 2025 and 2024, respectively. Related party rent expense of $448 and $603 were recognized in general and administrative expenses for the three months ended June 30, 2025 and 2024, respectively, and $999 and $1,206 for the six months ended June 30, 2025 and 2024, respectively. At June 30, 2025 and December 31, 2024, ROU assets of $2,363 and $3,172 and lease liabilities of $1,510 and $4,335 are associated with leases with related parties. Additionally, we paid $700 in lease termination fees related to our former Legacy Research lease during the six months ended June 30, 2025. For more information, see </w:t>
      </w:r>
      <w:r>
        <w:rPr>
          <w:rFonts w:ascii="Times New Roman" w:cs="Times New Roman" w:eastAsia="Times New Roman" w:hAnsi="Times New Roman"/>
          <w:sz w:val="18"/>
          <w:szCs w:val="18"/>
          <w:i w:val="1"/>
          <w:iCs w:val="1"/>
          <w:color w:val="auto"/>
        </w:rPr>
        <w:t>Note 6 – Balance Sheet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Supplemental Cash Flow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disclosures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760" w:type="dxa"/>
            <w:vAlign w:val="bottom"/>
            <w:gridSpan w:val="4"/>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80" w:type="dxa"/>
            <w:vAlign w:val="bottom"/>
          </w:tcPr>
          <w:p>
            <w:pPr>
              <w:spacing w:after="0"/>
              <w:rPr>
                <w:sz w:val="16"/>
                <w:szCs w:val="16"/>
                <w:color w:val="auto"/>
              </w:rPr>
            </w:pPr>
          </w:p>
        </w:tc>
      </w:tr>
      <w:tr>
        <w:trPr>
          <w:trHeight w:val="23"/>
        </w:trPr>
        <w:tc>
          <w:tcPr>
            <w:tcW w:w="78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78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000" w:type="dxa"/>
            <w:vAlign w:val="bottom"/>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03"/>
        </w:trPr>
        <w:tc>
          <w:tcPr>
            <w:tcW w:w="7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 included in accounts payable</w:t>
            </w:r>
          </w:p>
        </w:tc>
        <w:tc>
          <w:tcPr>
            <w:tcW w:w="10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contingent consideration liability related to MMP acquisition</w:t>
            </w:r>
          </w:p>
        </w:tc>
        <w:tc>
          <w:tcPr>
            <w:tcW w:w="10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435"/>
        </w:trPr>
        <w:tc>
          <w:tcPr>
            <w:tcW w:w="7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20" w:type="dxa"/>
            <w:vAlign w:val="bottom"/>
            <w:gridSpan w:val="3"/>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680" w:type="dxa"/>
            <w:vAlign w:val="bottom"/>
          </w:tcPr>
          <w:p>
            <w:pPr>
              <w:spacing w:after="0"/>
              <w:rPr>
                <w:sz w:val="24"/>
                <w:szCs w:val="24"/>
                <w:color w:val="auto"/>
              </w:rPr>
            </w:pPr>
          </w:p>
        </w:tc>
      </w:tr>
      <w:tr>
        <w:trPr>
          <w:trHeight w:val="23"/>
        </w:trPr>
        <w:tc>
          <w:tcPr>
            <w:tcW w:w="78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78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and Cash Equivalents and Restricted Cash:</w:t>
            </w: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69,112</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109,342</w:t>
            </w:r>
          </w:p>
        </w:tc>
      </w:tr>
      <w:tr>
        <w:trPr>
          <w:trHeight w:val="248"/>
        </w:trPr>
        <w:tc>
          <w:tcPr>
            <w:tcW w:w="7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69,112</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109,342</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17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Company’s capital stock consists of (i) issued and outstanding Class A common stock with a par value of $0.0001 per share, and (ii) issued and outstanding Class B common stock with a par value of $0.0001 per share.</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table set forth below reflects information about the Company’s equity as of June 30, 2025. The 152,550 Sponsor Earnout Shares held in escrow and the 99,998 Management Member Earnout Shares are considered contingently issuable shares and therefore excluded from the number of Class A common stock issued and outstanding in the table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190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92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8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23"/>
        </w:trPr>
        <w:tc>
          <w:tcPr>
            <w:tcW w:w="56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 Class A</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47,500,000</w:t>
            </w: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2,357,128</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2,357,128</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 Class B</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13,612,641</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13,612,641</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162,500,000</w:t>
            </w:r>
          </w:p>
        </w:tc>
        <w:tc>
          <w:tcPr>
            <w:tcW w:w="8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15,969,769</w:t>
            </w:r>
          </w:p>
        </w:tc>
        <w:tc>
          <w:tcPr>
            <w:tcW w:w="10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15,969,769</w:t>
            </w:r>
          </w:p>
        </w:tc>
      </w:tr>
      <w:tr>
        <w:trPr>
          <w:trHeight w:val="20"/>
        </w:trPr>
        <w:tc>
          <w:tcPr>
            <w:tcW w:w="56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Each share of Class A and Class B common stock entitles the holder to one vote per share. Holders of Class A common stock have the right to receive dividends while holders of Class B common stock have the right to receive a proportionate amount of distributions. In the event of liquidation, dissolution or winding up of the affairs of the Company, only holders of Class A common stock have the right to receive liquidation proceeds, while the holders of Class B common stock are entitled to only the par value of their shares. Class B common stock can be issued only to members of MarketWise, LLC, their respective successors and permitted transferees. Under the terms of the Third Amended and Restated Limited Liability Company Operating Agreement of MarketWise, LLC (the “MarketWise Operating Agreement”), and subject to certain restrictions set forth therein, the MarketWise Members are entitled to have their LLC Units redeemed or exchanged for shares of our Class A common stock, at our option. If redeemed for cash at the Company’s option, such cash would have to be generated through an offering of shares to the market such that there would not be any situation where there would be a net cash obligation to the Company for such redemption. Shares of our Class B common stock held by any such redeeming or exchanging MarketWise Member will be canceled for no additional consideration on a one-for-one basis with the redeemed or exchanged LLC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whenever the MarketWise Members’ LLC Units are so redeemed or exchanged. The MarketWise Members may exercise such redemption rights for as long as their LLC Units remain outstanding. Our Board has discretion to determine the rights, preferences, privileges and restrictions, including voting rights, dividend rights, conversion rights, redemption privileges and liquidation preferences, of each series of preferred stock.</w:t>
      </w:r>
    </w:p>
    <w:p>
      <w:pPr>
        <w:spacing w:after="0" w:line="1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During the three months ended June 30, 2025, we paid quarterly dividends on shares of our Class A common stock. We also declared a special dividend for Class A shareholders on May 1, 2025 which was paid on June 25, 2025. Our continued declaration and payment of dividends and institution of any other distributions of capital to shareholders will nonetheless be at the discretion of our Board and will depend on many factors, including our earnings, financial condition and results of operations, capital requirements, level of indebtedness, contractual restrictions with respect to payment of dividends, ability to obtain cash or other assets from our subsidiaries, restrictions imposed by applicable law, general business conditions and other factors that our Board may deem relevant. There can be no assurance that we will continue to pay dividends in the future. Therefore, the success of an investment in shares of our Class A common stock may in the future depend only upon any future appreciation in their value. There is no guarantee that shares of our Class A common stock will appreciate or even maintain their value.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dividends and distributions declared during the six months ended June 30, 2025, on a split adjusted basis,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20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256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Date paid</w:t>
            </w: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900" w:type="dxa"/>
            <w:vAlign w:val="bottom"/>
            <w:vMerge w:val="continue"/>
          </w:tcPr>
          <w:p>
            <w:pPr>
              <w:spacing w:after="0"/>
              <w:rPr>
                <w:sz w:val="16"/>
                <w:szCs w:val="16"/>
                <w:color w:val="auto"/>
              </w:rPr>
            </w:pPr>
          </w:p>
        </w:tc>
        <w:tc>
          <w:tcPr>
            <w:tcW w:w="2060" w:type="dxa"/>
            <w:vAlign w:val="bottom"/>
            <w:vMerge w:val="continue"/>
          </w:tcPr>
          <w:p>
            <w:pPr>
              <w:spacing w:after="0"/>
              <w:rPr>
                <w:sz w:val="16"/>
                <w:szCs w:val="16"/>
                <w:color w:val="auto"/>
              </w:rPr>
            </w:pPr>
          </w:p>
        </w:tc>
        <w:tc>
          <w:tcPr>
            <w:tcW w:w="256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4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w:t>
            </w:r>
          </w:p>
        </w:tc>
        <w:tc>
          <w:tcPr>
            <w:tcW w:w="20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January 15, 2025</w:t>
            </w:r>
          </w:p>
        </w:tc>
        <w:tc>
          <w:tcPr>
            <w:tcW w:w="256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February 26, 2025</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2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N/A</w:t>
            </w:r>
          </w:p>
        </w:tc>
        <w:tc>
          <w:tcPr>
            <w:tcW w:w="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Regular</w:t>
            </w:r>
          </w:p>
        </w:tc>
        <w:tc>
          <w:tcPr>
            <w:tcW w:w="2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February 27, 2025</w:t>
            </w:r>
          </w:p>
        </w:tc>
        <w:tc>
          <w:tcPr>
            <w:tcW w:w="2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March 31, 2025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20" w:type="dxa"/>
            <w:vAlign w:val="bottom"/>
          </w:tcPr>
          <w:p>
            <w:pPr>
              <w:spacing w:after="0"/>
              <w:rPr>
                <w:sz w:val="19"/>
                <w:szCs w:val="19"/>
                <w:color w:val="auto"/>
              </w:rPr>
            </w:pP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0" w:type="dxa"/>
            <w:vAlign w:val="bottom"/>
          </w:tcPr>
          <w:p>
            <w:pPr>
              <w:spacing w:after="0"/>
              <w:rPr>
                <w:sz w:val="1"/>
                <w:szCs w:val="1"/>
                <w:color w:val="auto"/>
              </w:rPr>
            </w:pPr>
          </w:p>
        </w:tc>
      </w:tr>
      <w:tr>
        <w:trPr>
          <w:trHeight w:val="229"/>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Regular</w:t>
            </w:r>
          </w:p>
        </w:tc>
        <w:tc>
          <w:tcPr>
            <w:tcW w:w="2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May 1, 2025</w:t>
            </w:r>
          </w:p>
        </w:tc>
        <w:tc>
          <w:tcPr>
            <w:tcW w:w="2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June 25, 2025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0" w:type="dxa"/>
            <w:vAlign w:val="bottom"/>
          </w:tcPr>
          <w:p>
            <w:pPr>
              <w:spacing w:after="0"/>
              <w:rPr>
                <w:sz w:val="1"/>
                <w:szCs w:val="1"/>
                <w:color w:val="auto"/>
              </w:rPr>
            </w:pPr>
          </w:p>
        </w:tc>
      </w:tr>
      <w:tr>
        <w:trPr>
          <w:trHeight w:val="234"/>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w:t>
            </w:r>
          </w:p>
        </w:tc>
        <w:tc>
          <w:tcPr>
            <w:tcW w:w="2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May 1, 2025</w:t>
            </w:r>
          </w:p>
        </w:tc>
        <w:tc>
          <w:tcPr>
            <w:tcW w:w="2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June 25, 2025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February 28, 2025, the Company announced that the Board authorized a stock repurchase program of up to $50 million of Class A common stock. Repurchases of Class A common stock may be made from time to time, either through open market transactions (including pre-set trading plans) or through other transactions, at the discretion of the management of the Company and in accordance with the limitations set forth in Rule 10b-18 promulgated under the Securities Exchange Act of 1934, as amended, and other applicable securities laws. The timing of the repurchases will depend on market conditions and other requirements. Repurchases under the program have been authorized for the next 12 months but the program may be modified, suspended, or terminated at any time. The share repurchase program does not obligate the Company to repurchase any dollar amount or number of shares. During the three and six months ended June 30, 2025, we repurchased 117,673 shares totaling $1,851 in the aggregate, including fees and commissions of $4.</w:t>
      </w:r>
    </w:p>
    <w:p>
      <w:pPr>
        <w:spacing w:after="0" w:line="138"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For each share of Class A common stock the Company repurchases under the share repurchase program, MarketWise, LLC, the Company’s direct subsidiary, will redeem one common unit of MarketWise, LLC held by the Company, decreasing the percentage ownership of MarketWise, LLC by the Company and relatively increasing the ownership by the other unit holders of MarketWise, LLC in accordance with the MarketWise Operating Agreement.</w:t>
      </w:r>
    </w:p>
    <w:p>
      <w:pPr>
        <w:spacing w:after="0" w:line="10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Chief Operating Decision Maker (“CODM”) monitors financial results for internal purposes that are not prepared in accordance with GAAP (“Adjusted Basis”) because these results more closely align to how the business generates and uses cash.</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CODM uses Adjusted Net Profit (Loss) as the key performance measure for evaluating segment income or loss on a monthly basis when assessing segment performance and when making decisions about how to allocate operating resources, such as marketing spend and determining variable compensation for certain employees.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components of the “Corporate and all other” line in the following tables include certain corporate overhead charges, expenses that have not been allocated to the reportable segment, including corporate functions, taxes, and activity related to components that is below quantitative threshold for separate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17" w:right="599" w:bottom="1440" w:gutter="0" w:footer="0" w:header="0"/>
        </w:sectPr>
      </w:pPr>
    </w:p>
    <w:bookmarkStart w:id="29" w:name="page30"/>
    <w:bookmarkEnd w:id="29"/>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reportable segment Adjusted Basis Net Profit (Loss) to the consolidated totals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6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9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49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9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Total net revenue for reportable segment </w:t>
            </w:r>
            <w:r>
              <w:rPr>
                <w:rFonts w:ascii="Times New Roman" w:cs="Times New Roman" w:eastAsia="Times New Roman" w:hAnsi="Times New Roman"/>
                <w:sz w:val="23"/>
                <w:szCs w:val="23"/>
                <w:color w:val="auto"/>
                <w:vertAlign w:val="superscript"/>
              </w:rPr>
              <w:t>(a)</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171,288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217,212</w:t>
            </w:r>
          </w:p>
        </w:tc>
      </w:tr>
      <w:tr>
        <w:trPr>
          <w:trHeight w:val="229"/>
        </w:trPr>
        <w:tc>
          <w:tcPr>
            <w:tcW w:w="4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 to total net revenue for reportable segment </w:t>
            </w:r>
            <w:r>
              <w:rPr>
                <w:rFonts w:ascii="Times New Roman" w:cs="Times New Roman" w:eastAsia="Times New Roman" w:hAnsi="Times New Roman"/>
                <w:sz w:val="23"/>
                <w:szCs w:val="23"/>
                <w:color w:val="auto"/>
                <w:vertAlign w:val="superscript"/>
              </w:rPr>
              <w:t>(b)</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(79,896)</w:t>
            </w:r>
          </w:p>
        </w:tc>
      </w:tr>
      <w:tr>
        <w:trPr>
          <w:trHeight w:val="230"/>
        </w:trPr>
        <w:tc>
          <w:tcPr>
            <w:tcW w:w="4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Variable expense </w:t>
            </w:r>
            <w:r>
              <w:rPr>
                <w:rFonts w:ascii="Times New Roman" w:cs="Times New Roman" w:eastAsia="Times New Roman" w:hAnsi="Times New Roman"/>
                <w:sz w:val="23"/>
                <w:szCs w:val="23"/>
                <w:color w:val="auto"/>
                <w:vertAlign w:val="superscript"/>
              </w:rPr>
              <w:t>(c)</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(12,407)</w:t>
            </w:r>
          </w:p>
        </w:tc>
      </w:tr>
      <w:tr>
        <w:trPr>
          <w:trHeight w:val="229"/>
        </w:trPr>
        <w:tc>
          <w:tcPr>
            <w:tcW w:w="4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 share expense </w:t>
            </w:r>
            <w:r>
              <w:rPr>
                <w:rFonts w:ascii="Times New Roman" w:cs="Times New Roman" w:eastAsia="Times New Roman" w:hAnsi="Times New Roman"/>
                <w:sz w:val="23"/>
                <w:szCs w:val="23"/>
                <w:color w:val="auto"/>
                <w:vertAlign w:val="superscript"/>
              </w:rPr>
              <w:t>(c)</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w:t>
            </w:r>
          </w:p>
        </w:tc>
      </w:tr>
      <w:tr>
        <w:trPr>
          <w:trHeight w:val="229"/>
        </w:trPr>
        <w:tc>
          <w:tcPr>
            <w:tcW w:w="4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Direct marketing </w:t>
            </w:r>
            <w:r>
              <w:rPr>
                <w:rFonts w:ascii="Times New Roman" w:cs="Times New Roman" w:eastAsia="Times New Roman" w:hAnsi="Times New Roman"/>
                <w:sz w:val="23"/>
                <w:szCs w:val="23"/>
                <w:color w:val="auto"/>
                <w:vertAlign w:val="superscript"/>
              </w:rPr>
              <w:t>(c)</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(27,986)</w:t>
            </w:r>
          </w:p>
        </w:tc>
      </w:tr>
      <w:tr>
        <w:trPr>
          <w:trHeight w:val="230"/>
        </w:trPr>
        <w:tc>
          <w:tcPr>
            <w:tcW w:w="4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Compensation and outside labor </w:t>
            </w:r>
            <w:r>
              <w:rPr>
                <w:rFonts w:ascii="Times New Roman" w:cs="Times New Roman" w:eastAsia="Times New Roman" w:hAnsi="Times New Roman"/>
                <w:sz w:val="23"/>
                <w:szCs w:val="23"/>
                <w:color w:val="auto"/>
                <w:vertAlign w:val="superscript"/>
              </w:rPr>
              <w:t>(c)</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(48,231)</w:t>
            </w:r>
          </w:p>
        </w:tc>
      </w:tr>
      <w:tr>
        <w:trPr>
          <w:trHeight w:val="229"/>
        </w:trPr>
        <w:tc>
          <w:tcPr>
            <w:tcW w:w="4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overhead </w:t>
            </w:r>
            <w:r>
              <w:rPr>
                <w:rFonts w:ascii="Times New Roman" w:cs="Times New Roman" w:eastAsia="Times New Roman" w:hAnsi="Times New Roman"/>
                <w:sz w:val="23"/>
                <w:szCs w:val="23"/>
                <w:color w:val="auto"/>
                <w:vertAlign w:val="superscript"/>
              </w:rPr>
              <w:t>(c)</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(17,449)</w:t>
            </w:r>
          </w:p>
        </w:tc>
      </w:tr>
      <w:tr>
        <w:trPr>
          <w:trHeight w:val="229"/>
        </w:trPr>
        <w:tc>
          <w:tcPr>
            <w:tcW w:w="49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allocations </w:t>
            </w:r>
            <w:r>
              <w:rPr>
                <w:rFonts w:ascii="Times New Roman" w:cs="Times New Roman" w:eastAsia="Times New Roman" w:hAnsi="Times New Roman"/>
                <w:sz w:val="23"/>
                <w:szCs w:val="23"/>
                <w:color w:val="auto"/>
                <w:vertAlign w:val="superscript"/>
              </w:rPr>
              <w:t>(c)</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(11,016)</w:t>
            </w: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Reportable segment Adjusted Net Profit (Loss)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17,190</w:t>
            </w:r>
          </w:p>
        </w:tc>
      </w:tr>
      <w:tr>
        <w:trPr>
          <w:trHeight w:val="176"/>
        </w:trPr>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Reconciliation of Adjusted Net Profit (Loss) to consolidated</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4"/>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all other Adjusted Net Profit (Loss)</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(8,309)</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(16,811)</w:t>
            </w:r>
          </w:p>
        </w:tc>
      </w:tr>
      <w:tr>
        <w:trPr>
          <w:trHeight w:val="229"/>
        </w:trPr>
        <w:tc>
          <w:tcPr>
            <w:tcW w:w="49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Adjustment to total net revenue </w:t>
            </w:r>
            <w:r>
              <w:rPr>
                <w:rFonts w:ascii="Times New Roman" w:cs="Times New Roman" w:eastAsia="Times New Roman" w:hAnsi="Times New Roman"/>
                <w:sz w:val="23"/>
                <w:szCs w:val="23"/>
                <w:color w:val="auto"/>
                <w:vertAlign w:val="superscript"/>
              </w:rPr>
              <w:t>(b)</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79,780</w:t>
            </w:r>
          </w:p>
        </w:tc>
      </w:tr>
      <w:tr>
        <w:trPr>
          <w:trHeight w:val="229"/>
        </w:trPr>
        <w:tc>
          <w:tcPr>
            <w:tcW w:w="49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w:t>
            </w:r>
          </w:p>
        </w:tc>
      </w:tr>
      <w:tr>
        <w:trPr>
          <w:trHeight w:val="230"/>
        </w:trPr>
        <w:tc>
          <w:tcPr>
            <w:tcW w:w="49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Deferred contract acquisition costs </w:t>
            </w:r>
            <w:r>
              <w:rPr>
                <w:rFonts w:ascii="Times New Roman" w:cs="Times New Roman" w:eastAsia="Times New Roman" w:hAnsi="Times New Roman"/>
                <w:sz w:val="23"/>
                <w:szCs w:val="23"/>
                <w:color w:val="auto"/>
                <w:vertAlign w:val="superscript"/>
              </w:rPr>
              <w:t>(e)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(32,661)</w:t>
            </w:r>
          </w:p>
        </w:tc>
      </w:tr>
      <w:tr>
        <w:trPr>
          <w:trHeight w:val="229"/>
        </w:trPr>
        <w:tc>
          <w:tcPr>
            <w:tcW w:w="49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3"/>
                <w:szCs w:val="23"/>
                <w:color w:val="auto"/>
                <w:vertAlign w:val="superscript"/>
              </w:rPr>
              <w:t>(f)(g)</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r>
      <w:tr>
        <w:trPr>
          <w:trHeight w:val="229"/>
        </w:trPr>
        <w:tc>
          <w:tcPr>
            <w:tcW w:w="490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(h)</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income before income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45,466</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revenue for reportable segment is in accordance with GAAP</w:t>
      </w:r>
    </w:p>
    <w:p>
      <w:pPr>
        <w:ind w:left="660" w:right="380" w:hanging="328"/>
        <w:spacing w:after="0" w:line="211"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 revenue share and other income are generally recognized on a cash basis under Adjusted Basis, rather than deferred and recognized over the subscription term or when earned in accordance with ASC 606</w:t>
      </w:r>
    </w:p>
    <w:p>
      <w:pPr>
        <w:ind w:left="660" w:hanging="328"/>
        <w:spacing w:after="0" w:line="203"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Adjusted Basis</w:t>
      </w:r>
    </w:p>
    <w:p>
      <w:pPr>
        <w:ind w:left="640" w:hanging="308"/>
        <w:spacing w:after="0" w:line="203"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stock-based compensation expense</w:t>
      </w:r>
    </w:p>
    <w:p>
      <w:pPr>
        <w:ind w:left="660" w:right="560" w:hanging="328"/>
        <w:spacing w:after="0" w:line="211" w:lineRule="auto"/>
        <w:tabs>
          <w:tab w:leader="none" w:pos="6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obtain a contract are expensed under Adjusted Basis, rather than capitalized as deferred contract acquisition costs and subsequently amortized in accordance with ASC 340</w:t>
      </w:r>
    </w:p>
    <w:p>
      <w:pPr>
        <w:ind w:left="660" w:right="680" w:hanging="328"/>
        <w:spacing w:after="0" w:line="211" w:lineRule="auto"/>
        <w:tabs>
          <w:tab w:leader="none" w:pos="65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operating leases are recognized on a cash basis under Adjusted Basis, rather than initially recognizing right-of-use assets and lease liabilities, which are subsequently amortized over the lease term in accordance with ASC 842</w:t>
      </w:r>
    </w:p>
    <w:p>
      <w:pPr>
        <w:ind w:left="660" w:right="200" w:hanging="328"/>
        <w:spacing w:after="0" w:line="203"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intangible assets arising from business combinations are not recognized upon acquisition and subsequently amortized in accordance with ASC 805 under Adjusted Basis</w:t>
      </w:r>
    </w:p>
    <w:p>
      <w:pPr>
        <w:ind w:left="660" w:right="40" w:hanging="328"/>
        <w:spacing w:after="0" w:line="223"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line includes various items that are recognized differently under Adjusted Basis, including software development and implementation related costs, including implementation costs of cloud computing arrangements, employee benefit related items, gain on lease termination, change in fair value of contingent consideration, and certain tax related items.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reportable segment revenues to the consolidated totals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3200" w:type="dxa"/>
            <w:vAlign w:val="bottom"/>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6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9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49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 for reportable segment</w:t>
            </w: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85,184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171,288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217,212</w:t>
            </w:r>
          </w:p>
        </w:tc>
      </w:tr>
      <w:tr>
        <w:trPr>
          <w:trHeight w:val="229"/>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all other</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(5,234)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w:t>
            </w: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total net revenue</w:t>
            </w: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79,950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163,457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214,037</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CODM does not use segment assets to evaluate segment performance or allocate resources. Therefore, we do not disclose segment assets. Long-lived assets were located in the United States as of June 30, 2025 and 2024.</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Subsequent to June 30, 2025, we began a reorganization of our reporting structure by eliminating our 1729 Research and Alta operating subsidiaries, which are also two of our three reporting units. The Company will evaluate the impact of this reorganization on segment reporting, reporting unit determination and on goodwill assessment during the third quarter 2025.</w:t>
      </w:r>
    </w:p>
    <w:p>
      <w:pPr>
        <w:spacing w:after="0" w:line="200" w:lineRule="exact"/>
        <w:rPr>
          <w:sz w:val="20"/>
          <w:szCs w:val="20"/>
          <w:color w:val="auto"/>
        </w:rPr>
      </w:pPr>
    </w:p>
    <w:p>
      <w:pPr>
        <w:spacing w:after="0" w:line="32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events have been evaluated through August 7, 2025, which is the date that the financial statements were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1" w:name="page32"/>
    <w:bookmarkEnd w:id="3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operations of MarketWise, Inc., a Delaware corporation (“MarketWise,” “we,” “us,” and “our”), should be read together with our unaudited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 our Annual Report on Form 10-K for the fiscal year ended December 31, 2024 (the “Annual Report”). The following discussion contains forward-looking statements. Our actual results may differ significantly from those projected in the forward-looking statements. Factors that might cause future results to differ materially from those projected in the forward-looking statements include, but are not limited to, those discussed in the section entitled “Cautionary Statement Regarding Forward-Looking Statements” in this report.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a leading multi-brand platform of subscription businesses that provides premium financial research, software, education, and tools for self-directed investors. We offer a comprehensive portfolio of high-quality, independent investment research, as well as several software and analytical tools, on a subscription basis.</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MarketWise started in 1999 with the simple idea that, if we could publish intelligent, independent, insightful, and in-depth investment research and treat the subscriber the way we would want to be treated, then subscribers would renew their subscriptions and stay with us. Over the years, we have expanded our business into a comprehensive suite of investment research products and solutions. We now produce a diversified product portfolio from a variety of financial research brands such as Stansberry Research, Chaikin Analytics, Altimetry, TradeSmith, InvestorPlace, and Brownstone Research. Our entire investment research product portfolio is 100% digital and channel agnostic, and we offer all of our research across a variety of platforms, including desktop, laptop, and mobile devices, including tablets and mobile phones.</w:t>
      </w:r>
    </w:p>
    <w:p>
      <w:pPr>
        <w:spacing w:after="0" w:line="13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Today, we benefit from the confluence of a leading editorial team, diverse portfolio of content and brands, and a comprehensive suite of investor-centric tools that appeal to a broad subscriber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Quarter 2025 Highlights</w:t>
      </w:r>
    </w:p>
    <w:p>
      <w:pPr>
        <w:spacing w:after="0" w:line="17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revenue was $80.0 million in the second quarter 2025</w:t>
      </w:r>
      <w:r>
        <w:rPr>
          <w:rFonts w:ascii="Times New Roman" w:cs="Times New Roman" w:eastAsia="Times New Roman" w:hAnsi="Times New Roman"/>
          <w:sz w:val="23"/>
          <w:szCs w:val="23"/>
          <w:color w:val="auto"/>
          <w:vertAlign w:val="superscript"/>
        </w:rPr>
        <w:t>(2)</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Billings were $58.2 million in second quarter 2025, a year-over-year increase of 10% on an adjusted basis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$15.3 million in second quarter 2025</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from Operating Activities was $17.8 million in second quarter 2025, an improvement of $21.6 million compared to second quarter 2024</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were $69.1 million as of June 30, 2025, and no debt outstanding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on August 1, 2025 quarterly and special dividend totaling $0.40 per Class A share</w:t>
      </w:r>
    </w:p>
    <w:p>
      <w:pPr>
        <w:spacing w:after="0" w:line="17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second quarter 2025 and 2024 quarterly results reported herein are unaudited.</w:t>
      </w:r>
    </w:p>
    <w:p>
      <w:pPr>
        <w:spacing w:after="0" w:line="167" w:lineRule="exact"/>
        <w:rPr>
          <w:rFonts w:ascii="Times New Roman" w:cs="Times New Roman" w:eastAsia="Times New Roman" w:hAnsi="Times New Roman"/>
          <w:sz w:val="16"/>
          <w:szCs w:val="16"/>
          <w:color w:val="auto"/>
        </w:rPr>
      </w:pPr>
    </w:p>
    <w:p>
      <w:pPr>
        <w:ind w:left="660" w:right="240" w:hanging="4"/>
        <w:spacing w:after="0" w:line="298" w:lineRule="auto"/>
        <w:tabs>
          <w:tab w:leader="none" w:pos="889"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Revenue (a GAAP measure) represents Billings that are recognized over the term of the subscription, which can be multiple years. Billings are amounts invoiced to customers in the period and is thus indicative of the current operating environment and demand for our products.</w:t>
      </w:r>
    </w:p>
    <w:p>
      <w:pPr>
        <w:spacing w:after="0" w:line="9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following table presents net cash provided by operating activities, and the related margin as a percentage of net revenue, Adjusted CFFO (as defined below), a non-GAAP measure, and the related margin as a percentage of Billings, Free Cash Flow and EBITDA (as defined below), both non-GAAP measures, for each of the periods presented. For more information on our non-GAAP measures, see “— Non-GAAP Financial Measures.”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0" w:type="dxa"/>
            <w:vAlign w:val="bottom"/>
          </w:tcPr>
          <w:p>
            <w:pPr>
              <w:spacing w:after="0"/>
              <w:rPr>
                <w:sz w:val="16"/>
                <w:szCs w:val="16"/>
                <w:color w:val="auto"/>
              </w:rPr>
            </w:pPr>
          </w:p>
        </w:tc>
        <w:tc>
          <w:tcPr>
            <w:tcW w:w="274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i w:val="1"/>
                <w:iCs w:val="1"/>
                <w:color w:val="auto"/>
              </w:rPr>
              <w:t>% Change</w:t>
            </w:r>
          </w:p>
        </w:tc>
        <w:tc>
          <w:tcPr>
            <w:tcW w:w="0" w:type="dxa"/>
            <w:vAlign w:val="bottom"/>
          </w:tcPr>
          <w:p>
            <w:pPr>
              <w:spacing w:after="0"/>
              <w:rPr>
                <w:sz w:val="1"/>
                <w:szCs w:val="1"/>
                <w:color w:val="auto"/>
              </w:rPr>
            </w:pPr>
          </w:p>
        </w:tc>
      </w:tr>
      <w:tr>
        <w:trPr>
          <w:trHeight w:val="190"/>
        </w:trPr>
        <w:tc>
          <w:tcPr>
            <w:tcW w:w="65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17,842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(3,795)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(570.1)%</w:t>
            </w:r>
          </w:p>
        </w:tc>
        <w:tc>
          <w:tcPr>
            <w:tcW w:w="0" w:type="dxa"/>
            <w:vAlign w:val="bottom"/>
          </w:tcPr>
          <w:p>
            <w:pPr>
              <w:spacing w:after="0"/>
              <w:rPr>
                <w:sz w:val="1"/>
                <w:szCs w:val="1"/>
                <w:color w:val="auto"/>
              </w:rPr>
            </w:pPr>
          </w:p>
        </w:tc>
      </w:tr>
      <w:tr>
        <w:trPr>
          <w:trHeight w:val="230"/>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79,950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105,046</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(23.9)%</w:t>
            </w:r>
          </w:p>
        </w:tc>
        <w:tc>
          <w:tcPr>
            <w:tcW w:w="0" w:type="dxa"/>
            <w:vAlign w:val="bottom"/>
          </w:tcPr>
          <w:p>
            <w:pPr>
              <w:spacing w:after="0"/>
              <w:rPr>
                <w:sz w:val="1"/>
                <w:szCs w:val="1"/>
                <w:color w:val="auto"/>
              </w:rPr>
            </w:pPr>
          </w:p>
        </w:tc>
      </w:tr>
      <w:tr>
        <w:trPr>
          <w:trHeight w:val="22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 margin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CFFO</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17,842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(3,795)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(570.1)%</w:t>
            </w:r>
          </w:p>
        </w:tc>
        <w:tc>
          <w:tcPr>
            <w:tcW w:w="0" w:type="dxa"/>
            <w:vAlign w:val="bottom"/>
          </w:tcPr>
          <w:p>
            <w:pPr>
              <w:spacing w:after="0"/>
              <w:rPr>
                <w:sz w:val="1"/>
                <w:szCs w:val="1"/>
                <w:color w:val="auto"/>
              </w:rPr>
            </w:pPr>
          </w:p>
        </w:tc>
      </w:tr>
      <w:tr>
        <w:trPr>
          <w:trHeight w:val="230"/>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Billings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58,192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57,577</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1.1 %</w:t>
            </w:r>
          </w:p>
        </w:tc>
        <w:tc>
          <w:tcPr>
            <w:tcW w:w="0" w:type="dxa"/>
            <w:vAlign w:val="bottom"/>
          </w:tcPr>
          <w:p>
            <w:pPr>
              <w:spacing w:after="0"/>
              <w:rPr>
                <w:sz w:val="1"/>
                <w:szCs w:val="1"/>
                <w:color w:val="auto"/>
              </w:rPr>
            </w:pPr>
          </w:p>
        </w:tc>
      </w:tr>
      <w:tr>
        <w:trPr>
          <w:trHeight w:val="248"/>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CFFO Margin</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17,503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(4,291)</w:t>
            </w:r>
          </w:p>
        </w:tc>
        <w:tc>
          <w:tcPr>
            <w:tcW w:w="156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i w:val="1"/>
                <w:iCs w:val="1"/>
                <w:color w:val="auto"/>
              </w:rPr>
              <w:t>(507.9)%</w:t>
            </w:r>
          </w:p>
        </w:tc>
        <w:tc>
          <w:tcPr>
            <w:tcW w:w="0" w:type="dxa"/>
            <w:vAlign w:val="bottom"/>
          </w:tcPr>
          <w:p>
            <w:pPr>
              <w:spacing w:after="0"/>
              <w:rPr>
                <w:sz w:val="1"/>
                <w:szCs w:val="1"/>
                <w:color w:val="auto"/>
              </w:rPr>
            </w:pPr>
          </w:p>
        </w:tc>
      </w:tr>
      <w:tr>
        <w:trPr>
          <w:trHeight w:val="257"/>
        </w:trPr>
        <w:tc>
          <w:tcPr>
            <w:tcW w:w="6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15,654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21,347</w:t>
            </w:r>
          </w:p>
        </w:tc>
        <w:tc>
          <w:tcPr>
            <w:tcW w:w="1560" w:type="dxa"/>
            <w:vAlign w:val="bottom"/>
            <w:gridSpan w:val="2"/>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i w:val="1"/>
                <w:iCs w:val="1"/>
                <w:color w:val="auto"/>
              </w:rPr>
              <w:t>(26.7)%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7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believe that our growth and future success are dependent upon several factors, including those below and those noted in the “Risk Factors” section in the Annual Report. The key factors below represent significant business opportunities as well as challenges that we must successfully address in order to continue our growth and improve our financial results.</w:t>
      </w:r>
    </w:p>
    <w:p>
      <w:pPr>
        <w:spacing w:after="0" w:line="118" w:lineRule="exact"/>
        <w:rPr>
          <w:sz w:val="20"/>
          <w:szCs w:val="20"/>
          <w:color w:val="auto"/>
        </w:rPr>
      </w:pPr>
    </w:p>
    <w:p>
      <w:pPr>
        <w:jc w:val="both"/>
        <w:ind w:left="340" w:right="1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Growing our subscriber base with compelling unit economics. </w:t>
      </w:r>
      <w:r>
        <w:rPr>
          <w:rFonts w:ascii="Times New Roman" w:cs="Times New Roman" w:eastAsia="Times New Roman" w:hAnsi="Times New Roman"/>
          <w:sz w:val="17"/>
          <w:szCs w:val="17"/>
          <w:color w:val="auto"/>
        </w:rPr>
        <w:t>We are highly focused on continuing to acquire new subscribers to support our long-term growth. Our marketing spend is a large driver of new subscriber growth. At the heart of our marketing strategy is our compelling unit economics that combine long-term subscriber relationships, highly scalable content delivery, cost-effective customer acquisition, and high-margin conversions.</w:t>
      </w:r>
    </w:p>
    <w:p>
      <w:pPr>
        <w:spacing w:after="0" w:line="10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Our Paid Subscribers (as defined below) as of December 31, 2024 generated average customer lifetime Billings of approximately $1,120, resulting in a LTV/CAC (as defined below) ratio of approximately 1.3x. On average, it takes us approximately 1.6 to 1.7 years for a Paid Subscriber’s cumulative net revenue to exceed the total cost of acquiring that subscriber (which includes fixed costs, such as marketing salaries). For more information on Billings and our LTV/CAC ratio and the components of this ratio, see “</w:t>
      </w:r>
      <w:r>
        <w:rPr>
          <w:rFonts w:ascii="Times New Roman" w:cs="Times New Roman" w:eastAsia="Times New Roman" w:hAnsi="Times New Roman"/>
          <w:sz w:val="18"/>
          <w:szCs w:val="18"/>
          <w:i w:val="1"/>
          <w:iCs w:val="1"/>
          <w:color w:val="auto"/>
        </w:rPr>
        <w:t>—Key Business Metrics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—Definitions of Metrics,”</w:t>
      </w:r>
    </w:p>
    <w:p>
      <w:pPr>
        <w:spacing w:after="0" w:line="126" w:lineRule="exact"/>
        <w:rPr>
          <w:sz w:val="20"/>
          <w:szCs w:val="20"/>
          <w:color w:val="auto"/>
        </w:rPr>
      </w:pPr>
    </w:p>
    <w:p>
      <w:pPr>
        <w:ind w:left="340" w:right="380"/>
        <w:spacing w:after="0" w:line="282" w:lineRule="auto"/>
        <w:rPr>
          <w:sz w:val="20"/>
          <w:szCs w:val="20"/>
          <w:color w:val="auto"/>
        </w:rPr>
      </w:pPr>
      <w:r>
        <w:rPr>
          <w:rFonts w:ascii="Times New Roman" w:cs="Times New Roman" w:eastAsia="Times New Roman" w:hAnsi="Times New Roman"/>
          <w:sz w:val="18"/>
          <w:szCs w:val="18"/>
          <w:color w:val="auto"/>
        </w:rPr>
        <w:t>We adjust our marketing spend to drive efficient and profitable customer acquisition. We can adjust our marketing spend in near real-time, and we monitor costs per acquisition relative to the cart value of the initial subscription.</w:t>
      </w:r>
    </w:p>
    <w:p>
      <w:pPr>
        <w:spacing w:after="0" w:line="108" w:lineRule="exact"/>
        <w:rPr>
          <w:sz w:val="20"/>
          <w:szCs w:val="20"/>
          <w:color w:val="auto"/>
        </w:rPr>
      </w:pPr>
    </w:p>
    <w:p>
      <w:pPr>
        <w:ind w:left="340" w:right="180"/>
        <w:spacing w:after="0" w:line="289" w:lineRule="auto"/>
        <w:rPr>
          <w:sz w:val="20"/>
          <w:szCs w:val="20"/>
          <w:color w:val="auto"/>
        </w:rPr>
      </w:pPr>
      <w:r>
        <w:rPr>
          <w:rFonts w:ascii="Times New Roman" w:cs="Times New Roman" w:eastAsia="Times New Roman" w:hAnsi="Times New Roman"/>
          <w:sz w:val="17"/>
          <w:szCs w:val="17"/>
          <w:color w:val="auto"/>
        </w:rPr>
        <w:t>As of June 30, 2025, our paid subscriber base was 394 thousand, down 251 thousand, or 39.0% as compared to 645 thousand at June 30, 2024. Our base is comprised of subscribers obtained through both direct-to-paid acquisition and free-to-paid conversions. Since 2022, direct-to-paid acquisition has accounted for approximately 50% of our annual Paid Subscriber acquisition, and is largely driven by display ads and targeted email campaigns.</w:t>
      </w:r>
    </w:p>
    <w:p>
      <w:pPr>
        <w:spacing w:after="0" w:line="104" w:lineRule="exact"/>
        <w:rPr>
          <w:sz w:val="20"/>
          <w:szCs w:val="20"/>
          <w:color w:val="auto"/>
        </w:rPr>
      </w:pPr>
    </w:p>
    <w:p>
      <w:pPr>
        <w:ind w:left="340" w:right="560"/>
        <w:spacing w:after="0" w:line="282" w:lineRule="auto"/>
        <w:rPr>
          <w:sz w:val="20"/>
          <w:szCs w:val="20"/>
          <w:color w:val="auto"/>
        </w:rPr>
      </w:pPr>
      <w:r>
        <w:rPr>
          <w:rFonts w:ascii="Times New Roman" w:cs="Times New Roman" w:eastAsia="Times New Roman" w:hAnsi="Times New Roman"/>
          <w:sz w:val="18"/>
          <w:szCs w:val="18"/>
          <w:color w:val="auto"/>
        </w:rPr>
        <w:t>Our free subscription products also serve as a significant source of new Paid Subscribers, accounting for approximately 50% of our annual Paid Subscriber acquisition.</w:t>
      </w:r>
    </w:p>
    <w:p>
      <w:pPr>
        <w:spacing w:after="0" w:line="104" w:lineRule="exact"/>
        <w:rPr>
          <w:sz w:val="20"/>
          <w:szCs w:val="20"/>
          <w:color w:val="auto"/>
        </w:rPr>
      </w:pPr>
    </w:p>
    <w:p>
      <w:pPr>
        <w:ind w:left="340"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Retaining and expanding relationships with existing subscribers. </w:t>
      </w:r>
      <w:r>
        <w:rPr>
          <w:rFonts w:ascii="Times New Roman" w:cs="Times New Roman" w:eastAsia="Times New Roman" w:hAnsi="Times New Roman"/>
          <w:sz w:val="18"/>
          <w:szCs w:val="18"/>
          <w:color w:val="auto"/>
        </w:rPr>
        <w:t>We believe that we have a significant opportunity to expand our relationships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large base of Active Free and Paid Subscribers. Thanks to the quality of our products, we believe our customers will continue their relationship with us and extend and increase their subscriptions over time. As we deepen our engagement with our subscribers, our customers tend to purchase more and higher-value products.</w:t>
      </w:r>
    </w:p>
    <w:p>
      <w:pPr>
        <w:spacing w:after="0" w:line="126" w:lineRule="exact"/>
        <w:rPr>
          <w:sz w:val="20"/>
          <w:szCs w:val="20"/>
          <w:color w:val="auto"/>
        </w:rPr>
      </w:pPr>
    </w:p>
    <w:p>
      <w:pPr>
        <w:ind w:left="340" w:right="180"/>
        <w:spacing w:after="0" w:line="256" w:lineRule="auto"/>
        <w:rPr>
          <w:sz w:val="20"/>
          <w:szCs w:val="20"/>
          <w:color w:val="auto"/>
        </w:rPr>
      </w:pPr>
      <w:r>
        <w:rPr>
          <w:rFonts w:ascii="Times New Roman" w:cs="Times New Roman" w:eastAsia="Times New Roman" w:hAnsi="Times New Roman"/>
          <w:sz w:val="18"/>
          <w:szCs w:val="18"/>
          <w:color w:val="auto"/>
        </w:rPr>
        <w:t>Our high-value composition rate reflects the percentage of Paid Subscribers that have purchased more than $600 of our products over their lifetime. We believe our high-value composition rate reflects our ability to retain existing subscribers through renewals and our ability to expand our relationship with them when those subscribers purchase higher-value subscriptions. Our ultra high-value composition rate reflects the percentage of Paid Subscribers that have purchased more than $5,000 of our products over their lifetime. We believe our ultra high-value composition rate reflects our ability to successfully build lifetime relationships with our subscribers, often across multiple products and brands. As of June 30, 2025, our high-value composition rate and ultra high-value composition rate were 63% and 30%,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Definitions of Metrics</w:t>
      </w:r>
    </w:p>
    <w:p>
      <w:pPr>
        <w:spacing w:after="0" w:line="175" w:lineRule="exact"/>
        <w:rPr>
          <w:sz w:val="20"/>
          <w:szCs w:val="20"/>
          <w:color w:val="auto"/>
        </w:rPr>
      </w:pPr>
    </w:p>
    <w:p>
      <w:pPr>
        <w:ind w:left="340" w:right="140"/>
        <w:spacing w:after="0" w:line="282" w:lineRule="auto"/>
        <w:rPr>
          <w:sz w:val="20"/>
          <w:szCs w:val="20"/>
          <w:color w:val="auto"/>
        </w:rPr>
      </w:pPr>
      <w:r>
        <w:rPr>
          <w:rFonts w:ascii="Times New Roman" w:cs="Times New Roman" w:eastAsia="Times New Roman" w:hAnsi="Times New Roman"/>
          <w:sz w:val="18"/>
          <w:szCs w:val="18"/>
          <w:color w:val="auto"/>
        </w:rPr>
        <w:t>Throughout this discussion and analysis, a number of our financial and operating metrics are referenced which we do not consider to be key business metrics, but which we review to monitor performance, and which we believe may be useful to investors. These are:</w:t>
      </w:r>
    </w:p>
    <w:p>
      <w:pPr>
        <w:spacing w:after="0" w:line="104" w:lineRule="exact"/>
        <w:rPr>
          <w:sz w:val="20"/>
          <w:szCs w:val="20"/>
          <w:color w:val="auto"/>
        </w:rPr>
      </w:pPr>
    </w:p>
    <w:p>
      <w:pPr>
        <w:ind w:left="34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High-value composition rate: </w:t>
      </w:r>
      <w:r>
        <w:rPr>
          <w:rFonts w:ascii="Times New Roman" w:cs="Times New Roman" w:eastAsia="Times New Roman" w:hAnsi="Times New Roman"/>
          <w:sz w:val="18"/>
          <w:szCs w:val="18"/>
          <w:color w:val="auto"/>
        </w:rPr>
        <w:t>High-value composition rate is the number of high-valued subscribers divided by Paid Subscribers. High-value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subscribers are Paid Subscribers who have purchased &gt;$600 in aggregate over their lifetime.</w:t>
      </w:r>
    </w:p>
    <w:p>
      <w:pPr>
        <w:spacing w:after="0" w:line="101" w:lineRule="exact"/>
        <w:rPr>
          <w:sz w:val="20"/>
          <w:szCs w:val="20"/>
          <w:color w:val="auto"/>
        </w:rPr>
      </w:pPr>
    </w:p>
    <w:p>
      <w:pPr>
        <w:ind w:left="340" w:right="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LTV/CAC ratio: </w:t>
      </w:r>
      <w:r>
        <w:rPr>
          <w:rFonts w:ascii="Times New Roman" w:cs="Times New Roman" w:eastAsia="Times New Roman" w:hAnsi="Times New Roman"/>
          <w:sz w:val="18"/>
          <w:szCs w:val="18"/>
          <w:color w:val="auto"/>
        </w:rPr>
        <w:t>We calculate LTV/CAC ratio as LTV</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CAC. We use LTV/CAC ratio because it is a standard metric for subscription-based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businesses, and we believe that an LTV/CAC ratio above 3x is considered to be indicative of strong profitability and marketing efficiency. We believe that an increasing LTV per subscriber reflects our existing subscribers recognizing our value proposition, which will expand their relationship with us across our platform over time, either through a combination of additional product purchases or by joining our membership offerings. Investors should consider this metric when evaluating our ability to achieve a return on our marketing investment. Lifetime value (“LTV”) represents the average margin on average customer lifetime Billings (that is, the estimated cumulative spend across a customer’s lifetime). Customer acquisition cost (“CAC”) is defined as direct marketing spend,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external revenue share expense,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retention and renewal expenses,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copywriting and marketing salaries,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telesales salaries and commissions,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customer service commissions.</w:t>
      </w:r>
    </w:p>
    <w:p>
      <w:pPr>
        <w:spacing w:after="0" w:line="131" w:lineRule="exact"/>
        <w:rPr>
          <w:sz w:val="20"/>
          <w:szCs w:val="20"/>
          <w:color w:val="auto"/>
        </w:rPr>
      </w:pPr>
    </w:p>
    <w:p>
      <w:pPr>
        <w:ind w:left="34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revenue retention: </w:t>
      </w:r>
      <w:r>
        <w:rPr>
          <w:rFonts w:ascii="Times New Roman" w:cs="Times New Roman" w:eastAsia="Times New Roman" w:hAnsi="Times New Roman"/>
          <w:sz w:val="18"/>
          <w:szCs w:val="18"/>
          <w:color w:val="auto"/>
        </w:rPr>
        <w:t>Net revenue retention is defined as Billings from all prior period cohorts in the current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Billings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period. We believe that a high net revenue retention rate is a measure of customer retention and an indicator of the engagement of our subscribers with our products. Investors should consider net revenue retention as an ongoing measure when evaluating our subscribers’ interest in continuing to subscribe to our products and spending more with us over time.</w:t>
      </w:r>
    </w:p>
    <w:p>
      <w:pPr>
        <w:spacing w:after="0" w:line="122" w:lineRule="exact"/>
        <w:rPr>
          <w:sz w:val="20"/>
          <w:szCs w:val="20"/>
          <w:color w:val="auto"/>
        </w:rPr>
      </w:pPr>
    </w:p>
    <w:p>
      <w:pPr>
        <w:ind w:left="3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Subscriber count churn rate: </w:t>
      </w:r>
      <w:r>
        <w:rPr>
          <w:rFonts w:ascii="Times New Roman" w:cs="Times New Roman" w:eastAsia="Times New Roman" w:hAnsi="Times New Roman"/>
          <w:sz w:val="17"/>
          <w:szCs w:val="17"/>
          <w:color w:val="auto"/>
        </w:rPr>
        <w:t>Our subscriber count churn rate is defined as the number of paid subscribers who either cancelled or failed to renew all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their paid subscriptions during the period divided by the number of unique paid subscribers at the beginning of the period plus the number of new subscribers obtained during the period. Monthly subscriber count churn rate is defined by the annual subscriber count churn divided by twelve months.</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Ultra high-value composition rate: </w:t>
      </w:r>
      <w:r>
        <w:rPr>
          <w:rFonts w:ascii="Times New Roman" w:cs="Times New Roman" w:eastAsia="Times New Roman" w:hAnsi="Times New Roman"/>
          <w:sz w:val="18"/>
          <w:szCs w:val="18"/>
          <w:color w:val="auto"/>
        </w:rPr>
        <w:t>Ultra high-value composition rate is the number of ultra high-valued subscribers divided by Paid Subscribers.</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Ultra high-value subscribers are Paid Subscribers who have purchased &gt;$5,000 in aggregate over their lifetime.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review the following key business metrics to measure our performance, identify trends, formulate financial projections, and make strategic decisions. We are not aware of any uniform standards for calculating these key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5" w:name="page36"/>
    <w:bookmarkEnd w:id="35"/>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metrics, which may hinder comparability with other companies who may calculate similarly titled metrics in a different way.</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 and for the</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 and for the</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 and for the</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340" w:type="dxa"/>
            <w:vAlign w:val="bottom"/>
            <w:gridSpan w:val="5"/>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80" w:type="dxa"/>
            <w:vAlign w:val="bottom"/>
            <w:gridSpan w:val="5"/>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40" w:type="dxa"/>
            <w:vAlign w:val="bottom"/>
            <w:gridSpan w:val="5"/>
            <w:vMerge w:val="continue"/>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80" w:type="dxa"/>
            <w:vAlign w:val="bottom"/>
            <w:gridSpan w:val="5"/>
            <w:vMerge w:val="continue"/>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2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1"/>
                <w:szCs w:val="11"/>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 Change</w:t>
            </w:r>
          </w:p>
        </w:tc>
        <w:tc>
          <w:tcPr>
            <w:tcW w:w="2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 Change</w:t>
            </w:r>
          </w:p>
        </w:tc>
        <w:tc>
          <w:tcPr>
            <w:tcW w:w="80" w:type="dxa"/>
            <w:vAlign w:val="bottom"/>
          </w:tcPr>
          <w:p>
            <w:pPr>
              <w:spacing w:after="0"/>
              <w:rPr>
                <w:sz w:val="11"/>
                <w:szCs w:val="11"/>
                <w:color w:val="auto"/>
              </w:rPr>
            </w:pPr>
          </w:p>
        </w:tc>
        <w:tc>
          <w:tcPr>
            <w:tcW w:w="134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88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i w:val="1"/>
                <w:iCs w:val="1"/>
                <w:color w:val="auto"/>
              </w:rPr>
              <w:t>% Change</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Active Free Subscribers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2,251,301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4,782,307</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(52.9)%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2,251,301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4,782,307</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(52.9)%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2,983,253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(24.5)%</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 Subscribers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645,259</w:t>
            </w:r>
          </w:p>
        </w:tc>
        <w:tc>
          <w:tcPr>
            <w:tcW w:w="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(39.0)%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645,259</w:t>
            </w:r>
          </w:p>
        </w:tc>
        <w:tc>
          <w:tcPr>
            <w:tcW w:w="8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(39.0)%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473,407</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(16.8)%</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ARPU</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5"/>
              </w:rPr>
              <w:t>3.9%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5"/>
              </w:rPr>
              <w:t>3.9%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13.1 %</w:t>
            </w:r>
          </w:p>
        </w:tc>
        <w:tc>
          <w:tcPr>
            <w:tcW w:w="0" w:type="dxa"/>
            <w:vAlign w:val="bottom"/>
          </w:tcPr>
          <w:p>
            <w:pPr>
              <w:spacing w:after="0"/>
              <w:rPr>
                <w:sz w:val="1"/>
                <w:szCs w:val="1"/>
                <w:color w:val="auto"/>
              </w:rPr>
            </w:pPr>
          </w:p>
        </w:tc>
      </w:tr>
      <w:tr>
        <w:trPr>
          <w:trHeight w:val="176"/>
        </w:trPr>
        <w:tc>
          <w:tcPr>
            <w:tcW w:w="2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New Marketing Billings (in</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5"/>
              </w:rPr>
              <w:t>7.6%</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(0.6)%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(18.9)%</w:t>
            </w:r>
          </w:p>
        </w:tc>
        <w:tc>
          <w:tcPr>
            <w:tcW w:w="0" w:type="dxa"/>
            <w:vAlign w:val="bottom"/>
          </w:tcPr>
          <w:p>
            <w:pPr>
              <w:spacing w:after="0"/>
              <w:rPr>
                <w:sz w:val="1"/>
                <w:szCs w:val="1"/>
                <w:color w:val="auto"/>
              </w:rPr>
            </w:pPr>
          </w:p>
        </w:tc>
      </w:tr>
      <w:tr>
        <w:trPr>
          <w:trHeight w:val="24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41,614</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38,676</w:t>
            </w:r>
          </w:p>
        </w:tc>
        <w:tc>
          <w:tcPr>
            <w:tcW w:w="8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92,933</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93,464</w:t>
            </w:r>
          </w:p>
        </w:tc>
        <w:tc>
          <w:tcPr>
            <w:tcW w:w="8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51,319</w:t>
            </w:r>
          </w:p>
        </w:tc>
        <w:tc>
          <w:tcPr>
            <w:tcW w:w="10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Renewal Billings (in</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(10.0)%</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(12.5)%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(16.0)%</w:t>
            </w:r>
          </w:p>
        </w:tc>
        <w:tc>
          <w:tcPr>
            <w:tcW w:w="0" w:type="dxa"/>
            <w:vAlign w:val="bottom"/>
          </w:tcPr>
          <w:p>
            <w:pPr>
              <w:spacing w:after="0"/>
              <w:rPr>
                <w:sz w:val="1"/>
                <w:szCs w:val="1"/>
                <w:color w:val="auto"/>
              </w:rPr>
            </w:pPr>
          </w:p>
        </w:tc>
      </w:tr>
      <w:tr>
        <w:trPr>
          <w:trHeight w:val="24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17,120</w:t>
            </w:r>
          </w:p>
        </w:tc>
        <w:tc>
          <w:tcPr>
            <w:tcW w:w="8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38,558</w:t>
            </w:r>
          </w:p>
        </w:tc>
        <w:tc>
          <w:tcPr>
            <w:tcW w:w="80" w:type="dxa"/>
            <w:vAlign w:val="bottom"/>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18,331</w:t>
            </w:r>
          </w:p>
        </w:tc>
        <w:tc>
          <w:tcPr>
            <w:tcW w:w="10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Billings (in thousands)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(34.0)%</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8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(28.7)%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45.8 %</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Billings (in thousands)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57,577</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5"/>
              </w:rPr>
              <w:t>1.1%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134,799</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(4.6)%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70,456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(17.4)%</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40"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Active Free Subscribers. </w:t>
      </w:r>
      <w:r>
        <w:rPr>
          <w:rFonts w:ascii="Times New Roman" w:cs="Times New Roman" w:eastAsia="Times New Roman" w:hAnsi="Times New Roman"/>
          <w:sz w:val="18"/>
          <w:szCs w:val="18"/>
          <w:color w:val="auto"/>
        </w:rPr>
        <w:t>Active Free Subscribers are defined as unique subscribers who have subscribed to one of our free investment publications via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valid email address and who have received and/or consumed our content during the quarter, excluding any Paid Subscribers who also have free subscriptions. Free subscriptions are often daily publications that include some commentary about the stock market, investing ideas, or other specialized topics. Included within our free publications are advertisements and editorial support for our current marketing campaigns. While subscribed to our publications, Active Free Subscribers learn about our editors and analysts, get to know our products and services, and learn more about ways we can help them be a better investor.</w:t>
      </w:r>
    </w:p>
    <w:p>
      <w:pPr>
        <w:spacing w:after="0" w:line="132"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color w:val="auto"/>
        </w:rPr>
        <w:t>Active Free Subscribers decreased by 2.5 million, or 52.9%, to 2.3 million, compared to 4.8 million as of June 30, 2024. The year over year decrease in Active Free Subscribers is a result of fewer free subscribers in total, a reduced number of free products available as we rationalize our offerings, and elevated churn associated with the shutdown of our Legacy Research business.</w:t>
      </w:r>
    </w:p>
    <w:p>
      <w:pPr>
        <w:spacing w:after="0" w:line="122" w:lineRule="exact"/>
        <w:rPr>
          <w:sz w:val="20"/>
          <w:szCs w:val="20"/>
          <w:color w:val="auto"/>
        </w:rPr>
      </w:pPr>
    </w:p>
    <w:p>
      <w:pPr>
        <w:ind w:left="340" w:right="160"/>
        <w:spacing w:after="0" w:line="282" w:lineRule="auto"/>
        <w:rPr>
          <w:sz w:val="20"/>
          <w:szCs w:val="20"/>
          <w:color w:val="auto"/>
        </w:rPr>
      </w:pPr>
      <w:r>
        <w:rPr>
          <w:rFonts w:ascii="Times New Roman" w:cs="Times New Roman" w:eastAsia="Times New Roman" w:hAnsi="Times New Roman"/>
          <w:sz w:val="18"/>
          <w:szCs w:val="18"/>
          <w:color w:val="auto"/>
        </w:rPr>
        <w:t>As of June 30, 2025, Active Free Subscribers decreased by 0.7 million, or 24.5% to 2.3 million, compared to 3.0 million as of March 31, 2025, as the sequential reduction was the result of an increase in focus on attracting new direct to paid subscribers in the quarter.</w:t>
      </w:r>
    </w:p>
    <w:p>
      <w:pPr>
        <w:spacing w:after="0" w:line="104" w:lineRule="exact"/>
        <w:rPr>
          <w:sz w:val="20"/>
          <w:szCs w:val="20"/>
          <w:color w:val="auto"/>
        </w:rPr>
      </w:pPr>
    </w:p>
    <w:p>
      <w:pPr>
        <w:ind w:left="34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Paid Subscribers. </w:t>
      </w:r>
      <w:r>
        <w:rPr>
          <w:rFonts w:ascii="Times New Roman" w:cs="Times New Roman" w:eastAsia="Times New Roman" w:hAnsi="Times New Roman"/>
          <w:sz w:val="18"/>
          <w:szCs w:val="18"/>
          <w:color w:val="auto"/>
        </w:rPr>
        <w:t>We define Paid Subscribers as the total number of unique subscribers with at least one paid subscription at the end of the period.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view the number of Paid Subscribers at the end of a given period as a key indicator of the attractiveness of our products and services, as well as the efficacy of our marketing in converting Free Subscribers to Paid Subscribers and generating direct-to-paid acquisitions. We grow our Paid Subscriber base through marketing directly to prospective and existing subscribers across a variety of media, channels, and platforms.</w:t>
      </w:r>
    </w:p>
    <w:p>
      <w:pPr>
        <w:spacing w:after="0" w:line="126" w:lineRule="exact"/>
        <w:rPr>
          <w:sz w:val="20"/>
          <w:szCs w:val="20"/>
          <w:color w:val="auto"/>
        </w:rPr>
      </w:pPr>
    </w:p>
    <w:p>
      <w:pPr>
        <w:ind w:left="340" w:right="80"/>
        <w:spacing w:after="0" w:line="261" w:lineRule="auto"/>
        <w:rPr>
          <w:sz w:val="20"/>
          <w:szCs w:val="20"/>
          <w:color w:val="auto"/>
        </w:rPr>
      </w:pPr>
      <w:r>
        <w:rPr>
          <w:rFonts w:ascii="Times New Roman" w:cs="Times New Roman" w:eastAsia="Times New Roman" w:hAnsi="Times New Roman"/>
          <w:sz w:val="18"/>
          <w:szCs w:val="18"/>
          <w:color w:val="auto"/>
        </w:rPr>
        <w:t>Total Paid Subscribers decreased by 251 thousand, or 39.0%, to 394 thousand as of June 30, 2025 as compared to 645 thousand at June 30, 2024, primarily related to lower customer acquisition as well as elevated churn associated with the shutdown of our Legacy Research business. Additionally, direct marketing spend decreased as we managed profitability given the aforementioned factors. The decrease was further compounded by the loss of approximately 20 thousand Paid Subscribers as part of the sale of the MMP Business in the fourth quarter of 2024.</w:t>
      </w:r>
    </w:p>
    <w:p>
      <w:pPr>
        <w:spacing w:after="0" w:line="126" w:lineRule="exact"/>
        <w:rPr>
          <w:sz w:val="20"/>
          <w:szCs w:val="20"/>
          <w:color w:val="auto"/>
        </w:rPr>
      </w:pPr>
    </w:p>
    <w:p>
      <w:pPr>
        <w:jc w:val="both"/>
        <w:ind w:left="340" w:right="140"/>
        <w:spacing w:after="0" w:line="266" w:lineRule="auto"/>
        <w:rPr>
          <w:sz w:val="20"/>
          <w:szCs w:val="20"/>
          <w:color w:val="auto"/>
        </w:rPr>
      </w:pPr>
      <w:r>
        <w:rPr>
          <w:rFonts w:ascii="Times New Roman" w:cs="Times New Roman" w:eastAsia="Times New Roman" w:hAnsi="Times New Roman"/>
          <w:sz w:val="18"/>
          <w:szCs w:val="18"/>
          <w:color w:val="auto"/>
        </w:rPr>
        <w:t>Total Paid Subscribers decreased by 80 thousand, or 16.8%, to 394 thousand as of June 30, 2025 as compared to 473 thousand as of March 31, 2025. The majority of the decrease related to the churn of previous subscribers within our Legacy Research business who were provided substitute products at the time of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closure. Excluding the churn related to the Legacy Research business closure, other churn was within normal range in the quarter.</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Subscriber count churn has ranged from approximately 2.4% to 3.3% per month between 2022 and 2024. Almost all of the subscribers who churned in second quarter 2025 did so having owned only one entry level publication. This is evidenced by the fact that their ARPU approximately matched the subscription price of our entry level publications. We believe our net revenue retention rate, which has averaged over 55% from 2022 to 2024, is a more meaningful gauge of subscriber satisfaction.</w:t>
      </w:r>
    </w:p>
    <w:p>
      <w:pPr>
        <w:spacing w:after="0" w:line="122" w:lineRule="exact"/>
        <w:rPr>
          <w:sz w:val="20"/>
          <w:szCs w:val="20"/>
          <w:color w:val="auto"/>
        </w:rPr>
      </w:pPr>
    </w:p>
    <w:p>
      <w:pPr>
        <w:jc w:val="both"/>
        <w:ind w:right="4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Average Revenue Per User. </w:t>
      </w:r>
      <w:r>
        <w:rPr>
          <w:rFonts w:ascii="Times New Roman" w:cs="Times New Roman" w:eastAsia="Times New Roman" w:hAnsi="Times New Roman"/>
          <w:sz w:val="17"/>
          <w:szCs w:val="17"/>
          <w:color w:val="auto"/>
        </w:rPr>
        <w:t>We calculate ARPU as the trailing four quarters of net Billings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divided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average number of quarterly total Paid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Subscribers over that period. We believe ARPU is a key indicator of how successful we are in attracting subscribers to higher-value content. We believe that our high ARPU is indicative of the trust we build with our subscribers and of the value they see in our products and services.</w:t>
      </w:r>
    </w:p>
    <w:p>
      <w:pPr>
        <w:spacing w:after="0" w:line="10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ARPU increased by $18, or 3.9%, to $474 as of June 30, 2025 as compared to $456 as of June 30, 2024. The year-over-year increase was driven by a 31% decrease in trailing four quarter Paid Subscribers, while trailing four quarter Billings only decreased by 28%. The decrease in trailing four quarter Paid Subscribers was driven by the winding down of our Legacy Research business. The decrease in trailing four quarter Billings was driven by reduced engagement and conversion of prospective and existing subscribers, as well as the winding down of our Legacy Research business during 2024.</w:t>
      </w:r>
    </w:p>
    <w:p>
      <w:pPr>
        <w:spacing w:after="0" w:line="1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ARPU increased by $55, or 13.1%, to $474 as of June 30, 2025 as compared to $419 as of March 31, 2025. The sequential increase was driven by an 11% decrease in trailing four-quarter average Paid Subscribers, while trailing four-quarter Billings were flat.</w:t>
      </w:r>
    </w:p>
    <w:p>
      <w:pPr>
        <w:spacing w:after="0" w:line="108"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7"/>
          <w:szCs w:val="17"/>
          <w:color w:val="auto"/>
        </w:rPr>
        <w:t>While they have declined somewhat recently, our ARPUs remain high relative to other subscription businesses, and we attribute this to the quality of our content and effective sales and marketing efforts regarding higher value content, bundled subscriptions and membership subscriptions. These subscriptions have compelling economics that allow us to recoup our initial marketing spend made to acquire these subscribers. Specifically, our payback period was estimated at 1.7 years for the years ended 2024 and 2023 and 1.6 year for the year ended 2022, respectively. Our payback period remains elevated primarily due to a combination of increased customer acquisition costs and lower conversion rates on higher value products.</w:t>
      </w:r>
    </w:p>
    <w:p>
      <w:pPr>
        <w:spacing w:after="0" w:line="1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Billings. </w:t>
      </w:r>
      <w:r>
        <w:rPr>
          <w:rFonts w:ascii="Times New Roman" w:cs="Times New Roman" w:eastAsia="Times New Roman" w:hAnsi="Times New Roman"/>
          <w:sz w:val="18"/>
          <w:szCs w:val="18"/>
          <w:color w:val="auto"/>
        </w:rPr>
        <w:t>Billings represent amounts invoiced to customers. We measure and monitor our Billings because it provides insight into trends in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generation from our marketing campaigns. We generally bill our subscribers at the time of sale and receive full cash payment up front and defer and recognize a portion of the related revenue ratably over time for term and membership subscriptions. For certain subscriptions, we may invoice our Paid Subscribers at the beginning of the term, in annual or monthly installments, and, from time to time, in multi-year installments. Only amounts invoiced to a Paid Subscriber in a given period are included in Billings. While we believe that Billings provides valuable insight into the cash that will be generated from sales of our subscriptions, this metric may vary from period to period for a number of reasons and, therefore, Billings has a number of limitations as a quarter-over-quarter or year-over-year comparative measure. These reasons include, but are not limited to, the following: (i) a variety of contractual terms could result in some periods having a higher proportion of annual or membership subscriptions than other periods; (ii) fluctuations in payment terms may affect the Billings recognized in a particular period; and (iii) the timing of large campaigns may vary significantly from period to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break down our Billings into three sub-categories: New Marketing Billings, Net Renewal Billings, and Other Billings.</w:t>
      </w:r>
    </w:p>
    <w:p>
      <w:pPr>
        <w:spacing w:after="0" w:line="17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New Marketing Billings are Billings from all new subscription sales. New Marketing Billings increased by $2.9 million, or 7.6%, to $41.6 million for second quarter 2025 as compared to $38.7 million for second quarter 2024. The increase was primarily driven by Billings from software services in second quarter 2025.</w:t>
      </w:r>
    </w:p>
    <w:p>
      <w:pPr>
        <w:spacing w:after="0" w:line="12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New Marketing Billings decreased by $9.7 million, or 18.9% to $41.6 million for second quarter 2025 as compared to $51.3 million in first quarter 2025. The decrease was primarily driven by highly successful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1440" w:right="359" w:bottom="1440" w:gutter="0" w:footer="0" w:header="0"/>
        </w:sectPr>
      </w:pPr>
    </w:p>
    <w:bookmarkStart w:id="37" w:name="page38"/>
    <w:bookmarkEnd w:id="37"/>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campaigns targeted at existing subscribers in first quarter 2025 as compared to moderately successful campaigns in second quarter 2025.</w:t>
      </w:r>
    </w:p>
    <w:p>
      <w:pPr>
        <w:spacing w:after="0" w:line="171" w:lineRule="exact"/>
        <w:rPr>
          <w:sz w:val="20"/>
          <w:szCs w:val="20"/>
          <w:color w:val="auto"/>
        </w:rPr>
      </w:pPr>
    </w:p>
    <w:p>
      <w:pPr>
        <w:ind w:left="340" w:right="60"/>
        <w:spacing w:after="0" w:line="261" w:lineRule="auto"/>
        <w:rPr>
          <w:sz w:val="20"/>
          <w:szCs w:val="20"/>
          <w:color w:val="auto"/>
        </w:rPr>
      </w:pPr>
      <w:r>
        <w:rPr>
          <w:rFonts w:ascii="Times New Roman" w:cs="Times New Roman" w:eastAsia="Times New Roman" w:hAnsi="Times New Roman"/>
          <w:sz w:val="18"/>
          <w:szCs w:val="18"/>
          <w:color w:val="auto"/>
        </w:rPr>
        <w:t>Net Renewal Billings are Billings from renewals and maintenance fee payments. Net Renewal Billings decreased by $1.7 million, or 10.0%, to $15.4 million for second quarter 2025 as compared to $17.1 million for second quarter 2024. This is primarily a function of a significant decrease (approximately 220 thousand) in average Paid Subscribers for the trailing twelve months ended June 30, 2025 versus the trailing twelve months ended June 30, 2024.</w:t>
      </w:r>
    </w:p>
    <w:p>
      <w:pPr>
        <w:spacing w:after="0" w:line="126" w:lineRule="exact"/>
        <w:rPr>
          <w:sz w:val="20"/>
          <w:szCs w:val="20"/>
          <w:color w:val="auto"/>
        </w:rPr>
      </w:pPr>
    </w:p>
    <w:p>
      <w:pPr>
        <w:ind w:left="340" w:right="80"/>
        <w:spacing w:after="0" w:line="266" w:lineRule="auto"/>
        <w:rPr>
          <w:sz w:val="20"/>
          <w:szCs w:val="20"/>
          <w:color w:val="auto"/>
        </w:rPr>
      </w:pPr>
      <w:r>
        <w:rPr>
          <w:rFonts w:ascii="Times New Roman" w:cs="Times New Roman" w:eastAsia="Times New Roman" w:hAnsi="Times New Roman"/>
          <w:sz w:val="18"/>
          <w:szCs w:val="18"/>
          <w:color w:val="auto"/>
        </w:rPr>
        <w:t>Net Renewal Billings decreased by $2.9 million, or 16.0%, to $15.4 million for second quarter 2025 as compared to $18.3 million for first quarter 2025. The decrease was driven by a smaller population of dollars available to renew in second quarter 2025 as compared to first quarter, driven by the timing of campaigns in previous periods.</w:t>
      </w:r>
    </w:p>
    <w:p>
      <w:pPr>
        <w:spacing w:after="0" w:line="122" w:lineRule="exact"/>
        <w:rPr>
          <w:sz w:val="20"/>
          <w:szCs w:val="20"/>
          <w:color w:val="auto"/>
        </w:rPr>
      </w:pPr>
    </w:p>
    <w:p>
      <w:pPr>
        <w:ind w:left="340" w:right="320"/>
        <w:spacing w:after="0" w:line="282" w:lineRule="auto"/>
        <w:rPr>
          <w:sz w:val="20"/>
          <w:szCs w:val="20"/>
          <w:color w:val="auto"/>
        </w:rPr>
      </w:pPr>
      <w:r>
        <w:rPr>
          <w:rFonts w:ascii="Times New Roman" w:cs="Times New Roman" w:eastAsia="Times New Roman" w:hAnsi="Times New Roman"/>
          <w:sz w:val="18"/>
          <w:szCs w:val="18"/>
          <w:color w:val="auto"/>
        </w:rPr>
        <w:t>Other Billings are Billings from revenue share, advertising and conferences. Other Billings decreased by $0.6 million, or 34.0% to $1.2 million for second quarter 2025 as compared to $1.8 million for second quarter 2024 as a result of reduced revenue share income and advertising.</w:t>
      </w:r>
    </w:p>
    <w:p>
      <w:pPr>
        <w:spacing w:after="0" w:line="10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Other Billings increased by $0.4 million or 45.8% to $1.2 million for second quarter 2025 as compared to $0.8 million for first quarter 2025, as a result of increasing revenue share activity with related parties.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Billings increased by $0.6 million, or 1.1%, to $58.2 million for the second quarter 2025 as compared to $57.6 million for second quarter 2024.</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Excluding Billings from our Legacy Research Group brands, which wound down operations in 2024, Billings increased by $5.5 million or 10.4%.</w:t>
      </w:r>
    </w:p>
    <w:p>
      <w:pPr>
        <w:spacing w:after="0" w:line="153" w:lineRule="exact"/>
        <w:rPr>
          <w:sz w:val="20"/>
          <w:szCs w:val="20"/>
          <w:color w:val="auto"/>
        </w:rPr>
      </w:pPr>
    </w:p>
    <w:p>
      <w:pPr>
        <w:ind w:left="340" w:right="100"/>
        <w:spacing w:after="0" w:line="261" w:lineRule="auto"/>
        <w:rPr>
          <w:sz w:val="20"/>
          <w:szCs w:val="20"/>
          <w:color w:val="auto"/>
        </w:rPr>
      </w:pPr>
      <w:r>
        <w:rPr>
          <w:rFonts w:ascii="Times New Roman" w:cs="Times New Roman" w:eastAsia="Times New Roman" w:hAnsi="Times New Roman"/>
          <w:sz w:val="18"/>
          <w:szCs w:val="18"/>
          <w:color w:val="auto"/>
        </w:rPr>
        <w:t>Total Billings decreased by $12.3 million, or 17.4%, to $58.2 million for second quarter 2025 as compared to $70.5 million for first quarter 2025. The decrease was primarily driven by highly successful campaigns targeted at existing subscribers in first quarter 2025 as compared to moderately successful campaigns in second quarter 2025. In addition, there was a smaller population of renewal dollars available in second quarter versus first quarter.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MarketWise’s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generate net revenue primarily from services provided in delivering term and membership subscription-based financial research, publications, and SaaS offerings to individual subscribers through our online platforms, advertising arrangements, print products, events, and revenue share agreements.</w:t>
      </w:r>
    </w:p>
    <w:p>
      <w:pPr>
        <w:spacing w:after="0" w:line="108"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We earn net revenue from the sale of advertising placements on our websites and from the sale of print products and events. We also recognize net revenue through revenue share agreements where we earn a commission for successful sales by other parties generated through the use of our customer list.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Compensation Costs</w:t>
      </w:r>
    </w:p>
    <w:p>
      <w:pPr>
        <w:spacing w:after="0" w:line="175"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Employee compensation costs, or payroll and payroll-related costs, include salaries, bonuses, benefits, and stock-based compensation for employees classified within cost of revenue, sales and marketing, and general and administrative, and also includes sales commissions for sales and marketing employees. Stock-based compensation includes amounts related to our 2021 Incentive Award Plan, our ESPP, and profits interests.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Cost of revenue consists primarily of employee compensation costs associated with producing and publishing our content, hosting fees, customer service, credit card processing fees, product costs, and allocated overhead. Cost of revenue is exclusive of depreciation and amortization, which is shown as a separate line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Sales and marketing expenses consist primarily of employee compensation costs, amortization of deferred contract acquisition costs, agency costs, advertising campaigns, and branding initiatives. Sales and marketing expenses are exclusive of depreciation and amortization shown as a separate line item.</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General and administrative expenses consist primarily of employee compensation costs associated with our finance, legal, information technology, human resources, executive, and administrative personnel, legal fees, corporate insurance, office expenses, professional fees, and travel and entertainment costs.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 compensation costs, technical services, software expenses, and hosting expenses associated with maintaining and enhancing the functionality of our platforms, including our software and analytical tools. Research and development expenses are exclusive of depreciation and amortization shown as a separate line item.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consist of amortization of trade names, customer relationship intangibles, and software development costs, as well as depreciation on other property and equipment such as leasehold improvements, furniture and fixtures, and computer equipment.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losses relate to impairment of leasehold improvements.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Expense</w:t>
      </w:r>
    </w:p>
    <w:p>
      <w:pPr>
        <w:spacing w:after="0" w:line="17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Related party expenses primarily consist of Board of Director compensation, revenue share expenses and expenses for certain corporate functions performed by a related party for certain historic periods.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primarily consists of the net gains or losses on our embedded derivative instruments.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Income,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income, net primarily consists of interest income from our money market accounts.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June 30, 2025, MarketWise, Inc.’s controlling interest in MarketWise, LLC was 14.8% and the noncontrolling interest was 85.2%. For the three and six months ended June 30, 2025 net income attributable to controlling interests included a $0.6 million tax provision and a $1.7 million tax provision, respectively, which is 100% attributable to the controlling interest.</w:t>
      </w:r>
    </w:p>
    <w:p>
      <w:pPr>
        <w:spacing w:after="0" w:line="12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June 30, 2024, MarketWise, Inc.’s controlling interest in MarketWise, LLC was 12.1% and the noncontrolling interest was 87.9%. For the three and six months ended June 30, 2024, net income attributable to controlling interests included a $0.8 million tax provision and a $1.5 million tax provision, respectively, both of which were solely attributable to the 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6"/>
                <w:szCs w:val="16"/>
                <w:color w:val="auto"/>
              </w:rPr>
            </w:pPr>
          </w:p>
        </w:tc>
        <w:tc>
          <w:tcPr>
            <w:tcW w:w="26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48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5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104,174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162,323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212,786</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Related party revenue</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w:t>
            </w:r>
          </w:p>
        </w:tc>
      </w:tr>
      <w:tr>
        <w:trPr>
          <w:trHeight w:val="223"/>
        </w:trPr>
        <w:tc>
          <w:tcPr>
            <w:tcW w:w="5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revenue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105,046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163,457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214,037</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5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26,747</w:t>
            </w:r>
          </w:p>
        </w:tc>
      </w:tr>
      <w:tr>
        <w:trPr>
          <w:trHeight w:val="229"/>
        </w:trPr>
        <w:tc>
          <w:tcPr>
            <w:tcW w:w="55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90,019</w:t>
            </w:r>
          </w:p>
        </w:tc>
      </w:tr>
      <w:tr>
        <w:trPr>
          <w:trHeight w:val="230"/>
        </w:trPr>
        <w:tc>
          <w:tcPr>
            <w:tcW w:w="55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48,316</w:t>
            </w:r>
          </w:p>
        </w:tc>
      </w:tr>
      <w:tr>
        <w:trPr>
          <w:trHeight w:val="229"/>
        </w:trPr>
        <w:tc>
          <w:tcPr>
            <w:tcW w:w="55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w:t>
            </w:r>
          </w:p>
        </w:tc>
      </w:tr>
      <w:tr>
        <w:trPr>
          <w:trHeight w:val="229"/>
        </w:trPr>
        <w:tc>
          <w:tcPr>
            <w:tcW w:w="5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r>
      <w:tr>
        <w:trPr>
          <w:trHeight w:val="230"/>
        </w:trPr>
        <w:tc>
          <w:tcPr>
            <w:tcW w:w="5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party expense</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23"/>
        </w:trPr>
        <w:tc>
          <w:tcPr>
            <w:tcW w:w="5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83,712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131,866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171,148</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42,889</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45,466</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43,952</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40,751</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MarketWise, Inc.</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w:t>
            </w:r>
          </w:p>
        </w:tc>
      </w:tr>
      <w:tr>
        <w:trPr>
          <w:trHeight w:val="20"/>
        </w:trPr>
        <w:tc>
          <w:tcPr>
            <w:tcW w:w="5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of revenue, sales and marketing, general and administrative, and research and development expenses are exclusive of depreciation and amortization shown as a separate line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expressed as a percentage of net revenue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960" w:type="dxa"/>
            <w:vAlign w:val="bottom"/>
            <w:gridSpan w:val="3"/>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52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30"/>
        </w:trPr>
        <w:tc>
          <w:tcPr>
            <w:tcW w:w="52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42.1 %</w:t>
            </w:r>
          </w:p>
        </w:tc>
      </w:tr>
      <w:tr>
        <w:trPr>
          <w:trHeight w:val="229"/>
        </w:trPr>
        <w:tc>
          <w:tcPr>
            <w:tcW w:w="52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r>
      <w:tr>
        <w:trPr>
          <w:trHeight w:val="229"/>
        </w:trPr>
        <w:tc>
          <w:tcPr>
            <w:tcW w:w="52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0"/>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29"/>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party expense</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23"/>
        </w:trPr>
        <w:tc>
          <w:tcPr>
            <w:tcW w:w="5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79.7 %</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80.7 %</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80.0 %</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21.2 %</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20.5 %</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MarketWise, Inc.</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0"/>
        </w:trPr>
        <w:tc>
          <w:tcPr>
            <w:tcW w:w="5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of revenue, sales and marketing, general and administrative, and research and development expenses are exclusive of depreciation and amortization shown as a separate line item.</w:t>
      </w:r>
    </w:p>
    <w:p>
      <w:pPr>
        <w:spacing w:after="0" w:line="200" w:lineRule="exact"/>
        <w:rPr>
          <w:sz w:val="20"/>
          <w:szCs w:val="20"/>
          <w:color w:val="auto"/>
        </w:rPr>
      </w:pPr>
    </w:p>
    <w:p>
      <w:pPr>
        <w:spacing w:after="0" w:line="368" w:lineRule="exact"/>
        <w:rPr>
          <w:sz w:val="20"/>
          <w:szCs w:val="20"/>
          <w:color w:val="auto"/>
        </w:rPr>
      </w:pPr>
    </w:p>
    <w:p>
      <w:pPr>
        <w:ind w:right="4220"/>
        <w:spacing w:after="0" w:line="467" w:lineRule="auto"/>
        <w:rPr>
          <w:sz w:val="20"/>
          <w:szCs w:val="20"/>
          <w:color w:val="auto"/>
        </w:rPr>
      </w:pPr>
      <w:r>
        <w:rPr>
          <w:rFonts w:ascii="Times New Roman" w:cs="Times New Roman" w:eastAsia="Times New Roman" w:hAnsi="Times New Roman"/>
          <w:sz w:val="18"/>
          <w:szCs w:val="18"/>
          <w:b w:val="1"/>
          <w:bCs w:val="1"/>
          <w:color w:val="auto"/>
        </w:rPr>
        <w:t xml:space="preserve">Comparison of Three Months Ended June 30, 2025 and Three Months Ended June 30, 2024 </w:t>
      </w:r>
      <w:r>
        <w:rPr>
          <w:rFonts w:ascii="Times New Roman" w:cs="Times New Roman" w:eastAsia="Times New Roman" w:hAnsi="Times New Roman"/>
          <w:sz w:val="18"/>
          <w:szCs w:val="18"/>
          <w:b w:val="1"/>
          <w:bCs w:val="1"/>
          <w:i w:val="1"/>
          <w:iCs w:val="1"/>
          <w:color w:val="auto"/>
        </w:rPr>
        <w:t>Net Revenue</w:t>
      </w:r>
    </w:p>
    <w:tbl>
      <w:tblPr>
        <w:tblLayout w:type="fixed"/>
        <w:tblInd w:w="0" w:type="dxa"/>
        <w:tblCellMar>
          <w:top w:w="0" w:type="dxa"/>
          <w:left w:w="0" w:type="dxa"/>
          <w:bottom w:w="0" w:type="dxa"/>
          <w:right w:w="0" w:type="dxa"/>
        </w:tblCellMar>
      </w:tblPr>
      <w:tr>
        <w:trPr>
          <w:trHeight w:val="192"/>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9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020" w:type="dxa"/>
            <w:vAlign w:val="bottom"/>
          </w:tcPr>
          <w:p>
            <w:pPr>
              <w:spacing w:after="0"/>
              <w:rPr>
                <w:sz w:val="16"/>
                <w:szCs w:val="16"/>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860" w:type="dxa"/>
            <w:vAlign w:val="bottom"/>
            <w:tcBorders>
              <w:top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79,950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105,046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(25,096)</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decrease in net revenue was primarily driven by a $17.8 million decrease in term subscription revenue and a $6.7 million decrease in membership subscription revenue.</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Term subscription revenue decreased during the three months ended June 30, 2025 primarily due to the wind down of Legacy Research, which contributed $11.5 million to the overall term subscription revenue decrease.</w:t>
      </w:r>
    </w:p>
    <w:p>
      <w:pPr>
        <w:spacing w:after="0" w:line="10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Membership revenue decreased during the three months ended June 30, 2025 primarily due to Legacy Research, which contributed $8.2 million to the overall membership subscription revenue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6"/>
                <w:szCs w:val="16"/>
                <w:color w:val="auto"/>
              </w:rPr>
            </w:pPr>
          </w:p>
        </w:tc>
        <w:tc>
          <w:tcPr>
            <w:tcW w:w="27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10,950</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13,379</w:t>
            </w:r>
          </w:p>
        </w:tc>
        <w:tc>
          <w:tcPr>
            <w:tcW w:w="12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(11,096)</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57"/>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56"/>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party expenses</w:t>
            </w: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65,139</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83,712</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(18,573)</w:t>
            </w:r>
          </w:p>
        </w:tc>
        <w:tc>
          <w:tcPr>
            <w:tcW w:w="120" w:type="dxa"/>
            <w:vAlign w:val="bottom"/>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Cost of revenue decreased primarily driven by a $1.6 million decrease in freelance editorial expenses and a $0.9 million decrease in incentive compensation. This was partially offset by a $0.4 million increase in stock-based compensation expense and a $0.3 million increase in salaries, taxes and benefits.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Sales and marketing expense decreased primarily driven by a $10.5 million decrease in amortization of deferred contract acquisition costs, a $1.7 million decrease in salaries due to a reduction in workforce. This was partially offset by a $0.6 million increase in marketing expense and a 0.3 million increase in stock-based compensation expense.</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decreased primarily driven by a $1.2 million decrease in salaries, taxes and benefits expense due to a reduction in workforce, a $1.7 million decrease in professional fees, a $1.0 million decrease in incentive compensation, and a $0.4 million decrease in severance expense. This was partially offset by a $0.8 increase in stock-based compensation expense.</w:t>
      </w:r>
    </w:p>
    <w:p>
      <w:pPr>
        <w:spacing w:after="0" w:line="118" w:lineRule="exact"/>
        <w:rPr>
          <w:sz w:val="20"/>
          <w:szCs w:val="20"/>
          <w:color w:val="auto"/>
        </w:rPr>
      </w:pPr>
    </w:p>
    <w:p>
      <w:pPr>
        <w:ind w:right="4640"/>
        <w:spacing w:after="0" w:line="467" w:lineRule="auto"/>
        <w:rPr>
          <w:sz w:val="20"/>
          <w:szCs w:val="20"/>
          <w:color w:val="auto"/>
        </w:rPr>
      </w:pPr>
      <w:r>
        <w:rPr>
          <w:rFonts w:ascii="Times New Roman" w:cs="Times New Roman" w:eastAsia="Times New Roman" w:hAnsi="Times New Roman"/>
          <w:sz w:val="18"/>
          <w:szCs w:val="18"/>
          <w:b w:val="1"/>
          <w:bCs w:val="1"/>
          <w:color w:val="auto"/>
        </w:rPr>
        <w:t xml:space="preserve">Comparison of Six Months Ended June 30, 2025 and Six Months Ended June 30, 2024 </w:t>
      </w:r>
      <w:r>
        <w:rPr>
          <w:rFonts w:ascii="Times New Roman" w:cs="Times New Roman" w:eastAsia="Times New Roman" w:hAnsi="Times New Roman"/>
          <w:sz w:val="18"/>
          <w:szCs w:val="18"/>
          <w:b w:val="1"/>
          <w:bCs w:val="1"/>
          <w:i w:val="1"/>
          <w:iCs w:val="1"/>
          <w:color w:val="auto"/>
        </w:rPr>
        <w:t>Net Revenue</w:t>
      </w:r>
    </w:p>
    <w:tbl>
      <w:tblPr>
        <w:tblLayout w:type="fixed"/>
        <w:tblInd w:w="0" w:type="dxa"/>
        <w:tblCellMar>
          <w:top w:w="0" w:type="dxa"/>
          <w:left w:w="0" w:type="dxa"/>
          <w:bottom w:w="0" w:type="dxa"/>
          <w:right w:w="0" w:type="dxa"/>
        </w:tblCellMar>
      </w:tblPr>
      <w:tr>
        <w:trPr>
          <w:trHeight w:val="192"/>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6"/>
                <w:szCs w:val="16"/>
                <w:color w:val="auto"/>
              </w:rPr>
            </w:pPr>
          </w:p>
        </w:tc>
        <w:tc>
          <w:tcPr>
            <w:tcW w:w="2640" w:type="dxa"/>
            <w:vAlign w:val="bottom"/>
            <w:gridSpan w:val="4"/>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163,457</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214,037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decrease in net revenue was primarily driven by a $35.4 million decrease in term subscription revenue, a $14.4 million decrease in membership subscription revenue and a $0.7 million decrease in non-subscription revenue.</w:t>
      </w:r>
    </w:p>
    <w:p>
      <w:pPr>
        <w:spacing w:after="0" w:line="108" w:lineRule="exact"/>
        <w:rPr>
          <w:sz w:val="20"/>
          <w:szCs w:val="20"/>
          <w:color w:val="auto"/>
        </w:rPr>
      </w:pPr>
    </w:p>
    <w:p>
      <w:pPr>
        <w:jc w:val="both"/>
        <w:ind w:right="160"/>
        <w:spacing w:after="0" w:line="289" w:lineRule="auto"/>
        <w:rPr>
          <w:sz w:val="20"/>
          <w:szCs w:val="20"/>
          <w:color w:val="auto"/>
        </w:rPr>
      </w:pPr>
      <w:r>
        <w:rPr>
          <w:rFonts w:ascii="Times New Roman" w:cs="Times New Roman" w:eastAsia="Times New Roman" w:hAnsi="Times New Roman"/>
          <w:sz w:val="17"/>
          <w:szCs w:val="17"/>
          <w:color w:val="auto"/>
        </w:rPr>
        <w:t>Term subscription revenue decreased during the six months ended June 30, 2025 primarily due to the wind down of Legacy Research, which contributed $23.1 million to the overall term subscription revenue decrease. Term subscription revenue also decreased during the six months ended June 30, 2025 due to lower billings as compared to the 2024 period which was driven by reduced engagement of prospective and existing subscribers in the 2025 period.</w:t>
      </w:r>
    </w:p>
    <w:p>
      <w:pPr>
        <w:spacing w:after="0" w:line="10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Membership revenue decreased during the six months ended June 30, 2025 primarily due to Legacy Research, which contributed $15.5 million to the overall membership subscription revenue decrease. Membership subscription revenue also decreased during the six months ended June 30, 2025 primarily driven by lower billings as compared to the 2024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6"/>
                <w:szCs w:val="16"/>
                <w:color w:val="auto"/>
              </w:rPr>
            </w:pPr>
          </w:p>
        </w:tc>
        <w:tc>
          <w:tcPr>
            <w:tcW w:w="27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22,885</w:t>
            </w:r>
          </w:p>
        </w:tc>
        <w:tc>
          <w:tcPr>
            <w:tcW w:w="12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26,747</w:t>
            </w:r>
          </w:p>
        </w:tc>
        <w:tc>
          <w:tcPr>
            <w:tcW w:w="12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90,019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(24,315)</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57"/>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(11,244)</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56"/>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57"/>
        </w:trPr>
        <w:tc>
          <w:tcPr>
            <w:tcW w:w="5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Related party expenses</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131,866</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171,148</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(39,282)</w:t>
            </w:r>
          </w:p>
        </w:tc>
        <w:tc>
          <w:tcPr>
            <w:tcW w:w="120" w:type="dxa"/>
            <w:vAlign w:val="bottom"/>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Cost of revenue decreased primarily driven by a $3.1 million decrease in freelance editorial expenses, a $1.0 million decrease in incentive compensation, a $0.7 million decrease in credit card fees, and a $0.5 million decrease in outside labor. This was partially offset by a $1.0 increase in stock-based compensation expense and a $0.5 million increase in salaries, taxes, and benefits.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Sales and marketing expense decreased primarily driven by a $20.7 million decrease in amortization of deferred contract acquisition costs, and $2.8 million decrease in salaries, taxes and benefits primarily due to reductions in workforce in 2024.</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decreased driven by a $1.6 million decrease due to the Legacy lease termination, $1.5 million decrease in salaries, taxes, and benefits, $1.4 million decrease due to the change in fair value of contingent consideration related to brands sold during 2024, and a $0.7 million decrease in severance expense, both due to reductions in workforce in 2024, and a $0.7 decrease in stock-based compensation expense, a $0.6 million decrease in software expense, a $0.5 million decrease in outside labor, and a $0.5 million decrease in incentive compensation.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that the below non-GAAP financial measures are useful in evaluating our operating performance. We use the below non-GAAP financial measures, collectively, to evaluate our ongoing operations and for internal planning and forecasting purposes. We believe that non-GAAP financial information, when taken collectively, may be helpful to investors because it provides consistency and comparability with past financial performance. This non-GAAP financial information is presented for supplemental informational purposes only and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stated in accordance with GAAP. Investors are encouraged to review the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financial measures and the reconciliations of these non-GAAP financial measures to their most directly comparable GAAP financial measures.</w:t>
      </w:r>
    </w:p>
    <w:p>
      <w:pPr>
        <w:spacing w:after="0" w:line="17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the first quarter, we introduced two additional non-GAAP financial measures: Free Cash Flow and EBITDA. These new non-GAAP financial measures are intended to provide investors with additional information regarding our liquidity and operating performance, and they are commonly used within our industry.</w:t>
      </w:r>
    </w:p>
    <w:p>
      <w:pPr>
        <w:spacing w:after="0" w:line="12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These new non-GAAP measures are provided in addition to, and not as a substitute for or superior to, our existing non-GAAP financial measures, which we will continue to present.</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Management uses these non-GAAP measures internally to evaluate performance and make operating decisions, and we believe they provide a meaningful perspective to investors when used in conjunction with our GAAP results.</w:t>
      </w:r>
    </w:p>
    <w:p>
      <w:pPr>
        <w:spacing w:after="0" w:line="108"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These non-GAAP measures have limitations as analytical tools, and should not be considered in isolation or as substitutes for analysis of other GAAP financial measures, such as cash flow from operations, operating cash flow margin, and net income. Some of the limitations of using these non-GAAP measures are that these metrics may be calculated differently by other companies in our industry.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6"/>
                <w:szCs w:val="16"/>
                <w:color w:val="auto"/>
              </w:rPr>
            </w:pPr>
          </w:p>
        </w:tc>
        <w:tc>
          <w:tcPr>
            <w:tcW w:w="2600" w:type="dxa"/>
            <w:vAlign w:val="bottom"/>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0" w:type="dxa"/>
            <w:vAlign w:val="bottom"/>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CFFO</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17,842</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(570.1)%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19,575</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(22,306)</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(187.8)%</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CFFO Margin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17,503</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(4,291)</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(507.9)%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19,014</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(23,054)</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(182.5)%</w:t>
            </w:r>
          </w:p>
        </w:tc>
        <w:tc>
          <w:tcPr>
            <w:tcW w:w="0" w:type="dxa"/>
            <w:vAlign w:val="bottom"/>
          </w:tcPr>
          <w:p>
            <w:pPr>
              <w:spacing w:after="0"/>
              <w:rPr>
                <w:sz w:val="1"/>
                <w:szCs w:val="1"/>
                <w:color w:val="auto"/>
              </w:rPr>
            </w:pPr>
          </w:p>
        </w:tc>
      </w:tr>
      <w:tr>
        <w:trPr>
          <w:trHeight w:val="256"/>
        </w:trPr>
        <w:tc>
          <w:tcPr>
            <w:tcW w:w="3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15,654</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21,347</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(26.7)%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33,123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43,829</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(24.4)%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CFFO / Adjusted CFFO Margin</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believe that Adjusted CFFO and Adjusted CFFO Margin are useful indicators that provide information to management and investors about our ability to generate cash, and for internal planning and forecasting purposes.</w:t>
      </w:r>
    </w:p>
    <w:p>
      <w:pPr>
        <w:spacing w:after="0" w:line="10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expect Adjusted CFFO and Adjusted CFFO Margin to fluctuate in future periods as we invest in our business to execute our growth strategy. These activities, along with any non-recurring items as described above, may result in fluctuations in Adjusted CFFO and Adjusted CFFO Margin in future periods.</w:t>
      </w:r>
    </w:p>
    <w:p>
      <w:pPr>
        <w:spacing w:after="0" w:line="12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cash provided by operating activities, the most directly comparable financial measure calculated in accordance with GAAP, to Adjusted CFFO for each of the periods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6"/>
                <w:szCs w:val="16"/>
                <w:color w:val="auto"/>
              </w:rPr>
            </w:pPr>
          </w:p>
        </w:tc>
        <w:tc>
          <w:tcPr>
            <w:tcW w:w="2440" w:type="dxa"/>
            <w:vAlign w:val="bottom"/>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3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50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Net cash provided by (used in) operating</w:t>
            </w:r>
          </w:p>
        </w:tc>
        <w:tc>
          <w:tcPr>
            <w:tcW w:w="2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1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(570.1)%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(22,306)</w:t>
            </w:r>
          </w:p>
        </w:tc>
        <w:tc>
          <w:tcPr>
            <w:tcW w:w="11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(187.8)%</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Non-recurring expenses</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2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CFFO</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1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(22,306)</w:t>
            </w:r>
          </w:p>
        </w:tc>
        <w:tc>
          <w:tcPr>
            <w:tcW w:w="11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200" w:lineRule="exact"/>
        <w:rPr>
          <w:sz w:val="20"/>
          <w:szCs w:val="20"/>
          <w:color w:val="auto"/>
        </w:rPr>
      </w:pPr>
    </w:p>
    <w:p>
      <w:pPr>
        <w:spacing w:after="0" w:line="34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calculation of net cash provided by operating activities as a percentage of total net revenue, the most directly comparable financial measure in accordance with GAAP, and Adjusted CFFO Margin for each of the periods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6"/>
                <w:szCs w:val="16"/>
                <w:color w:val="auto"/>
              </w:rPr>
            </w:pPr>
          </w:p>
        </w:tc>
        <w:tc>
          <w:tcPr>
            <w:tcW w:w="26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3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4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Net cash provided by (used in) operating</w:t>
            </w:r>
          </w:p>
        </w:tc>
        <w:tc>
          <w:tcPr>
            <w:tcW w:w="3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17,842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(3,795)</w:t>
            </w:r>
          </w:p>
        </w:tc>
        <w:tc>
          <w:tcPr>
            <w:tcW w:w="10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(570.1)%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19,575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(22,306)</w:t>
            </w:r>
          </w:p>
        </w:tc>
        <w:tc>
          <w:tcPr>
            <w:tcW w:w="10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(187.8)%</w:t>
            </w:r>
          </w:p>
        </w:tc>
        <w:tc>
          <w:tcPr>
            <w:tcW w:w="0" w:type="dxa"/>
            <w:vAlign w:val="bottom"/>
          </w:tcPr>
          <w:p>
            <w:pPr>
              <w:spacing w:after="0"/>
              <w:rPr>
                <w:sz w:val="1"/>
                <w:szCs w:val="1"/>
                <w:color w:val="auto"/>
              </w:rPr>
            </w:pPr>
          </w:p>
        </w:tc>
      </w:tr>
      <w:tr>
        <w:trPr>
          <w:trHeight w:val="229"/>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79,950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105,046</w:t>
            </w:r>
          </w:p>
        </w:tc>
        <w:tc>
          <w:tcPr>
            <w:tcW w:w="104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163,457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214,037</w:t>
            </w:r>
          </w:p>
        </w:tc>
        <w:tc>
          <w:tcPr>
            <w:tcW w:w="102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(23.6)%</w:t>
            </w:r>
          </w:p>
        </w:tc>
        <w:tc>
          <w:tcPr>
            <w:tcW w:w="0" w:type="dxa"/>
            <w:vAlign w:val="bottom"/>
          </w:tcPr>
          <w:p>
            <w:pPr>
              <w:spacing w:after="0"/>
              <w:rPr>
                <w:sz w:val="1"/>
                <w:szCs w:val="1"/>
                <w:color w:val="auto"/>
              </w:rPr>
            </w:pPr>
          </w:p>
        </w:tc>
      </w:tr>
      <w:tr>
        <w:trPr>
          <w:trHeight w:val="156"/>
        </w:trPr>
        <w:tc>
          <w:tcPr>
            <w:tcW w:w="31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cash provided by (used in) operating</w:t>
            </w: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 margin</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CFFO</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17,842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(3,795)</w:t>
            </w:r>
          </w:p>
        </w:tc>
        <w:tc>
          <w:tcPr>
            <w:tcW w:w="10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(570.1)%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19,575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(22,306)</w:t>
            </w:r>
          </w:p>
        </w:tc>
        <w:tc>
          <w:tcPr>
            <w:tcW w:w="10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(187.8)%</w:t>
            </w:r>
          </w:p>
        </w:tc>
        <w:tc>
          <w:tcPr>
            <w:tcW w:w="0" w:type="dxa"/>
            <w:vAlign w:val="bottom"/>
          </w:tcPr>
          <w:p>
            <w:pPr>
              <w:spacing w:after="0"/>
              <w:rPr>
                <w:sz w:val="1"/>
                <w:szCs w:val="1"/>
                <w:color w:val="auto"/>
              </w:rPr>
            </w:pPr>
          </w:p>
        </w:tc>
      </w:tr>
      <w:tr>
        <w:trPr>
          <w:trHeight w:val="230"/>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Billings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58,192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57,577</w:t>
            </w:r>
          </w:p>
        </w:tc>
        <w:tc>
          <w:tcPr>
            <w:tcW w:w="104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128,648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134,799</w:t>
            </w:r>
          </w:p>
        </w:tc>
        <w:tc>
          <w:tcPr>
            <w:tcW w:w="102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8"/>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CFFO Margin</w:t>
            </w: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CFFO and Adjusted CFFO for the six months ended June 30, 2025 was primarily due to net income of $32.2 million, adjusted for net non-cash items which increased cash by $8.0 million. This was partially offset by net changes in our operating assets and liabilities which reduced cash by $20.5 million, including incentive compensation payouts.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define Free Cash Flow as net cash provided by (used in) operating activities less capital expenditures. We define capital expenditures as purchases of property and equipment plus capitalized software development costs. Acquisitions are not included in capital expenditures.</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believe Free Cash Flow is a useful indicator that provides information to management and investors about the cash generated by the business that is available for discretionary purposes, such as dividends and strategic investments.</w:t>
      </w:r>
    </w:p>
    <w:p>
      <w:pPr>
        <w:spacing w:after="0" w:line="10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cash provided by operating activities, the most directly comparable financial measure calculated in accordance with GAAP, to Free Cash Flow for each of the periods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6"/>
                <w:szCs w:val="16"/>
                <w:color w:val="auto"/>
              </w:rPr>
            </w:pPr>
          </w:p>
        </w:tc>
        <w:tc>
          <w:tcPr>
            <w:tcW w:w="250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3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46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Net cash provided by (used in) operating</w:t>
            </w:r>
          </w:p>
        </w:tc>
        <w:tc>
          <w:tcPr>
            <w:tcW w:w="2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17,842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(3,795)</w:t>
            </w: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(570.1)%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(22,306)</w:t>
            </w:r>
          </w:p>
        </w:tc>
        <w:tc>
          <w:tcPr>
            <w:tcW w:w="10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(187.8)%</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8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6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48"/>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0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(23,054)</w:t>
            </w:r>
          </w:p>
        </w:tc>
        <w:tc>
          <w:tcPr>
            <w:tcW w:w="10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(182.5)%</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define EBITDA as net income before interest income (expense), income taxes, depreciation, and amortization. We believe EBITDA provides a useful supplemental measure of operating performance and is helpful to investors in evaluating our GAAP results.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net income, the most directly comparable financial measure calculated in accordance with GAAP,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for each of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6"/>
                <w:szCs w:val="16"/>
                <w:color w:val="auto"/>
              </w:rPr>
            </w:pPr>
          </w:p>
        </w:tc>
        <w:tc>
          <w:tcPr>
            <w:tcW w:w="248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3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3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20" w:type="dxa"/>
            <w:vAlign w:val="bottom"/>
          </w:tcPr>
          <w:p>
            <w:pPr>
              <w:spacing w:after="0"/>
              <w:rPr>
                <w:sz w:val="18"/>
                <w:szCs w:val="18"/>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3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(27.9)%</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(26.8)%</w:t>
            </w:r>
          </w:p>
        </w:tc>
      </w:tr>
      <w:tr>
        <w:trPr>
          <w:trHeight w:val="22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(42.7)%</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1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(43.0)%</w:t>
            </w: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1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(21.3)%</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1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5"/>
              </w:rPr>
              <w:t>9.0%</w:t>
            </w:r>
          </w:p>
        </w:tc>
      </w:tr>
      <w:tr>
        <w:trPr>
          <w:trHeight w:val="230"/>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10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(25.3)%</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18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(24.3)%</w:t>
            </w:r>
          </w:p>
        </w:tc>
      </w:tr>
      <w:tr>
        <w:trPr>
          <w:trHeight w:val="248"/>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21,347</w:t>
            </w:r>
          </w:p>
        </w:tc>
        <w:tc>
          <w:tcPr>
            <w:tcW w:w="11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(26.7)%</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43,829</w:t>
            </w:r>
          </w:p>
        </w:tc>
        <w:tc>
          <w:tcPr>
            <w:tcW w:w="11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(24.4)%</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75"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A substantial portion of our cash on hand is the result of the nature of our subscription business. We receive cash up front from our sales of annual, multi-year, and membership subscriptions. For tax and GAAP purposes, however, this revenue is deferred and recognized over the term of the subscription, or in the case of membership subscriptions, over four years for tax and five years for GAAP. Tax distributions are made to MarketWise Members to satisfy their tax obligations when revenue is recognized for tax purposes, not when cash is received. The timing difference between when cash is received and when tax distributions are made results in an accumulation of cash on our balance sheet.</w:t>
      </w:r>
    </w:p>
    <w:p>
      <w:pPr>
        <w:spacing w:after="0" w:line="1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refer to this accumulation of cash as our “float” which we view as a valuable resource that we may invest or use to expand our operations. We expect that as we grow our business, the amount of our float will increase. The Company estimates that the amount of float was approximately $87.8 million and $119.7 million as of June 30, 2025 and December 31, 2024, respectively. As part of the Company's broader capital allocation strategy, our consolidated cash balance may from time to time decline below our estimate of the long term float requirement.</w:t>
      </w:r>
    </w:p>
    <w:p>
      <w:pPr>
        <w:spacing w:after="0" w:line="12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Company invests a portion of this cash in financial instruments to achieve reasonable returns on a risk-adjusted basis. The investment allocation decisions are based in part on the anticipated liquidity requirements of the Company including working capital, estimated tax related distributions, and broader capital allocation objectives.</w:t>
      </w:r>
    </w:p>
    <w:p>
      <w:pPr>
        <w:spacing w:after="0" w:line="12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2025, the Company earned interest income of $0.8 million and $1.7 million, respectively, on our cash portfolio which was invested solely in money market funds.</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may allocate a portion of our “float” to investments meeting pre-determined guidelines, including U.S.-listed equity securities, with the objective to provide an acceptable rate of return while complying with established risk tolerances and liquidity parameters. The Board is responsible for approving investment decisions. Gains and losses on marketable securities may fluctuate significantly from period to period in the future and could have a significant impact on the Company’s results of operations.</w:t>
      </w:r>
    </w:p>
    <w:p>
      <w:pPr>
        <w:spacing w:after="0" w:line="1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June 30, 2025, our principal sources of liquidity were cash and cash equivalents, and restricted cash of $69.1 million. Cash and cash equivalents are comprised of bank deposits, money market funds, and certificates of deposit. We have financed our operations primarily through cash received from operations, and our sources of liquidity have enabled us to make continued investments in supporting the growth of our business. We expect that our anticipated operating cash flows, in addition to cash on hand, will enable us to continue to make investments in the future, and to pay dividends. We expect our operating cash flows to further improve as we increase our operational efficiency and experience economies of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4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pay quarterly dividends on shares of our Class A common stock and distributions on our LLC Units. We also declared a special dividend for Class A shareholders on May 1, 2025. Our continued declaration and payment of dividends and institution of any other distributions of capital to shareholders will nonetheless be at the discretion of our Board and will depend on many factors, including our earnings, financial condition and results of operations, capital requirements, level of indebtedness, contractual restrictions with respect to payment of dividends, ability to obtain cash or other assets from our subsidiaries, restrictions imposed by applicable law, general business conditions and other factors that our Board may deem relevant. There can be no assurance that we will continue to pay dividends in the future. Therefore, the success of an investment in shares of our Class A common stock may in the future depend only upon any future appreciation in their value. There is no guarantee that shares of our Class A common stock will appreciate or even maintain their value.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dividends and distributions declared during the six months ended June 30, 2025, on a split adjusted basis,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20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256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Date paid</w:t>
            </w: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900" w:type="dxa"/>
            <w:vAlign w:val="bottom"/>
            <w:vMerge w:val="continue"/>
          </w:tcPr>
          <w:p>
            <w:pPr>
              <w:spacing w:after="0"/>
              <w:rPr>
                <w:sz w:val="16"/>
                <w:szCs w:val="16"/>
                <w:color w:val="auto"/>
              </w:rPr>
            </w:pPr>
          </w:p>
        </w:tc>
        <w:tc>
          <w:tcPr>
            <w:tcW w:w="2060" w:type="dxa"/>
            <w:vAlign w:val="bottom"/>
            <w:vMerge w:val="continue"/>
          </w:tcPr>
          <w:p>
            <w:pPr>
              <w:spacing w:after="0"/>
              <w:rPr>
                <w:sz w:val="16"/>
                <w:szCs w:val="16"/>
                <w:color w:val="auto"/>
              </w:rPr>
            </w:pPr>
          </w:p>
        </w:tc>
        <w:tc>
          <w:tcPr>
            <w:tcW w:w="256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4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w:t>
            </w:r>
          </w:p>
        </w:tc>
        <w:tc>
          <w:tcPr>
            <w:tcW w:w="20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January 15, 2025</w:t>
            </w:r>
          </w:p>
        </w:tc>
        <w:tc>
          <w:tcPr>
            <w:tcW w:w="256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February 26, 2025</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2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N/A</w:t>
            </w:r>
          </w:p>
        </w:tc>
        <w:tc>
          <w:tcPr>
            <w:tcW w:w="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Regular</w:t>
            </w:r>
          </w:p>
        </w:tc>
        <w:tc>
          <w:tcPr>
            <w:tcW w:w="2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February 27, 2025</w:t>
            </w:r>
          </w:p>
        </w:tc>
        <w:tc>
          <w:tcPr>
            <w:tcW w:w="2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March 31, 2025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20" w:type="dxa"/>
            <w:vAlign w:val="bottom"/>
          </w:tcPr>
          <w:p>
            <w:pPr>
              <w:spacing w:after="0"/>
              <w:rPr>
                <w:sz w:val="19"/>
                <w:szCs w:val="19"/>
                <w:color w:val="auto"/>
              </w:rPr>
            </w:pP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0" w:type="dxa"/>
            <w:vAlign w:val="bottom"/>
          </w:tcPr>
          <w:p>
            <w:pPr>
              <w:spacing w:after="0"/>
              <w:rPr>
                <w:sz w:val="1"/>
                <w:szCs w:val="1"/>
                <w:color w:val="auto"/>
              </w:rPr>
            </w:pPr>
          </w:p>
        </w:tc>
      </w:tr>
      <w:tr>
        <w:trPr>
          <w:trHeight w:val="229"/>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Regular</w:t>
            </w:r>
          </w:p>
        </w:tc>
        <w:tc>
          <w:tcPr>
            <w:tcW w:w="2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May 1, 2025</w:t>
            </w:r>
          </w:p>
        </w:tc>
        <w:tc>
          <w:tcPr>
            <w:tcW w:w="2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June 25, 2025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0" w:type="dxa"/>
            <w:vAlign w:val="bottom"/>
          </w:tcPr>
          <w:p>
            <w:pPr>
              <w:spacing w:after="0"/>
              <w:rPr>
                <w:sz w:val="1"/>
                <w:szCs w:val="1"/>
                <w:color w:val="auto"/>
              </w:rPr>
            </w:pPr>
          </w:p>
        </w:tc>
      </w:tr>
      <w:tr>
        <w:trPr>
          <w:trHeight w:val="234"/>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w:t>
            </w:r>
          </w:p>
        </w:tc>
        <w:tc>
          <w:tcPr>
            <w:tcW w:w="2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May 1, 2025</w:t>
            </w:r>
          </w:p>
        </w:tc>
        <w:tc>
          <w:tcPr>
            <w:tcW w:w="2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June 25, 2025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We believe that our existing cash and cash equivalents and cash flow from operations will be sufficient to support working capital and capital expenditure requirements for at least the next 12 months. Our future capital requirements will depend on many factors, including our subscription growth rate, subscription renewal activity, including the timing and the amount of cash received from subscribers, the pace of expansion of sales and marketing activities, the timing and extent of spending to support development efforts, the introduction of new and enhanced products, and the level of costs to operate as a public company. We may, in the future, enter into arrangements to acquire or invest in complementary businesses, products, and technologies.</w:t>
      </w:r>
    </w:p>
    <w:p>
      <w:pPr>
        <w:spacing w:after="0" w:line="114"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We expect to incur payment obligations under the Tax Receivable Agreement (“TRA”) in the future. These obligations correspond to future cash tax savings that MarketWise, Inc. derives from tax-related benefits created as MarketWise Members exchange their LLC Units for Class A shares of MarketWise, Inc. This obligation is equal to 85% of the estimated future tax benefit for MarketWise, Inc. and is recorded as a TRA liability on the condensed consolidated balance sheet. The TRA liability was $4.3 million as of June 30, 2025. No payments have been made under the TRA, and no significant payments are expected in the next 12 months. However, these obligations may be significant in the future. MarketWise, Inc. intends to cause MarketWise, LLC to make distributions to MarketWise, Inc. in an amount sufficient to allow MarketWise, Inc. to pay its tax obligations and operating expenses, including distributions to fund any payments due under the TRA. If MarketWise, LLC does not have sufficient cash to fund distributions to MarketWise, Inc. in amounts sufficient to cover MarketWise, Inc.’s obligations under the TRA, it may have to borrow funds, which could materially adversely affect its liquidity and financial condition and subject it to various restrictions imposed by any such lenders. To the extent that MarketWise, Inc. is unable to make timely payments under the TRA for any reason, the unpaid amounts will be deferred and will accrue interest until paid. For additional information regarding the TRA, see the section entitled “ Management’s Discussion and Analysis of Financial Condition and Results of Operations— Liquidity and Capital Resources—Tax Receivable Agreement” in the Annual Report.</w:t>
      </w:r>
    </w:p>
    <w:p>
      <w:pPr>
        <w:spacing w:after="0" w:line="13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Furthermore, to the extent we have taxable income, we will make distributions to the MarketWise Members and to MarketWise, Inc. in amounts sufficient for the recipients to pay taxes due on their share of MarketWise income at prevailing individual income tax rates, which for the 2024 tax year the highest federal, state and local tax rate the Company used was 49.75%. In second quarter 2025, MarketWise, LLC made quarterly tax distributions of $22.8 million proportionately to all MarketWise Members, including MarketWise, Inc. These quarterly tax distributions to MarketWise, Inc. exceeded its corporate tax liability and enabled MarketWise, Inc. to declare and pay the aforementioned special dividend with the excess tax distribution proceeds. We expect MarketWise, Inc. will receive quarterly tax distributions in future quarters however the amount is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4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February 28, 2025, the Company announced that the Board authorized a stock repurchase program of up to $50 million shares of Class A common stock. Repurchases of Class A common stock may be made from time to time, either through open market transactions (including pre-set trading plans) or through other transactions, at the discretion of the management of the Company and in accordance with the limitations set forth in Rule 10b-18 promulgated under the Securities Exchange Act of 1934, as amended, and other applicable securities laws. The timing of the repurchases will depend on market conditions and other requirements. Repurchases under the program have been authorized for the 12 months following the announcement but the program may be modified, suspended, or terminated at any time. The share repurchase program does not obligate the Company to repurchase any dollar amount or number of shares. During the three and six months ended June 30, 2025, we repurchased 117,673 shares totaling $1.9 million in the aggregate, including fees and commissions of $4 thousand.</w:t>
      </w:r>
    </w:p>
    <w:p>
      <w:pPr>
        <w:spacing w:after="0" w:line="13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For each share of Class A common stock the Company repurchases under the share repurchase program, MarketWise, LLC, the Company’s direct subsidiary, will redeem one common unit of MarketWise, LLC held by the Company, decreasing the percentage ownership of MarketWise, LLC by the Company and relatively increasing the ownership by the other unit holders of MarketWise, LLC.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Reorganization</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In October 2024, we completed our reorganization and operational transition plans with respect to substantially all of the Legacy Research brands. The Company dissolved substantially all of the Legacy Research legal entities during second quarter 2025. For further background, see </w:t>
      </w:r>
      <w:r>
        <w:rPr>
          <w:rFonts w:ascii="Times New Roman" w:cs="Times New Roman" w:eastAsia="Times New Roman" w:hAnsi="Times New Roman"/>
          <w:sz w:val="18"/>
          <w:szCs w:val="18"/>
          <w:i w:val="1"/>
          <w:iCs w:val="1"/>
          <w:color w:val="auto"/>
        </w:rPr>
        <w:t>Note 4 – Acquisitions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Disposals </w:t>
      </w:r>
      <w:r>
        <w:rPr>
          <w:rFonts w:ascii="Times New Roman" w:cs="Times New Roman" w:eastAsia="Times New Roman" w:hAnsi="Times New Roman"/>
          <w:sz w:val="18"/>
          <w:szCs w:val="18"/>
          <w:color w:val="auto"/>
        </w:rPr>
        <w:t>in our Annual Report on Form 10-K for the year ended December 31, 2024</w:t>
      </w:r>
      <w:r>
        <w:rPr>
          <w:rFonts w:ascii="Times New Roman" w:cs="Times New Roman" w:eastAsia="Times New Roman" w:hAnsi="Times New Roman"/>
          <w:sz w:val="18"/>
          <w:szCs w:val="18"/>
          <w:i w:val="1"/>
          <w:iCs w:val="1"/>
          <w:color w:val="auto"/>
        </w:rPr>
        <w:t>.</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March 2025, Legacy Research agreed to terminate its office lease early. During the three and six months ended June 30, 2025, the Company recorded an impairment loss on leasehold improvement assets totaling $0.4 million, and the related lease was terminated for a gain of $1.6 million, which is included within general and administrative expense.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consolidated cash flows provided by (used in) operating, investing, and financing activities for the periods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20" w:type="dxa"/>
            <w:vAlign w:val="bottom"/>
          </w:tcPr>
          <w:p>
            <w:pPr>
              <w:spacing w:after="0"/>
              <w:rPr>
                <w:sz w:val="16"/>
                <w:szCs w:val="16"/>
                <w:color w:val="auto"/>
              </w:rPr>
            </w:pPr>
          </w:p>
        </w:tc>
        <w:tc>
          <w:tcPr>
            <w:tcW w:w="3280" w:type="dxa"/>
            <w:vAlign w:val="bottom"/>
            <w:gridSpan w:val="4"/>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7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72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(22,306)</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(22,723)</w:t>
            </w: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2025, net cash provided by operating activities was $19.6 million, primarily due to net income of $32.2 million, adjusted for net non-cash items which increased cash by $8.0 million, and partially offset by net changes in our operating assets and liabilities which reduced cash by $20.5 million. The non-cash items include stock-based compensation expense and depreciation and amortization of $5.7 million and $1.0 million, respectively. The changes in operating assets and liabilities were primarily driven by a decrease in deferred revenue, which reduced cash by $33.1 million due to lower Billings, partially offset by a decrease in deferred contract acquisition costs, which increased cash by $16.6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8" w:name="page49"/>
    <w:bookmarkEnd w:id="48"/>
    <w:p>
      <w:pPr>
        <w:spacing w:after="0" w:line="14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2024, net cash used by operating activities was $22.3 million, primarily due to net income of $44.0 million, adjusted for net non-cash items which increased cash by $9.8 million, and net changes in our operating assets and liabilities which reduced cash by $76.1 million, largely due to timing differences in the net receipt of cash. The non-cash items include stock-based compensation expense and depreciation and amortization of $5.5 million and $1.4 million, respectively. The changes in operating assets and liabilities were primarily driven by a decrease in deferred revenue, which reduced cash by $86.9 million due to lower Billings, and a decrease in accrued expenses, which decreased cash by $29.3 million, partially offset by a decrease in deferred contract acquisition costs, which increased cash by $32.9 million.</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net cash used in investing activities was $0.6 million, primarily driven by $0.4 million in capitalized software development costs.</w:t>
      </w:r>
    </w:p>
    <w:p>
      <w:pPr>
        <w:spacing w:after="0" w:line="10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net cash used in investing activities was $0.7 million, primarily driven by $0.7 million in capitalized software development costs.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net cash used in financing activities was $47.8 million, primarily due to $42.9 million in distributions to noncontrolling interests, $2.8 million in dividends to Class A shareholders, and $1.9 million in repurchases of stock.</w:t>
      </w:r>
    </w:p>
    <w:p>
      <w:pPr>
        <w:spacing w:after="0" w:line="10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net cash used in financing activities was $22.7 million, primarily due to $10.8 million in repurchases of stock, $10.2 million in distributions to noncontrolling interests and $1.2 million in restricted stock units withheld to pay taxes.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GAAP. The preparation of these financial statements requires management to make estimates and assumptions that affect the reported amounts of assets, liabilities, revenue, costs, and expenses, and related disclosures. On an ongoing basis, management evaluates its estimates and assumptions. Our actual results may differ from these estimates under different assumptions or conditions.</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Management believes that, of our significant accounting policies, which are described in Note 2 to our consolidated financial statements for the year ended December 31, 2024 in our Annual Report, the following accounting policies involve a greater degree of judgment and complexity. Accordingly, management believes that “Revenue Recognition” and “Transactions and Valuation of Goodwill and Other Acquired Intangible Assets” are the two policies that are the most critical to aid in fully understanding and evaluating our condensed consolidated financial condition and results of operations. Refer to the 2024 Annual Report on Form 10-K for further discussion of these two policies. During the three and six months ended June 30, 2025, there were no material changes to these policies.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as of the end of the period covered by this Quarterly Report on Form 10-Q, the effectiveness of the design and operation of our disclosure controls and procedures (as defined in Rules 13a-15(e) and 15d-15(e) under the Exchange Act of 1934, as amended (the “Exchange Act”)). Based on that evaluation, our Chief Executive Officer and Chief Financial Officer concluded that, as of June 30, 2025, our disclosure controls and procedures are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June 30, 2025, that have materially affected, or are reasonably likely to materially affect, our internal control over financial reporting identified in connection with the evaluation required by Rule 13a-15(d) and 15d-15(d) of the Exchange Act.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Furthermore,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Furthermore,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The risks described below could have a material adverse impact on our business, financial condition, or operating results. Although it is not possible to predict or identify all such risks and uncertainties, they may include, but are not limited to, the factors discussed below. The risks and uncertainties described below are not the only ones we face. Additional risks and uncertainties that we are unaware of, or that we currently believe are not material, may also become important factors that adversely affect our business or results of operations.</w:t>
      </w:r>
    </w:p>
    <w:p>
      <w:pPr>
        <w:spacing w:after="0" w:line="128" w:lineRule="exact"/>
        <w:rPr>
          <w:sz w:val="20"/>
          <w:szCs w:val="20"/>
          <w:color w:val="auto"/>
        </w:rPr>
      </w:pPr>
    </w:p>
    <w:p>
      <w:pPr>
        <w:ind w:right="3500"/>
        <w:spacing w:after="0" w:line="454" w:lineRule="auto"/>
        <w:rPr>
          <w:sz w:val="20"/>
          <w:szCs w:val="20"/>
          <w:color w:val="auto"/>
        </w:rPr>
      </w:pPr>
      <w:r>
        <w:rPr>
          <w:rFonts w:ascii="Times New Roman" w:cs="Times New Roman" w:eastAsia="Times New Roman" w:hAnsi="Times New Roman"/>
          <w:sz w:val="18"/>
          <w:szCs w:val="18"/>
          <w:color w:val="auto"/>
        </w:rPr>
        <w:t xml:space="preserve">There have been no material changes in the risk factors disclosed in Part 1, Item 1A, of our Annual Report. </w:t>
      </w:r>
      <w:r>
        <w:rPr>
          <w:rFonts w:ascii="Times New Roman" w:cs="Times New Roman" w:eastAsia="Times New Roman" w:hAnsi="Times New Roman"/>
          <w:sz w:val="18"/>
          <w:szCs w:val="18"/>
          <w:b w:val="1"/>
          <w:bCs w:val="1"/>
          <w:color w:val="auto"/>
        </w:rPr>
        <w:t>Item 2. Unregistered Sales of Equity Securities and Use of Proceeds. Issuer Purchases of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14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color w:val="auto"/>
        </w:rPr>
        <w:t>The following table sets forth the information with respect to purchases made by or on behalf of the Company of its common stock during the three months ended June 30, 2025:</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1 to April 30, 2025</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1 to May 31, 2025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June 1 to June 30, 2025</w:t>
      </w:r>
    </w:p>
    <w:p>
      <w:pPr>
        <w:spacing w:after="0" w:line="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146"/>
        </w:trPr>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35"/>
        </w:trPr>
        <w:tc>
          <w:tcPr>
            <w:tcW w:w="144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4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39"/>
              <w:spacing w:after="0" w:line="135" w:lineRule="exact"/>
              <w:rPr>
                <w:sz w:val="20"/>
                <w:szCs w:val="20"/>
                <w:color w:val="auto"/>
              </w:rPr>
            </w:pPr>
            <w:r>
              <w:rPr>
                <w:rFonts w:ascii="Times New Roman" w:cs="Times New Roman" w:eastAsia="Times New Roman" w:hAnsi="Times New Roman"/>
                <w:sz w:val="14"/>
                <w:szCs w:val="14"/>
                <w:b w:val="1"/>
                <w:bCs w:val="1"/>
                <w:color w:val="auto"/>
                <w:w w:val="99"/>
              </w:rPr>
              <w:t>May Yet to be</w:t>
            </w:r>
          </w:p>
        </w:tc>
        <w:tc>
          <w:tcPr>
            <w:tcW w:w="0" w:type="dxa"/>
            <w:vAlign w:val="bottom"/>
          </w:tcPr>
          <w:p>
            <w:pPr>
              <w:spacing w:after="0"/>
              <w:rPr>
                <w:sz w:val="1"/>
                <w:szCs w:val="1"/>
                <w:color w:val="auto"/>
              </w:rPr>
            </w:pPr>
          </w:p>
        </w:tc>
      </w:tr>
      <w:tr>
        <w:trPr>
          <w:trHeight w:val="148"/>
        </w:trPr>
        <w:tc>
          <w:tcPr>
            <w:tcW w:w="14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a Publicly</w:t>
            </w:r>
          </w:p>
        </w:tc>
        <w:tc>
          <w:tcPr>
            <w:tcW w:w="120" w:type="dxa"/>
            <w:vAlign w:val="bottom"/>
          </w:tcPr>
          <w:p>
            <w:pPr>
              <w:spacing w:after="0"/>
              <w:rPr>
                <w:sz w:val="12"/>
                <w:szCs w:val="12"/>
                <w:color w:val="auto"/>
              </w:rPr>
            </w:pPr>
          </w:p>
        </w:tc>
        <w:tc>
          <w:tcPr>
            <w:tcW w:w="14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203"/>
        </w:trPr>
        <w:tc>
          <w:tcPr>
            <w:tcW w:w="1440" w:type="dxa"/>
            <w:vAlign w:val="bottom"/>
          </w:tcPr>
          <w:p>
            <w:pPr>
              <w:jc w:val="right"/>
              <w:ind w:right="16"/>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 xml:space="preserve">Plan </w:t>
            </w: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218"/>
        </w:trPr>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20,306</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2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20,306</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49,781</w:t>
            </w:r>
          </w:p>
        </w:tc>
        <w:tc>
          <w:tcPr>
            <w:tcW w:w="0" w:type="dxa"/>
            <w:vAlign w:val="bottom"/>
          </w:tcPr>
          <w:p>
            <w:pPr>
              <w:spacing w:after="0"/>
              <w:rPr>
                <w:sz w:val="1"/>
                <w:szCs w:val="1"/>
                <w:color w:val="auto"/>
              </w:rPr>
            </w:pPr>
          </w:p>
        </w:tc>
      </w:tr>
      <w:tr>
        <w:trPr>
          <w:trHeight w:val="234"/>
        </w:trPr>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75,493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75,493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48,533</w:t>
            </w:r>
          </w:p>
        </w:tc>
        <w:tc>
          <w:tcPr>
            <w:tcW w:w="0" w:type="dxa"/>
            <w:vAlign w:val="bottom"/>
          </w:tcPr>
          <w:p>
            <w:pPr>
              <w:spacing w:after="0"/>
              <w:rPr>
                <w:sz w:val="1"/>
                <w:szCs w:val="1"/>
                <w:color w:val="auto"/>
              </w:rPr>
            </w:pPr>
          </w:p>
        </w:tc>
      </w:tr>
      <w:tr>
        <w:trPr>
          <w:trHeight w:val="257"/>
        </w:trPr>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20" w:type="dxa"/>
            <w:vAlign w:val="bottom"/>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48,152</w:t>
            </w:r>
          </w:p>
        </w:tc>
        <w:tc>
          <w:tcPr>
            <w:tcW w:w="0" w:type="dxa"/>
            <w:vAlign w:val="bottom"/>
          </w:tcPr>
          <w:p>
            <w:pPr>
              <w:spacing w:after="0"/>
              <w:rPr>
                <w:sz w:val="1"/>
                <w:szCs w:val="1"/>
                <w:color w:val="auto"/>
              </w:rPr>
            </w:pPr>
          </w:p>
        </w:tc>
      </w:tr>
      <w:tr>
        <w:trPr>
          <w:trHeight w:val="223"/>
        </w:trPr>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-350520</wp:posOffset>
            </wp:positionV>
            <wp:extent cx="713232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-650875</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00" w:space="720"/>
            <w:col w:w="6120"/>
          </w:cols>
          <w:pgMar w:left="320" w:top="1440" w:right="339" w:bottom="1440" w:gutter="0" w:footer="0" w:header="0"/>
          <w:type w:val="continuous"/>
        </w:sectPr>
      </w:pPr>
    </w:p>
    <w:p>
      <w:pPr>
        <w:spacing w:after="0" w:line="34" w:lineRule="exact"/>
        <w:rPr>
          <w:sz w:val="20"/>
          <w:szCs w:val="20"/>
          <w:color w:val="auto"/>
        </w:rPr>
      </w:pPr>
    </w:p>
    <w:p>
      <w:pPr>
        <w:ind w:left="340" w:right="140" w:hanging="332"/>
        <w:spacing w:after="0" w:line="282" w:lineRule="auto"/>
        <w:tabs>
          <w:tab w:leader="none" w:pos="32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February 2025, our Board of Directors authorized the repurchase of up to $50.0 million in aggregate of shares of the Company’s Class A common stock, with the authorization to expire on February 28,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1" w:name="page52"/>
    <w:bookmarkEnd w:id="51"/>
    <w:p>
      <w:pPr>
        <w:spacing w:after="0" w:line="167" w:lineRule="exact"/>
        <w:rPr>
          <w:sz w:val="20"/>
          <w:szCs w:val="20"/>
          <w:color w:val="auto"/>
        </w:rPr>
      </w:pPr>
    </w:p>
    <w:tbl>
      <w:tblPr>
        <w:tblLayout w:type="fixed"/>
        <w:tblInd w:w="7"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3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20" w:type="dxa"/>
            <w:vAlign w:val="bottom"/>
          </w:tcPr>
          <w:p>
            <w:pPr>
              <w:spacing w:after="0"/>
              <w:rPr>
                <w:sz w:val="18"/>
                <w:szCs w:val="18"/>
                <w:color w:val="auto"/>
              </w:rPr>
            </w:pPr>
          </w:p>
        </w:tc>
        <w:tc>
          <w:tcPr>
            <w:tcW w:w="9680" w:type="dxa"/>
            <w:vAlign w:val="bottom"/>
            <w:gridSpan w:val="17"/>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Certificate of Amendment to the Certificate of Incorporation of MarketWise, Inc. (incorporated by reference to Exhibit 3.1 to the</w:t>
              </w:r>
            </w:hyperlink>
          </w:p>
        </w:tc>
      </w:tr>
      <w:tr>
        <w:trPr>
          <w:trHeight w:val="156"/>
        </w:trPr>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9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Registrant’s Current Report on Form 8-K, filed with the SEC on March 31, 2025).</w:t>
              </w:r>
            </w:hyperlink>
          </w:p>
        </w:tc>
        <w:tc>
          <w:tcPr>
            <w:tcW w:w="3360" w:type="dxa"/>
            <w:vAlign w:val="bottom"/>
            <w:tcBorders>
              <w:top w:val="single" w:sz="8" w:color="0000FF"/>
            </w:tcBorders>
            <w:gridSpan w:val="2"/>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20" w:type="dxa"/>
            <w:vAlign w:val="bottom"/>
          </w:tcPr>
          <w:p>
            <w:pPr>
              <w:spacing w:after="0"/>
              <w:rPr>
                <w:sz w:val="19"/>
                <w:szCs w:val="19"/>
                <w:color w:val="auto"/>
              </w:rPr>
            </w:pPr>
          </w:p>
        </w:tc>
        <w:tc>
          <w:tcPr>
            <w:tcW w:w="9680" w:type="dxa"/>
            <w:vAlign w:val="bottom"/>
            <w:gridSpan w:val="17"/>
          </w:tcPr>
          <w:p>
            <w:pPr>
              <w:spacing w:after="0"/>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Amendment to the MarketWise, Inc. 2021 Incentive Award Plan (incorporated by reference to Exhibit 10.1 to the Registrant’s Current</w:t>
              </w:r>
            </w:hyperlink>
          </w:p>
        </w:tc>
      </w:tr>
      <w:tr>
        <w:trPr>
          <w:trHeight w:val="155"/>
        </w:trPr>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Report on Form 8-K, filed with the SEC on June 13, 2025).</w:t>
              </w:r>
            </w:hyperlink>
          </w:p>
        </w:tc>
        <w:tc>
          <w:tcPr>
            <w:tcW w:w="538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20" w:type="dxa"/>
            <w:vAlign w:val="bottom"/>
          </w:tcPr>
          <w:p>
            <w:pPr>
              <w:spacing w:after="0"/>
              <w:rPr>
                <w:sz w:val="19"/>
                <w:szCs w:val="19"/>
                <w:color w:val="auto"/>
              </w:rPr>
            </w:pPr>
          </w:p>
        </w:tc>
        <w:tc>
          <w:tcPr>
            <w:tcW w:w="9680" w:type="dxa"/>
            <w:vAlign w:val="bottom"/>
            <w:gridSpan w:val="17"/>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Letter Agreement by and between Dr. David Eifrig and MarketWise, Inc. dated May 23, 2025 (incorporated by reference to Exhibit</w:t>
              </w:r>
            </w:hyperlink>
          </w:p>
        </w:tc>
      </w:tr>
      <w:tr>
        <w:trPr>
          <w:trHeight w:val="156"/>
        </w:trPr>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Registrant’s Current Report on Form 8-K, filed with the SEC on May 27, 2025).</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20" w:type="dxa"/>
            <w:vAlign w:val="bottom"/>
            <w:gridSpan w:val="3"/>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520" w:type="dxa"/>
            <w:vAlign w:val="bottom"/>
          </w:tcPr>
          <w:p>
            <w:pPr>
              <w:spacing w:after="0"/>
              <w:rPr>
                <w:sz w:val="19"/>
                <w:szCs w:val="19"/>
                <w:color w:val="auto"/>
              </w:rPr>
            </w:pPr>
          </w:p>
        </w:tc>
        <w:tc>
          <w:tcPr>
            <w:tcW w:w="9680" w:type="dxa"/>
            <w:vAlign w:val="bottom"/>
            <w:gridSpan w:val="17"/>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MarketWise Inc. Executive Severance Plan (incorporated by reference to Exhibit 10.1 to the Issuer’s current report on Form 8-K filed</w:t>
              </w:r>
            </w:hyperlink>
          </w:p>
        </w:tc>
      </w:tr>
      <w:tr>
        <w:trPr>
          <w:trHeight w:val="156"/>
        </w:trPr>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4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on January 13, 2023).</w:t>
              </w:r>
            </w:hyperlink>
          </w:p>
        </w:tc>
        <w:tc>
          <w:tcPr>
            <w:tcW w:w="40" w:type="dxa"/>
            <w:vAlign w:val="bottom"/>
            <w:gridSpan w:val="2"/>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4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20" w:type="dxa"/>
            <w:vAlign w:val="bottom"/>
          </w:tcPr>
          <w:p>
            <w:pPr>
              <w:spacing w:after="0"/>
              <w:rPr>
                <w:sz w:val="19"/>
                <w:szCs w:val="19"/>
                <w:color w:val="auto"/>
              </w:rPr>
            </w:pPr>
          </w:p>
        </w:tc>
        <w:tc>
          <w:tcPr>
            <w:tcW w:w="96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156"/>
        </w:trPr>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2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60" w:type="dxa"/>
            <w:vAlign w:val="bottom"/>
            <w:gridSpan w:val="3"/>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600" w:type="dxa"/>
            <w:vAlign w:val="bottom"/>
            <w:gridSpan w:val="4"/>
            <w:shd w:val="clear" w:color="auto" w:fill="0000FF"/>
          </w:tcPr>
          <w:p>
            <w:pPr>
              <w:spacing w:after="0" w:line="20" w:lineRule="exact"/>
              <w:rPr>
                <w:sz w:val="1"/>
                <w:szCs w:val="1"/>
                <w:color w:val="auto"/>
              </w:rPr>
            </w:pPr>
          </w:p>
        </w:tc>
        <w:tc>
          <w:tcPr>
            <w:tcW w:w="4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20" w:type="dxa"/>
            <w:vAlign w:val="bottom"/>
          </w:tcPr>
          <w:p>
            <w:pPr>
              <w:spacing w:after="0"/>
              <w:rPr>
                <w:sz w:val="19"/>
                <w:szCs w:val="19"/>
                <w:color w:val="auto"/>
              </w:rPr>
            </w:pPr>
          </w:p>
        </w:tc>
        <w:tc>
          <w:tcPr>
            <w:tcW w:w="96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156"/>
        </w:trPr>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58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600" w:type="dxa"/>
            <w:vAlign w:val="bottom"/>
            <w:gridSpan w:val="4"/>
            <w:shd w:val="clear" w:color="auto" w:fill="0000FF"/>
          </w:tcPr>
          <w:p>
            <w:pPr>
              <w:spacing w:after="0" w:line="20" w:lineRule="exact"/>
              <w:rPr>
                <w:sz w:val="1"/>
                <w:szCs w:val="1"/>
                <w:color w:val="auto"/>
              </w:rPr>
            </w:pPr>
          </w:p>
        </w:tc>
        <w:tc>
          <w:tcPr>
            <w:tcW w:w="45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20" w:type="dxa"/>
            <w:vAlign w:val="bottom"/>
          </w:tcPr>
          <w:p>
            <w:pPr>
              <w:spacing w:after="0"/>
              <w:rPr>
                <w:sz w:val="19"/>
                <w:szCs w:val="19"/>
                <w:color w:val="auto"/>
              </w:rPr>
            </w:pPr>
          </w:p>
        </w:tc>
        <w:tc>
          <w:tcPr>
            <w:tcW w:w="96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155"/>
        </w:trPr>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80" w:type="dxa"/>
            <w:vAlign w:val="bottom"/>
            <w:gridSpan w:val="4"/>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8180" w:type="dxa"/>
            <w:vAlign w:val="bottom"/>
            <w:gridSpan w:val="9"/>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20" w:type="dxa"/>
            <w:vAlign w:val="bottom"/>
          </w:tcPr>
          <w:p>
            <w:pPr>
              <w:spacing w:after="0"/>
              <w:rPr>
                <w:sz w:val="19"/>
                <w:szCs w:val="19"/>
                <w:color w:val="auto"/>
              </w:rPr>
            </w:pPr>
          </w:p>
        </w:tc>
        <w:tc>
          <w:tcPr>
            <w:tcW w:w="96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156"/>
        </w:trPr>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56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120" w:type="dxa"/>
            <w:vAlign w:val="bottom"/>
            <w:gridSpan w:val="6"/>
          </w:tcPr>
          <w:p>
            <w:pPr>
              <w:spacing w:after="0"/>
              <w:rPr>
                <w:sz w:val="13"/>
                <w:szCs w:val="13"/>
                <w:color w:val="auto"/>
              </w:rPr>
            </w:pPr>
          </w:p>
        </w:tc>
      </w:tr>
      <w:tr>
        <w:trPr>
          <w:trHeight w:val="20"/>
        </w:trPr>
        <w:tc>
          <w:tcPr>
            <w:tcW w:w="1360" w:type="dxa"/>
            <w:vAlign w:val="bottom"/>
            <w:gridSpan w:val="2"/>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8300" w:type="dxa"/>
            <w:vAlign w:val="bottom"/>
            <w:gridSpan w:val="15"/>
          </w:tcPr>
          <w:p>
            <w:pPr>
              <w:spacing w:after="0" w:line="20" w:lineRule="exact"/>
              <w:rPr>
                <w:sz w:val="1"/>
                <w:szCs w:val="1"/>
                <w:color w:val="auto"/>
              </w:rPr>
            </w:pPr>
          </w:p>
        </w:tc>
      </w:tr>
      <w:tr>
        <w:trPr>
          <w:trHeight w:val="259"/>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6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29"/>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6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29"/>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6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3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6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29"/>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6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6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ind w:left="1367" w:hanging="1367"/>
        <w:spacing w:after="0"/>
        <w:tabs>
          <w:tab w:leader="none" w:pos="136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4" w:lineRule="exact"/>
        <w:rPr>
          <w:rFonts w:ascii="Times New Roman" w:cs="Times New Roman" w:eastAsia="Times New Roman" w:hAnsi="Times New Roman"/>
          <w:sz w:val="18"/>
          <w:szCs w:val="18"/>
          <w:color w:val="auto"/>
        </w:rPr>
      </w:pPr>
    </w:p>
    <w:p>
      <w:pPr>
        <w:ind w:left="54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7"/>
          </w:cols>
          <w:pgMar w:left="373" w:top="1440" w:right="499" w:bottom="1440" w:gutter="0" w:footer="0" w:header="0"/>
        </w:sectPr>
      </w:pPr>
    </w:p>
    <w:bookmarkStart w:id="52" w:name="page53"/>
    <w:bookmarkEnd w:id="5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4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b w:val="1"/>
          <w:bCs w:val="1"/>
          <w:color w:val="auto"/>
        </w:rPr>
        <w:t>MARKETWISE, INC.</w:t>
      </w:r>
    </w:p>
    <w:p>
      <w:pPr>
        <w:spacing w:after="0" w:line="305" w:lineRule="exact"/>
        <w:rPr>
          <w:sz w:val="20"/>
          <w:szCs w:val="20"/>
          <w:color w:val="auto"/>
        </w:rPr>
      </w:pPr>
    </w:p>
    <w:p>
      <w:pPr>
        <w:ind w:left="40"/>
        <w:spacing w:after="0"/>
        <w:tabs>
          <w:tab w:leader="none" w:pos="5940" w:val="left"/>
        </w:tabs>
        <w:rPr>
          <w:sz w:val="20"/>
          <w:szCs w:val="20"/>
          <w:color w:val="auto"/>
        </w:rPr>
      </w:pPr>
      <w:r>
        <w:rPr>
          <w:rFonts w:ascii="Times New Roman" w:cs="Times New Roman" w:eastAsia="Times New Roman" w:hAnsi="Times New Roman"/>
          <w:sz w:val="18"/>
          <w:szCs w:val="18"/>
          <w:color w:val="auto"/>
        </w:rPr>
        <w:t>Date: August 7, 2025</w:t>
      </w:r>
      <w:r>
        <w:rPr>
          <w:sz w:val="20"/>
          <w:szCs w:val="20"/>
          <w:color w:val="auto"/>
        </w:rPr>
        <w:tab/>
      </w:r>
      <w:r>
        <w:rPr>
          <w:rFonts w:ascii="Times New Roman" w:cs="Times New Roman" w:eastAsia="Times New Roman" w:hAnsi="Times New Roman"/>
          <w:sz w:val="17"/>
          <w:szCs w:val="17"/>
          <w:color w:val="auto"/>
        </w:rPr>
        <w:t>By:</w:t>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Erik Mickels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4445</wp:posOffset>
            </wp:positionV>
            <wp:extent cx="28371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Erik Mickels</w:t>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Chief Operating and Financial Officer</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20"/>
          </w:cols>
          <w:pgMar w:left="320" w:top="846" w:right="35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 David Eifrig, certify that:</w:t>
      </w:r>
    </w:p>
    <w:p>
      <w:pPr>
        <w:spacing w:after="0" w:line="171"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MarketWise, Inc. (the “registrant”) for the fiscal quarter ended June 30, 2025;</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3740" w:type="dxa"/>
            <w:vAlign w:val="bottom"/>
          </w:tcPr>
          <w:p>
            <w:pPr>
              <w:spacing w:after="0"/>
              <w:rPr>
                <w:sz w:val="22"/>
                <w:szCs w:val="22"/>
                <w:color w:val="auto"/>
              </w:rPr>
            </w:pPr>
          </w:p>
        </w:tc>
        <w:tc>
          <w:tcPr>
            <w:tcW w:w="7460" w:type="dxa"/>
            <w:vAlign w:val="bottom"/>
            <w:gridSpan w:val="2"/>
          </w:tcPr>
          <w:p>
            <w:pPr>
              <w:ind w:left="2180"/>
              <w:spacing w:after="0"/>
              <w:rPr>
                <w:sz w:val="20"/>
                <w:szCs w:val="20"/>
                <w:color w:val="auto"/>
              </w:rPr>
            </w:pPr>
            <w:r>
              <w:rPr>
                <w:rFonts w:ascii="Times New Roman" w:cs="Times New Roman" w:eastAsia="Times New Roman" w:hAnsi="Times New Roman"/>
                <w:sz w:val="20"/>
                <w:szCs w:val="20"/>
                <w:b w:val="1"/>
                <w:bCs w:val="1"/>
                <w:color w:val="auto"/>
              </w:rPr>
              <w:t>MarketWise, Inc.</w:t>
            </w:r>
          </w:p>
        </w:tc>
        <w:tc>
          <w:tcPr>
            <w:tcW w:w="0" w:type="dxa"/>
            <w:vAlign w:val="bottom"/>
          </w:tcPr>
          <w:p>
            <w:pPr>
              <w:spacing w:after="0"/>
              <w:rPr>
                <w:sz w:val="1"/>
                <w:szCs w:val="1"/>
                <w:color w:val="auto"/>
              </w:rPr>
            </w:pPr>
          </w:p>
        </w:tc>
      </w:tr>
      <w:tr>
        <w:trPr>
          <w:trHeight w:val="521"/>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30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Dr. David Eifrig</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3000" w:type="dxa"/>
            <w:vAlign w:val="bottom"/>
            <w:vMerge w:val="restart"/>
          </w:tcPr>
          <w:p>
            <w:pPr>
              <w:ind w:left="218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40" w:type="dxa"/>
            <w:vAlign w:val="bottom"/>
          </w:tcPr>
          <w:p>
            <w:pPr>
              <w:spacing w:after="0"/>
              <w:rPr>
                <w:sz w:val="19"/>
                <w:szCs w:val="19"/>
                <w:color w:val="auto"/>
              </w:rPr>
            </w:pPr>
          </w:p>
        </w:tc>
        <w:tc>
          <w:tcPr>
            <w:tcW w:w="3000" w:type="dxa"/>
            <w:vAlign w:val="bottom"/>
            <w:vMerge w:val="continue"/>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David Eifrig</w:t>
            </w:r>
          </w:p>
        </w:tc>
        <w:tc>
          <w:tcPr>
            <w:tcW w:w="0" w:type="dxa"/>
            <w:vAlign w:val="bottom"/>
          </w:tcPr>
          <w:p>
            <w:pPr>
              <w:spacing w:after="0"/>
              <w:rPr>
                <w:sz w:val="1"/>
                <w:szCs w:val="1"/>
                <w:color w:val="auto"/>
              </w:rPr>
            </w:pPr>
          </w:p>
        </w:tc>
      </w:tr>
      <w:tr>
        <w:trPr>
          <w:trHeight w:val="427"/>
        </w:trPr>
        <w:tc>
          <w:tcPr>
            <w:tcW w:w="3740" w:type="dxa"/>
            <w:vAlign w:val="bottom"/>
          </w:tcPr>
          <w:p>
            <w:pPr>
              <w:spacing w:after="0"/>
              <w:rPr>
                <w:sz w:val="24"/>
                <w:szCs w:val="24"/>
                <w:color w:val="auto"/>
              </w:rPr>
            </w:pPr>
          </w:p>
        </w:tc>
        <w:tc>
          <w:tcPr>
            <w:tcW w:w="30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Erik Mickels, certify that:</w:t>
      </w:r>
    </w:p>
    <w:p>
      <w:pPr>
        <w:spacing w:after="0" w:line="17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MarketWise, Inc. (the “registrant”) for the fiscal quarter ended June 30, 2025;</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3740" w:type="dxa"/>
            <w:vAlign w:val="bottom"/>
          </w:tcPr>
          <w:p>
            <w:pPr>
              <w:spacing w:after="0"/>
              <w:rPr>
                <w:sz w:val="22"/>
                <w:szCs w:val="22"/>
                <w:color w:val="auto"/>
              </w:rPr>
            </w:pPr>
          </w:p>
        </w:tc>
        <w:tc>
          <w:tcPr>
            <w:tcW w:w="7460" w:type="dxa"/>
            <w:vAlign w:val="bottom"/>
            <w:gridSpan w:val="2"/>
          </w:tcPr>
          <w:p>
            <w:pPr>
              <w:ind w:left="2180"/>
              <w:spacing w:after="0"/>
              <w:rPr>
                <w:sz w:val="20"/>
                <w:szCs w:val="20"/>
                <w:color w:val="auto"/>
              </w:rPr>
            </w:pPr>
            <w:r>
              <w:rPr>
                <w:rFonts w:ascii="Times New Roman" w:cs="Times New Roman" w:eastAsia="Times New Roman" w:hAnsi="Times New Roman"/>
                <w:sz w:val="20"/>
                <w:szCs w:val="20"/>
                <w:b w:val="1"/>
                <w:bCs w:val="1"/>
                <w:color w:val="auto"/>
              </w:rPr>
              <w:t>MarketWise, Inc.</w:t>
            </w:r>
          </w:p>
        </w:tc>
        <w:tc>
          <w:tcPr>
            <w:tcW w:w="0" w:type="dxa"/>
            <w:vAlign w:val="bottom"/>
          </w:tcPr>
          <w:p>
            <w:pPr>
              <w:spacing w:after="0"/>
              <w:rPr>
                <w:sz w:val="1"/>
                <w:szCs w:val="1"/>
                <w:color w:val="auto"/>
              </w:rPr>
            </w:pPr>
          </w:p>
        </w:tc>
      </w:tr>
      <w:tr>
        <w:trPr>
          <w:trHeight w:val="521"/>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30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 Erik Mickels</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3000" w:type="dxa"/>
            <w:vAlign w:val="bottom"/>
            <w:vMerge w:val="restart"/>
          </w:tcPr>
          <w:p>
            <w:pPr>
              <w:ind w:left="218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40" w:type="dxa"/>
            <w:vAlign w:val="bottom"/>
          </w:tcPr>
          <w:p>
            <w:pPr>
              <w:spacing w:after="0"/>
              <w:rPr>
                <w:sz w:val="19"/>
                <w:szCs w:val="19"/>
                <w:color w:val="auto"/>
              </w:rPr>
            </w:pPr>
          </w:p>
        </w:tc>
        <w:tc>
          <w:tcPr>
            <w:tcW w:w="3000" w:type="dxa"/>
            <w:vAlign w:val="bottom"/>
            <w:vMerge w:val="continue"/>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Erik Mickels</w:t>
            </w:r>
          </w:p>
        </w:tc>
        <w:tc>
          <w:tcPr>
            <w:tcW w:w="0" w:type="dxa"/>
            <w:vAlign w:val="bottom"/>
          </w:tcPr>
          <w:p>
            <w:pPr>
              <w:spacing w:after="0"/>
              <w:rPr>
                <w:sz w:val="1"/>
                <w:szCs w:val="1"/>
                <w:color w:val="auto"/>
              </w:rPr>
            </w:pPr>
          </w:p>
        </w:tc>
      </w:tr>
      <w:tr>
        <w:trPr>
          <w:trHeight w:val="427"/>
        </w:trPr>
        <w:tc>
          <w:tcPr>
            <w:tcW w:w="3740" w:type="dxa"/>
            <w:vAlign w:val="bottom"/>
          </w:tcPr>
          <w:p>
            <w:pPr>
              <w:spacing w:after="0"/>
              <w:rPr>
                <w:sz w:val="24"/>
                <w:szCs w:val="24"/>
                <w:color w:val="auto"/>
              </w:rPr>
            </w:pPr>
          </w:p>
        </w:tc>
        <w:tc>
          <w:tcPr>
            <w:tcW w:w="30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and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9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 Dr. David Eifrig, certify, pursuant to 18 U.S.C. Section 1350, as adopted pursuant to Section 906 of the Sarbanes-Oxley Act of 2002, that the Quarterly Report on Form 10-Q of MarketWise, Inc. for the fiscal quarter ended June 30, 2025 fully complies with the requirements of Section 13(a) or 15(d) of the Securities Exchange Act of 1934, as amended, and that information contained in such Quarterly Report on Form 10-Q fairly presents, in all material respects, the financial condition and results of operations of MarketWise, Inc.</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3740" w:type="dxa"/>
            <w:vAlign w:val="bottom"/>
          </w:tcPr>
          <w:p>
            <w:pPr>
              <w:spacing w:after="0"/>
              <w:rPr>
                <w:sz w:val="22"/>
                <w:szCs w:val="22"/>
                <w:color w:val="auto"/>
              </w:rPr>
            </w:pPr>
          </w:p>
        </w:tc>
        <w:tc>
          <w:tcPr>
            <w:tcW w:w="7460" w:type="dxa"/>
            <w:vAlign w:val="bottom"/>
            <w:gridSpan w:val="2"/>
          </w:tcPr>
          <w:p>
            <w:pPr>
              <w:ind w:left="2180"/>
              <w:spacing w:after="0"/>
              <w:rPr>
                <w:sz w:val="20"/>
                <w:szCs w:val="20"/>
                <w:color w:val="auto"/>
              </w:rPr>
            </w:pPr>
            <w:r>
              <w:rPr>
                <w:rFonts w:ascii="Times New Roman" w:cs="Times New Roman" w:eastAsia="Times New Roman" w:hAnsi="Times New Roman"/>
                <w:sz w:val="20"/>
                <w:szCs w:val="20"/>
                <w:b w:val="1"/>
                <w:bCs w:val="1"/>
                <w:color w:val="auto"/>
              </w:rPr>
              <w:t>MarketWise, Inc.</w:t>
            </w:r>
          </w:p>
        </w:tc>
        <w:tc>
          <w:tcPr>
            <w:tcW w:w="0" w:type="dxa"/>
            <w:vAlign w:val="bottom"/>
          </w:tcPr>
          <w:p>
            <w:pPr>
              <w:spacing w:after="0"/>
              <w:rPr>
                <w:sz w:val="1"/>
                <w:szCs w:val="1"/>
                <w:color w:val="auto"/>
              </w:rPr>
            </w:pPr>
          </w:p>
        </w:tc>
      </w:tr>
      <w:tr>
        <w:trPr>
          <w:trHeight w:val="521"/>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30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Dr. David Eifrig</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3000" w:type="dxa"/>
            <w:vAlign w:val="bottom"/>
            <w:vMerge w:val="restart"/>
          </w:tcPr>
          <w:p>
            <w:pPr>
              <w:ind w:left="218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40" w:type="dxa"/>
            <w:vAlign w:val="bottom"/>
          </w:tcPr>
          <w:p>
            <w:pPr>
              <w:spacing w:after="0"/>
              <w:rPr>
                <w:sz w:val="19"/>
                <w:szCs w:val="19"/>
                <w:color w:val="auto"/>
              </w:rPr>
            </w:pPr>
          </w:p>
        </w:tc>
        <w:tc>
          <w:tcPr>
            <w:tcW w:w="3000" w:type="dxa"/>
            <w:vAlign w:val="bottom"/>
            <w:vMerge w:val="continue"/>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David Eifrig</w:t>
            </w:r>
          </w:p>
        </w:tc>
        <w:tc>
          <w:tcPr>
            <w:tcW w:w="0" w:type="dxa"/>
            <w:vAlign w:val="bottom"/>
          </w:tcPr>
          <w:p>
            <w:pPr>
              <w:spacing w:after="0"/>
              <w:rPr>
                <w:sz w:val="1"/>
                <w:szCs w:val="1"/>
                <w:color w:val="auto"/>
              </w:rPr>
            </w:pPr>
          </w:p>
        </w:tc>
      </w:tr>
      <w:tr>
        <w:trPr>
          <w:trHeight w:val="427"/>
        </w:trPr>
        <w:tc>
          <w:tcPr>
            <w:tcW w:w="3740" w:type="dxa"/>
            <w:vAlign w:val="bottom"/>
          </w:tcPr>
          <w:p>
            <w:pPr>
              <w:spacing w:after="0"/>
              <w:rPr>
                <w:sz w:val="24"/>
                <w:szCs w:val="24"/>
                <w:color w:val="auto"/>
              </w:rPr>
            </w:pPr>
          </w:p>
        </w:tc>
        <w:tc>
          <w:tcPr>
            <w:tcW w:w="30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9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 Erik Mickels, certify, pursuant to 18 U.S.C. Section 1350, as adopted pursuant to Section 906 of the Sarbanes-Oxley Act of 2002, that the Quarterly Report on Form 10-Q of MarketWise, Inc. for the fiscal quarter ended June 30, 2025 fully complies with the requirements of Section 13(a) or 15(d) of the Securities Exchange Act of 1934, as amended, and that information contained in such Quarterly Report on Form 10-Q fairly presents, in all material respects, the financial condition and results of operations of MarketWise, Inc.</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3740" w:type="dxa"/>
            <w:vAlign w:val="bottom"/>
          </w:tcPr>
          <w:p>
            <w:pPr>
              <w:spacing w:after="0"/>
              <w:rPr>
                <w:sz w:val="22"/>
                <w:szCs w:val="22"/>
                <w:color w:val="auto"/>
              </w:rPr>
            </w:pPr>
          </w:p>
        </w:tc>
        <w:tc>
          <w:tcPr>
            <w:tcW w:w="7460" w:type="dxa"/>
            <w:vAlign w:val="bottom"/>
            <w:gridSpan w:val="2"/>
          </w:tcPr>
          <w:p>
            <w:pPr>
              <w:ind w:left="2180"/>
              <w:spacing w:after="0"/>
              <w:rPr>
                <w:sz w:val="20"/>
                <w:szCs w:val="20"/>
                <w:color w:val="auto"/>
              </w:rPr>
            </w:pPr>
            <w:r>
              <w:rPr>
                <w:rFonts w:ascii="Times New Roman" w:cs="Times New Roman" w:eastAsia="Times New Roman" w:hAnsi="Times New Roman"/>
                <w:sz w:val="20"/>
                <w:szCs w:val="20"/>
                <w:b w:val="1"/>
                <w:bCs w:val="1"/>
                <w:color w:val="auto"/>
              </w:rPr>
              <w:t>MarketWise, Inc.</w:t>
            </w:r>
          </w:p>
        </w:tc>
        <w:tc>
          <w:tcPr>
            <w:tcW w:w="0" w:type="dxa"/>
            <w:vAlign w:val="bottom"/>
          </w:tcPr>
          <w:p>
            <w:pPr>
              <w:spacing w:after="0"/>
              <w:rPr>
                <w:sz w:val="1"/>
                <w:szCs w:val="1"/>
                <w:color w:val="auto"/>
              </w:rPr>
            </w:pPr>
          </w:p>
        </w:tc>
      </w:tr>
      <w:tr>
        <w:trPr>
          <w:trHeight w:val="521"/>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30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Erik Mickels</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3000" w:type="dxa"/>
            <w:vAlign w:val="bottom"/>
            <w:vMerge w:val="restart"/>
          </w:tcPr>
          <w:p>
            <w:pPr>
              <w:ind w:left="218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40" w:type="dxa"/>
            <w:vAlign w:val="bottom"/>
          </w:tcPr>
          <w:p>
            <w:pPr>
              <w:spacing w:after="0"/>
              <w:rPr>
                <w:sz w:val="19"/>
                <w:szCs w:val="19"/>
                <w:color w:val="auto"/>
              </w:rPr>
            </w:pPr>
          </w:p>
        </w:tc>
        <w:tc>
          <w:tcPr>
            <w:tcW w:w="3000" w:type="dxa"/>
            <w:vAlign w:val="bottom"/>
            <w:vMerge w:val="continue"/>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Erik Mickels</w:t>
            </w:r>
          </w:p>
        </w:tc>
        <w:tc>
          <w:tcPr>
            <w:tcW w:w="0" w:type="dxa"/>
            <w:vAlign w:val="bottom"/>
          </w:tcPr>
          <w:p>
            <w:pPr>
              <w:spacing w:after="0"/>
              <w:rPr>
                <w:sz w:val="1"/>
                <w:szCs w:val="1"/>
                <w:color w:val="auto"/>
              </w:rPr>
            </w:pPr>
          </w:p>
        </w:tc>
      </w:tr>
      <w:tr>
        <w:trPr>
          <w:trHeight w:val="427"/>
        </w:trPr>
        <w:tc>
          <w:tcPr>
            <w:tcW w:w="3740" w:type="dxa"/>
            <w:vAlign w:val="bottom"/>
          </w:tcPr>
          <w:p>
            <w:pPr>
              <w:spacing w:after="0"/>
              <w:rPr>
                <w:sz w:val="24"/>
                <w:szCs w:val="24"/>
                <w:color w:val="auto"/>
              </w:rPr>
            </w:pPr>
          </w:p>
        </w:tc>
        <w:tc>
          <w:tcPr>
            <w:tcW w:w="30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and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
      <w:numFmt w:val="bullet"/>
      <w:start w:val="1"/>
    </w:lvl>
    <w:lvl w:ilvl="1">
      <w:lvlJc w:val="left"/>
      <w:lvlText w:val="(%2)"/>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04"/>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1" Type="http://schemas.openxmlformats.org/officeDocument/2006/relationships/hyperlink" Target="https://www.sec.gov/Archives/edgar/data/1805651/000162828025015716/exhibit31_certificateofame.htm" TargetMode="External"/><Relationship Id="rId82" Type="http://schemas.openxmlformats.org/officeDocument/2006/relationships/hyperlink" Target="https://www.sec.gov/Archives/edgar/data/1805651/000162828025032170/exhibit101_amendmentto2021.htm" TargetMode="External"/><Relationship Id="rId83" Type="http://schemas.openxmlformats.org/officeDocument/2006/relationships/hyperlink" Target="https://www.sec.gov/Archives/edgar/data/1805651/000162828025027963/exhibit101-letteragreement.htm" TargetMode="External"/><Relationship Id="rId84" Type="http://schemas.openxmlformats.org/officeDocument/2006/relationships/hyperlink" Target="https://www.sec.gov/Archives/edgar/data/1805651/000162828023001028/marketwise-executivesever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2025-08-07T07:10:34Z</dcterms:created>
  <dcterms:modified xsi:type="dcterms:W3CDTF">2025-08-07T07:10:34Z</dcterms:modified>
</cp:coreProperties>
</file>