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4"/>
        </w:rPr>
      </w:pPr>
      <w:r>
        <w:rPr>
          <w:rFonts w:ascii="Times New Roman;serif" w:hAnsi="Times New Roman;serif"/>
          <w:b/>
          <w:color w:val="000000"/>
          <w:sz w:val="34"/>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30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18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4"/>
        </w:rPr>
        <w:t>August 6, 2026</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MarketWise, Inc.</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6598" w:type="dxa"/>
        <w:jc w:val="left"/>
        <w:tblInd w:w="0" w:type="dxa"/>
        <w:tblLayout w:type="fixed"/>
        <w:tblCellMar>
          <w:top w:w="28" w:type="dxa"/>
          <w:left w:w="28" w:type="dxa"/>
          <w:bottom w:w="28" w:type="dxa"/>
          <w:right w:w="28" w:type="dxa"/>
        </w:tblCellMar>
      </w:tblPr>
      <w:tblGrid>
        <w:gridCol w:w="699"/>
        <w:gridCol w:w="613"/>
        <w:gridCol w:w="622"/>
        <w:gridCol w:w="332"/>
        <w:gridCol w:w="332"/>
        <w:gridCol w:w="332"/>
        <w:gridCol w:w="332"/>
        <w:gridCol w:w="332"/>
        <w:gridCol w:w="334"/>
        <w:gridCol w:w="780"/>
        <w:gridCol w:w="780"/>
        <w:gridCol w:w="1110"/>
      </w:tblGrid>
      <w:tr>
        <w:trPr/>
        <w:tc>
          <w:tcPr>
            <w:tcW w:w="69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1994"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001-39405</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87-1767914</w:t>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r>
          </w:p>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of incorporation)</w:t>
            </w:r>
          </w:p>
        </w:tc>
        <w:tc>
          <w:tcPr>
            <w:tcW w:w="1994"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8" w:type="dxa"/>
            <w:gridSpan w:val="12"/>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1125 N. Charles St.</w:t>
            </w:r>
          </w:p>
        </w:tc>
      </w:tr>
      <w:tr>
        <w:trPr/>
        <w:tc>
          <w:tcPr>
            <w:tcW w:w="193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Baltimore,</w:t>
            </w:r>
          </w:p>
        </w:tc>
        <w:tc>
          <w:tcPr>
            <w:tcW w:w="996"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Maryland</w:t>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21201</w:t>
            </w:r>
          </w:p>
        </w:tc>
      </w:tr>
      <w:tr>
        <w:trPr/>
        <w:tc>
          <w:tcPr>
            <w:tcW w:w="6598" w:type="dxa"/>
            <w:gridSpan w:val="12"/>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bl>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(888) 261-2693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tbl>
      <w:tblPr>
        <w:tblW w:w="7616" w:type="dxa"/>
        <w:jc w:val="left"/>
        <w:tblInd w:w="0" w:type="dxa"/>
        <w:tblLayout w:type="fixed"/>
        <w:tblCellMar>
          <w:top w:w="28" w:type="dxa"/>
          <w:left w:w="28" w:type="dxa"/>
          <w:bottom w:w="28" w:type="dxa"/>
          <w:right w:w="28" w:type="dxa"/>
        </w:tblCellMar>
      </w:tblPr>
      <w:tblGrid>
        <w:gridCol w:w="124"/>
        <w:gridCol w:w="109"/>
        <w:gridCol w:w="109"/>
        <w:gridCol w:w="2127"/>
        <w:gridCol w:w="2127"/>
        <w:gridCol w:w="30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7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w:t>
            </w:r>
          </w:p>
        </w:tc>
      </w:tr>
    </w:tbl>
    <w:tbl>
      <w:tblPr>
        <w:tblW w:w="10205" w:type="dxa"/>
        <w:jc w:val="left"/>
        <w:tblInd w:w="0" w:type="dxa"/>
        <w:tblLayout w:type="fixed"/>
        <w:tblCellMar>
          <w:top w:w="28" w:type="dxa"/>
          <w:left w:w="28" w:type="dxa"/>
          <w:bottom w:w="28" w:type="dxa"/>
          <w:right w:w="28" w:type="dxa"/>
        </w:tblCellMar>
      </w:tblPr>
      <w:tblGrid>
        <w:gridCol w:w="1418"/>
        <w:gridCol w:w="1174"/>
        <w:gridCol w:w="1165"/>
        <w:gridCol w:w="276"/>
        <w:gridCol w:w="276"/>
        <w:gridCol w:w="276"/>
        <w:gridCol w:w="516"/>
        <w:gridCol w:w="516"/>
        <w:gridCol w:w="488"/>
        <w:gridCol w:w="276"/>
        <w:gridCol w:w="276"/>
        <w:gridCol w:w="276"/>
        <w:gridCol w:w="961"/>
        <w:gridCol w:w="961"/>
        <w:gridCol w:w="1350"/>
      </w:tblGrid>
      <w:tr>
        <w:trPr/>
        <w:tc>
          <w:tcPr>
            <w:tcW w:w="141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5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 per share</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MKTW</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August 6, 2026, MarketWise, Inc. (the “Company”) issued an earnings press release announcing its financial results for the second quarter ended June 30, 2026. A copy of the earnings press release is furnished as Exhibit 99.1 to this Current Report on Form 8-K and is herein incorporated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information (including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8036"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4"/>
        <w:gridCol w:w="1944"/>
        <w:gridCol w:w="275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arningspressrelease2q2026.htm">
              <w:r>
                <w:rPr>
                  <w:rStyle w:val="InternetLink"/>
                  <w:rFonts w:ascii="Times New Roman;serif" w:hAnsi="Times New Roman;serif"/>
                  <w:b w:val="false"/>
                  <w:color w:val="0000FF"/>
                  <w:sz w:val="20"/>
                  <w:u w:val="single"/>
                </w:rPr>
                <w:t>MarketWise, Inc. earnings press release, dated August 6, 2026</w:t>
              </w:r>
            </w:hyperlink>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180"/>
        <w:ind w:left="0" w:right="0" w:firstLine="72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21" w:type="dxa"/>
        <w:jc w:val="left"/>
        <w:tblInd w:w="0" w:type="dxa"/>
        <w:tblLayout w:type="fixed"/>
        <w:tblCellMar>
          <w:top w:w="28" w:type="dxa"/>
          <w:left w:w="28" w:type="dxa"/>
          <w:bottom w:w="28" w:type="dxa"/>
          <w:right w:w="28" w:type="dxa"/>
        </w:tblCellMar>
      </w:tblPr>
      <w:tblGrid>
        <w:gridCol w:w="667"/>
        <w:gridCol w:w="587"/>
        <w:gridCol w:w="590"/>
        <w:gridCol w:w="289"/>
        <w:gridCol w:w="289"/>
        <w:gridCol w:w="289"/>
        <w:gridCol w:w="937"/>
        <w:gridCol w:w="937"/>
        <w:gridCol w:w="1336"/>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32"/>
        </w:rPr>
      </w:pPr>
      <w:r>
        <w:rPr>
          <w:rFonts w:ascii="Times New Roman;serif" w:hAnsi="Times New Roman;serif"/>
          <w:b/>
          <w:color w:val="000000"/>
          <w:sz w:val="32"/>
        </w:rPr>
        <w:t>MarketWise Reports Q2 Billings Increase of 57% YoY to $91.2 Million and Q2 CFFO Increase of 25.7% to $22.4 million; Net Revenue of $75.8 Million and Net Loss of $2.6 Million for Second Quarter 2026; Raises FY 2026 Billings Guidance 10% to $330 million; Affirms FY 2026 Dividend Target To Class A Shareholders of $1.80 Per Share</w:t>
      </w:r>
    </w:p>
    <w:p>
      <w:pPr>
        <w:pStyle w:val="TextBody"/>
        <w:bidi w:val="0"/>
        <w:spacing w:before="0" w:after="180"/>
        <w:jc w:val="left"/>
        <w:rPr/>
      </w:pPr>
      <w:r>
        <w:rPr/>
      </w:r>
    </w:p>
    <w:p>
      <w:pPr>
        <w:pStyle w:val="TextBody"/>
        <w:bidi w:val="0"/>
        <w:spacing w:lineRule="auto" w:line="288" w:before="0" w:after="180"/>
        <w:jc w:val="left"/>
        <w:rPr/>
      </w:pPr>
      <w:r>
        <w:rPr>
          <w:rFonts w:ascii="Times New Roman;serif" w:hAnsi="Times New Roman;serif"/>
          <w:b w:val="false"/>
          <w:color w:val="000000"/>
          <w:sz w:val="20"/>
        </w:rPr>
        <w:t>BALTIMORE, MD -- (GLOBE NEWSWIRE)—MarketWise, Inc. (NASDAQ: MKTW) (“MarketWise” or the “Company”), a leading multi-brand digital subscription services platform that provides premium financial research, software, education, and tools for self-directed investors, today reported financial results for second quarter 2026.</w:t>
      </w:r>
      <w:r>
        <w:rPr>
          <w:rFonts w:ascii="Times New Roman;serif" w:hAnsi="Times New Roman;serif"/>
          <w:b w:val="false"/>
          <w:color w:val="000000"/>
          <w:sz w:val="13"/>
        </w:rPr>
        <w:t>(1)</w:t>
      </w:r>
    </w:p>
    <w:p>
      <w:pPr>
        <w:pStyle w:val="TextBody"/>
        <w:bidi w:val="0"/>
        <w:spacing w:lineRule="auto" w:line="288" w:before="0" w:after="180"/>
        <w:jc w:val="left"/>
        <w:rPr/>
      </w:pPr>
      <w:r>
        <w:rPr>
          <w:rFonts w:ascii="Times New Roman;serif" w:hAnsi="Times New Roman;serif"/>
          <w:b/>
          <w:color w:val="000000"/>
          <w:sz w:val="20"/>
        </w:rPr>
        <w:t>Second Quarter 2026 Highlights</w:t>
      </w:r>
      <w:r>
        <w:rPr>
          <w:rFonts w:ascii="Times New Roman;serif" w:hAnsi="Times New Roman;serif"/>
          <w:b w:val="false"/>
          <w:color w:val="000000"/>
          <w:sz w:val="13"/>
        </w:rPr>
        <w:t>(1)</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Billings for second quarter 2026 totaled $91.2 million, representing a 57% year-over-year increase compared to second quarter 2025, and the highest quarterly Billings since 2023.</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Cash from Operating Activities (“CFFO”) was $22.4 million in the second quarter 2026, an increase of $4.6 million or 25.7% compared to the second quarter 2025, primarily driven by higher Billings and movements in working capital.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Total Net Revenue was $75.8 million in the second quarter 2026</w:t>
      </w:r>
      <w:r>
        <w:rPr>
          <w:rFonts w:ascii="Times New Roman;serif" w:hAnsi="Times New Roman;serif"/>
          <w:b w:val="false"/>
          <w:color w:val="000000"/>
          <w:sz w:val="13"/>
        </w:rPr>
        <w:t>(2)</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Loss was $2.6 million in the second quarter 2026 due primarily to the difference in the timing of deferred revenue recognition and the increase in sales and marketing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Cash and cash equivalents remained strong at $33 million as of June 30, 2026, which includes the $12.2 million cash disbursement in April 2026 related to the previously disclosed legal settlement and the associated repurchase of 3% of total shares outstanding.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Paid Subscribers were 400 thousand as of June 30, 2026, compared to 381 thousand as of March 31, 2026. Active Free subscribers were 2.1 million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Raised FY 2026 guidance for Billings by 10% to $330.0 million, which represents a 21.7% full year increase compared to FY 2025.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Dividends paid to Class A Shareholders during the quarter were $0.45 per share. No change to full year dividend target of $1.80 per share.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All quarterly results reported herein are unaudited.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Net Revenue (a GAAP measure) represents Billings that are recognized over the term of the subscription, which can be multiple years. Billings are amounts invoiced to customers in the period and is thus indicative of the current operating environment and demand for our products.</w:t>
      </w:r>
    </w:p>
    <w:p>
      <w:pPr>
        <w:pStyle w:val="TextBody"/>
        <w:bidi w:val="0"/>
        <w:spacing w:before="0" w:after="0"/>
        <w:ind w:left="0" w:right="0" w:hanging="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we shared in mid-July, the operational momentum from the first quarter continued into the second quarter as Billings topped $91 million on the back of higher customer acquisition, improved customer retention, and strong conversion of our higher priced products” said Dr. David Eifrig, Chief Executive Officer. “Our strategy is simple. Acquire the right customers with compelling products and ideas, earn trust as we educate and empower, and then deepen our relationship with our customers over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Eifrig continued, “As we mentioned previously, for the first quarter, and continuing into the second quarter, we meaningfully increased investment in customer acquisition. This opportunistic marketing investment resulted in a strong increase in Paid Subscribers during the first and second quarters. Consistent with our plans, we now moderate customer acquisition and shift toward disciplined cash generation for the balance of the year. This is the strategic core of our business model, where we toggle between growth and margin, </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 near real-time basis, in response to market conditions and opportunity. As such, while margins were lower in the first half of 2026 due to an increase in investment in customer acquisition, we expect margins to increase significantly in the second half of the year.” </w:t>
      </w:r>
    </w:p>
    <w:p>
      <w:pPr>
        <w:pStyle w:val="TextBody"/>
        <w:bidi w:val="0"/>
        <w:spacing w:lineRule="auto" w:line="288" w:before="0" w:after="180"/>
        <w:jc w:val="left"/>
        <w:rPr>
          <w:color w:val="000000"/>
          <w:shd w:fill="FFFFFF" w:val="clear"/>
        </w:rPr>
      </w:pPr>
      <w:r>
        <w:rPr>
          <w:color w:val="000000"/>
          <w:shd w:fill="FFFFFF" w:val="clear"/>
        </w:rPr>
        <w:t>“</w:t>
      </w:r>
      <w:r>
        <w:rPr>
          <w:rFonts w:ascii="Times New Roman;serif" w:hAnsi="Times New Roman;serif"/>
          <w:b w:val="false"/>
          <w:color w:val="000000"/>
          <w:sz w:val="20"/>
          <w:shd w:fill="FFFFFF" w:val="clear"/>
        </w:rPr>
        <w:t>Regarding our financial guidance, given the robust growth in the first half of 2026, we are increasing our FY 2026 Billings Target by 10% to $330 million, which represents a 21.7% increase compared to FY 2025.”</w:t>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Finally, as I mentioned last quarter, we recently completed a review of our long-term strategic plan with our Board of Directors. To reiterate some of those points, I am more excited than ever about our plans to provide high-quality products for our customers while delivering strong top-line growth coupled with margin expansion over time. The plan also forges the alignment of incentives as we execute our business strategy. Achieving our ambitious plans will require discipline, innovation, and operational creativity. We have fantastic brands, fantastic teams, and a strategy designed to enhance value for subscribers and shareholders."</w:t>
      </w:r>
    </w:p>
    <w:p>
      <w:pPr>
        <w:pStyle w:val="TextBody"/>
        <w:bidi w:val="0"/>
        <w:spacing w:before="0" w:after="0"/>
        <w:ind w:left="0" w:right="0" w:hanging="360"/>
        <w:jc w:val="left"/>
        <w:rPr/>
      </w:pPr>
      <w:r>
        <w:rPr/>
      </w:r>
    </w:p>
    <w:p>
      <w:pPr>
        <w:pStyle w:val="TextBody"/>
        <w:bidi w:val="0"/>
        <w:spacing w:before="0" w:after="180"/>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summary results and selected financial data are as follows:</w:t>
      </w:r>
    </w:p>
    <w:tbl>
      <w:tblPr>
        <w:tblW w:w="10205" w:type="dxa"/>
        <w:jc w:val="left"/>
        <w:tblInd w:w="0" w:type="dxa"/>
        <w:tblLayout w:type="fixed"/>
        <w:tblCellMar>
          <w:top w:w="28" w:type="dxa"/>
          <w:left w:w="28" w:type="dxa"/>
          <w:bottom w:w="28" w:type="dxa"/>
          <w:right w:w="28" w:type="dxa"/>
        </w:tblCellMar>
      </w:tblPr>
      <w:tblGrid>
        <w:gridCol w:w="857"/>
        <w:gridCol w:w="617"/>
        <w:gridCol w:w="618"/>
        <w:gridCol w:w="126"/>
        <w:gridCol w:w="126"/>
        <w:gridCol w:w="126"/>
        <w:gridCol w:w="126"/>
        <w:gridCol w:w="126"/>
        <w:gridCol w:w="126"/>
        <w:gridCol w:w="295"/>
        <w:gridCol w:w="270"/>
        <w:gridCol w:w="272"/>
        <w:gridCol w:w="126"/>
        <w:gridCol w:w="126"/>
        <w:gridCol w:w="126"/>
        <w:gridCol w:w="295"/>
        <w:gridCol w:w="270"/>
        <w:gridCol w:w="272"/>
        <w:gridCol w:w="126"/>
        <w:gridCol w:w="126"/>
        <w:gridCol w:w="126"/>
        <w:gridCol w:w="295"/>
        <w:gridCol w:w="270"/>
        <w:gridCol w:w="272"/>
        <w:gridCol w:w="126"/>
        <w:gridCol w:w="126"/>
        <w:gridCol w:w="126"/>
        <w:gridCol w:w="295"/>
        <w:gridCol w:w="310"/>
        <w:gridCol w:w="315"/>
        <w:gridCol w:w="126"/>
        <w:gridCol w:w="126"/>
        <w:gridCol w:w="126"/>
        <w:gridCol w:w="295"/>
        <w:gridCol w:w="310"/>
        <w:gridCol w:w="315"/>
        <w:gridCol w:w="126"/>
        <w:gridCol w:w="126"/>
        <w:gridCol w:w="126"/>
        <w:gridCol w:w="353"/>
        <w:gridCol w:w="327"/>
        <w:gridCol w:w="436"/>
      </w:tblGrid>
      <w:tr>
        <w:trPr/>
        <w:tc>
          <w:tcPr>
            <w:tcW w:w="85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(Unaudited, in millions, except per share data or otherwise noted)</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2Q 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3Q 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4Q 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1Q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2Q 2026</w:t>
            </w:r>
          </w:p>
        </w:tc>
        <w:tc>
          <w:tcPr>
            <w:tcW w:w="37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TTM 2Q 2026</w:t>
            </w:r>
          </w:p>
        </w:tc>
      </w:tr>
      <w:tr>
        <w:trPr/>
        <w:tc>
          <w:tcPr>
            <w:tcW w:w="2092" w:type="dxa"/>
            <w:gridSpan w:val="3"/>
            <w:tcBorders>
              <w:top w:val="single" w:sz="4"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Subscribers (in thousands)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7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3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FFFF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w:t>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New "Marketing" Billings </w:t>
            </w:r>
            <w:r>
              <w:rPr>
                <w:rFonts w:ascii="Times New Roman;serif" w:hAnsi="Times New Roman;serif"/>
                <w:b w:val="false"/>
                <w:color w:val="000000"/>
                <w:sz w:val="13"/>
              </w:rPr>
              <w:t>(1)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37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CCEE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Net "Renewal" Billings </w:t>
            </w:r>
            <w:r>
              <w:rPr>
                <w:rFonts w:ascii="Times New Roman;serif" w:hAnsi="Times New Roman;serif"/>
                <w:b w:val="false"/>
                <w:color w:val="000000"/>
                <w:sz w:val="13"/>
              </w:rPr>
              <w:t>(2)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3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FFFF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Other Billings </w:t>
            </w:r>
            <w:r>
              <w:rPr>
                <w:rFonts w:ascii="Times New Roman;serif" w:hAnsi="Times New Roman;serif"/>
                <w:b w:val="false"/>
                <w:color w:val="000000"/>
                <w:sz w:val="13"/>
              </w:rPr>
              <w:t>(3)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7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CCEE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Total Billings</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w:t>
            </w:r>
          </w:p>
        </w:tc>
        <w:tc>
          <w:tcPr>
            <w:tcW w:w="3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FFFF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315.1</w:t>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ARPU (in dollars)</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c>
          <w:tcPr>
            <w:tcW w:w="37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CCEE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w:t>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FFFF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CFFO </w:t>
            </w:r>
            <w:r>
              <w:rPr>
                <w:rFonts w:ascii="Times New Roman;serif" w:hAnsi="Times New Roman;serif"/>
                <w:b w:val="false"/>
                <w:color w:val="000000"/>
                <w:sz w:val="13"/>
              </w:rPr>
              <w:t>(4)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7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CCEE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3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FFFF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37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CCEE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0.79</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37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CCEE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w:t>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3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FFFF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0.87</w:t>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Regular dividends per Class A share </w:t>
            </w:r>
            <w:r>
              <w:rPr>
                <w:rFonts w:ascii="Times New Roman;serif" w:hAnsi="Times New Roman;serif"/>
                <w:b w:val="false"/>
                <w:color w:val="000000"/>
                <w:sz w:val="13"/>
              </w:rPr>
              <w:t>(5) (6)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3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FFFF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w:t>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Special dividends per Class A share </w:t>
            </w:r>
            <w:r>
              <w:rPr>
                <w:rFonts w:ascii="Times New Roman;serif" w:hAnsi="Times New Roman;serif"/>
                <w:b w:val="false"/>
                <w:color w:val="000000"/>
                <w:sz w:val="13"/>
              </w:rPr>
              <w:t>(5) (6)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37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right w:val="single" w:sz="8" w:space="0" w:color="000000"/>
            </w:tcBorders>
            <w:shd w:fill="CCEE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Total dividends per Class A share </w:t>
            </w:r>
            <w:r>
              <w:rPr>
                <w:rFonts w:ascii="Times New Roman;serif" w:hAnsi="Times New Roman;serif"/>
                <w:b w:val="false"/>
                <w:color w:val="000000"/>
                <w:sz w:val="13"/>
              </w:rPr>
              <w:t>(5) (6)</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37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top w:val="single" w:sz="8" w:space="0" w:color="000000"/>
              <w:right w:val="single" w:sz="8" w:space="0" w:color="000000"/>
            </w:tcBorders>
            <w:shd w:fill="FFFFFF" w:val="clear"/>
            <w:tcMar>
              <w:top w:w="3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Class A Shares </w:t>
            </w:r>
            <w:r>
              <w:rPr>
                <w:rFonts w:ascii="Times New Roman;serif" w:hAnsi="Times New Roman;serif"/>
                <w:b w:val="false"/>
                <w:color w:val="000000"/>
                <w:sz w:val="13"/>
              </w:rPr>
              <w:t>(7)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7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right w:val="single" w:sz="8" w:space="0" w:color="000000"/>
            </w:tcBorders>
            <w:shd w:fill="FFFF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Class B Shares </w:t>
            </w:r>
            <w:r>
              <w:rPr>
                <w:rFonts w:ascii="Times New Roman;serif" w:hAnsi="Times New Roman;serif"/>
                <w:b w:val="false"/>
                <w:color w:val="000000"/>
                <w:sz w:val="13"/>
              </w:rPr>
              <w:t>(7)</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7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right w:val="single" w:sz="8" w:space="0" w:color="000000"/>
            </w:tcBorders>
            <w:shd w:fill="CCEEFF" w:val="clear"/>
            <w:tcMar>
              <w:top w:w="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209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Total Shares </w:t>
            </w:r>
            <w:r>
              <w:rPr>
                <w:rFonts w:ascii="Times New Roman;serif" w:hAnsi="Times New Roman;serif"/>
                <w:b w:val="false"/>
                <w:color w:val="000000"/>
                <w:sz w:val="13"/>
              </w:rPr>
              <w:t>(7)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37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right w:val="single" w:sz="8" w:space="0" w:color="000000"/>
            </w:tcBorders>
            <w:shd w:fill="FFFFFF" w:val="clear"/>
            <w:tcMar>
              <w:top w:w="30" w:type="dxa"/>
              <w:left w:w="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right w:val="single" w:sz="8"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42"/>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18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billings from all new subscription sales to new and existing subscribers.</w:t>
            </w:r>
          </w:p>
        </w:tc>
      </w:tr>
      <w:tr>
        <w:trPr/>
        <w:tc>
          <w:tcPr>
            <w:tcW w:w="10205" w:type="dxa"/>
            <w:gridSpan w:val="42"/>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88" w:before="0" w:after="18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billings attributable to renewal and maintenance fee payments. Excludes Membership sales.</w:t>
            </w:r>
          </w:p>
        </w:tc>
      </w:tr>
      <w:tr>
        <w:trPr/>
        <w:tc>
          <w:tcPr>
            <w:tcW w:w="10205" w:type="dxa"/>
            <w:gridSpan w:val="42"/>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18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Includes primarily billings from Revenue Share, Advertising, and Conferences.</w:t>
            </w:r>
          </w:p>
        </w:tc>
      </w:tr>
      <w:tr>
        <w:trPr/>
        <w:tc>
          <w:tcPr>
            <w:tcW w:w="10205" w:type="dxa"/>
            <w:gridSpan w:val="42"/>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88" w:before="0" w:after="18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CFFO will fluctuate from quarter to quarter based on inherent variability in our business (2Q and 4Q tend to be higher; 1Q and 3Q, lower). CFFO can also be impacted by timing of product launches, marketing campaigns and discreet working capital items.</w:t>
            </w:r>
          </w:p>
          <w:p>
            <w:pPr>
              <w:pStyle w:val="TableContents"/>
              <w:bidi w:val="0"/>
              <w:spacing w:before="0" w:after="180"/>
              <w:jc w:val="left"/>
              <w:rPr/>
            </w:pPr>
            <w:r>
              <w:rPr/>
            </w:r>
          </w:p>
          <w:p>
            <w:pPr>
              <w:pStyle w:val="TableContents"/>
              <w:bidi w:val="0"/>
              <w:spacing w:before="0" w:after="180"/>
              <w:jc w:val="left"/>
              <w:rPr/>
            </w:pPr>
            <w:r>
              <w:rPr/>
            </w:r>
          </w:p>
        </w:tc>
      </w:tr>
      <w:tr>
        <w:trPr/>
        <w:tc>
          <w:tcPr>
            <w:tcW w:w="10205" w:type="dxa"/>
            <w:gridSpan w:val="42"/>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18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Dividends prior to April 2, 2025 have been retroactively adjusted to give effect to the 1-for-20 reverse stock split. See dividend guidance in the “Full Year 2026 Targets” section below.</w:t>
            </w:r>
          </w:p>
        </w:tc>
      </w:tr>
      <w:tr>
        <w:trPr/>
        <w:tc>
          <w:tcPr>
            <w:tcW w:w="10205" w:type="dxa"/>
            <w:gridSpan w:val="42"/>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88" w:before="0" w:after="18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A portion of the dividends paid to Class A shareholders are a result of our corporate structure, resulting tax distribution payments, and excess tax distributions received by the Company. Historically, we have characterized these dividends that are funded from the excess tax distributions (currently at $0.20) as “special”. However, given the mechanical nature of the excess tax distribution and resulting dividend, along with the expectation that tax distributions will continue, beginning in Q3 2026 these dividends will be recharacterized as “regular” along with the other recurring regular dividend of $0.25, for a total quarterly dividend of $0.45.</w:t>
            </w:r>
          </w:p>
        </w:tc>
      </w:tr>
      <w:tr>
        <w:trPr/>
        <w:tc>
          <w:tcPr>
            <w:tcW w:w="10205" w:type="dxa"/>
            <w:gridSpan w:val="42"/>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88" w:before="0" w:after="18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 xml:space="preserve">Excludes Management and Sponsor Earnout Shares. Amount in the </w:t>
            </w:r>
            <w:r>
              <w:rPr>
                <w:rFonts w:ascii="Times New Roman;serif" w:hAnsi="Times New Roman;serif"/>
                <w:b/>
                <w:color w:val="000000"/>
                <w:sz w:val="20"/>
              </w:rPr>
              <w:t>TTM 2Q 2026</w:t>
            </w:r>
            <w:r>
              <w:rPr>
                <w:color w:val="000000"/>
              </w:rPr>
              <w:t xml:space="preserve"> </w:t>
            </w:r>
            <w:r>
              <w:rPr>
                <w:rFonts w:ascii="Times New Roman;serif" w:hAnsi="Times New Roman;serif"/>
                <w:b w:val="false"/>
                <w:color w:val="000000"/>
                <w:sz w:val="20"/>
              </w:rPr>
              <w:t>column is the average of the last four quarters</w:t>
            </w:r>
          </w:p>
        </w:tc>
      </w:tr>
      <w:tr>
        <w:trPr/>
        <w:tc>
          <w:tcPr>
            <w:tcW w:w="209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09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GAAP Net Revenue versus Billings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GAAP Net Revenue represents cash received by the Company for the sale of subscriptions which are then recognized as revenue for GAAP purposes over the term of the subscription, or up to 5 years. Cash received by the company is recorded as Deferred Revenue on the Balance Sheet until such amounts are recognized as GAAP Net Revenue. Given the deferred nature of revenue recognition, there can be a significant lag between when cash is received by the Company and when revenue is recognized in the Income Statement. To illustrate, Net Revenue recognized in Q2 2026 included significant cash sales from 2021 and 2022. As such, GAAP Net Revenue may not be indicative of the current trajectory or operating environment of the Company. In contrast, Billings, represent current period cash sales by the Company which is reflective of the current, real-time operating activity of the Company. The disconnect between GAAP Net Revenue and the current trajectory of the Company can be observed in our 2026 results. Specifically, GAAP Net Revenue declined 5.2% from Q2 2025 to Q2 2026 whereas Billings, the actual cash sales of the business, increased 56.7%. We expect a similar dynamic to occur during FY 2026 where GAAP Net Revenue will decline while customer sales activity and Billings increase. Billings tend to lead Net Revenue by 12-24 months, on average, and as such we expect Net Revenue to stabilize in 2026 and return to growth in 2027.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historical relationship between GAAP Net Revenue and Billings is illustrated in the following chart:</w:t>
      </w:r>
    </w:p>
    <w:p>
      <w:pPr>
        <w:pStyle w:val="TextBody"/>
        <w:bidi w:val="0"/>
        <w:spacing w:before="0" w:after="180"/>
        <w:jc w:val="left"/>
        <w:rPr/>
      </w:pPr>
      <w:r>
        <w:rPr/>
        <w:drawing>
          <wp:inline distT="0" distB="0" distL="0" distR="0">
            <wp:extent cx="5943600" cy="28289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5943600" cy="2828925"/>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Selected Operational and Financial Supplemental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providing the additional information below to provide further context on results and trends.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Paid Subscribers</w:t>
      </w:r>
    </w:p>
    <w:p>
      <w:pPr>
        <w:pStyle w:val="TextBody"/>
        <w:bidi w:val="0"/>
        <w:spacing w:lineRule="auto" w:line="288" w:before="0" w:after="180"/>
        <w:jc w:val="left"/>
        <w:rPr/>
      </w:pPr>
      <w:r>
        <w:rPr>
          <w:rFonts w:ascii="Times New Roman;serif" w:hAnsi="Times New Roman;serif"/>
          <w:b w:val="false"/>
          <w:color w:val="000000"/>
          <w:sz w:val="20"/>
        </w:rPr>
        <w:t xml:space="preserve">Paid Subscribers at June 30, 2026 were </w:t>
      </w:r>
      <w:r>
        <w:rPr>
          <w:rFonts w:ascii="Times New Roman;serif" w:hAnsi="Times New Roman;serif"/>
          <w:b w:val="false"/>
          <w:color w:val="000000"/>
          <w:sz w:val="20"/>
          <w:shd w:fill="FFFFFF" w:val="clear"/>
        </w:rPr>
        <w:t>400 thousand</w:t>
      </w:r>
      <w:r>
        <w:rPr>
          <w:rFonts w:ascii="Times New Roman;serif" w:hAnsi="Times New Roman;serif"/>
          <w:b w:val="false"/>
          <w:color w:val="000000"/>
          <w:sz w:val="20"/>
        </w:rPr>
        <w:t xml:space="preserve">, an increase of </w:t>
      </w:r>
      <w:r>
        <w:rPr>
          <w:rFonts w:ascii="Times New Roman;serif" w:hAnsi="Times New Roman;serif"/>
          <w:b w:val="false"/>
          <w:color w:val="000000"/>
          <w:sz w:val="20"/>
          <w:shd w:fill="FFFFFF" w:val="clear"/>
        </w:rPr>
        <w:t>19 thousand</w:t>
      </w:r>
      <w:r>
        <w:rPr>
          <w:color w:val="000000"/>
        </w:rPr>
        <w:t xml:space="preserve"> </w:t>
      </w:r>
      <w:r>
        <w:rPr>
          <w:rFonts w:ascii="Times New Roman;serif" w:hAnsi="Times New Roman;serif"/>
          <w:b w:val="false"/>
          <w:color w:val="000000"/>
          <w:sz w:val="20"/>
        </w:rPr>
        <w:t>or 4.8% from 381 thousand as of March 31, 2026. The increase in Paid Subscribers, as presented in the chart below, is a result of compelling products and content combined with the significant investment in direct marketing in the first half of 2026. Our plan for the second half of 2026 is to scale back marketing investment and focus on monetization of existing subscribers which could result in modest declines in Paid Subscribers as we strategically balance growth and margin.</w:t>
      </w: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before="0" w:after="180"/>
        <w:jc w:val="left"/>
        <w:rPr/>
      </w:pPr>
      <w:r>
        <w:rPr/>
        <w:drawing>
          <wp:inline distT="0" distB="0" distL="0" distR="0">
            <wp:extent cx="5495925" cy="32004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5495925" cy="320040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Subscriber Composition Trends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2.1 million Active Free Subscribers. Part of the Company’s acquisition strategy is to convert Active Free Subscribers to Paid Subscribers. As of June 30, 2026, the Company had 400 thousand Paid Subscribers, which is an increase of 4.8% compared to March 31,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previously disclosed, the Company’s strategy has pivoted since mid-2024 to focus on higher priced products. Thus, while Paid Subscribers have declined over the last 2 years in absolute terms, with modest sequential improvement in the two most recent quarters, the quality and lifetime spend of the subscribers have increased.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illustrated in the chart below, the customer mix has improved over time with 61% of customers as of June 30, 2026, having a lifetime spend of more than $500. In contrast, the majority of customer churn is from the lower value tiers as those cohorts generally continue to decline as a percent of the total. As of June 30, 2026, however, the $500 or less cohort increased due to the successful customer acquisition efforts in the quarter. As these new customers purchase additional products, we expect lifetime spend for this cohort to increase.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positive mix shift and improvement in customer quality has contributed to the Billings and ARPU growth experienced over the last several quarters.</w:t>
      </w: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before="0" w:after="180"/>
        <w:jc w:val="left"/>
        <w:rPr/>
      </w:pPr>
      <w:r>
        <w:rPr/>
        <w:drawing>
          <wp:inline distT="0" distB="0" distL="0" distR="0">
            <wp:extent cx="5943600" cy="28289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5943600" cy="2828925"/>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Billings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the period of Billings declines from 2021 through mid-2024, the Company experienced an inflection point in Q4 2024 with a return to sequential Billings growth. Billings have continued a steady increase with an increase in Q2 2026 Billings of 57% year over year and 12% sequentially, to approximately $91.2 million. The increased Billings, which represents the highest total since 2023, was the result of our marketing efforts in the quarter which yielded a significant cohort of new subscribers combined with strong revenue retention from existing subscribers. The chart below illustrates Billings trends over the last several quarters and demonstrates the sustained recovery in Billings since Q3 2024.</w:t>
      </w: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before="0" w:after="180"/>
        <w:jc w:val="left"/>
        <w:rPr/>
      </w:pPr>
      <w:r>
        <w:rPr/>
        <w:drawing>
          <wp:inline distT="0" distB="0" distL="0" distR="0">
            <wp:extent cx="5581650" cy="6057900"/>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5"/>
                    <a:stretch>
                      <a:fillRect/>
                    </a:stretch>
                  </pic:blipFill>
                  <pic:spPr bwMode="auto">
                    <a:xfrm>
                      <a:off x="0" y="0"/>
                      <a:ext cx="5581650" cy="605790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Cash Flow from Operating Activities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CFFO was $22.4 million for the three months ended June 30, 2026 which was an increase of $4.6 million compared to Q2 2025. For the six months ended June 30, 2026, CFFO was $20.3 million compared to $19.6 million for the same period in FY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nature of our business, and as illustrated in the chart below, CFFO fluctuates from quarter to quarter. Specifically, Q2 and Q4 tend to have higher CFFO while Q1 and Q3 tend to have lower CFFO. The amount of CFFO in any given quarter is impacted by the timing of product launches, marketing campaigns, and discrete working capital items.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this variability, we believe it is useful to evaluate CFFO trends over multiple quarters, or a full year.</w:t>
      </w:r>
    </w:p>
    <w:p>
      <w:pPr>
        <w:pStyle w:val="TextBody"/>
        <w:bidi w:val="0"/>
        <w:spacing w:before="0" w:after="180"/>
        <w:jc w:val="left"/>
        <w:rPr/>
      </w:pPr>
      <w:r>
        <w:rPr/>
      </w: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before="0" w:after="180"/>
        <w:jc w:val="left"/>
        <w:rPr/>
      </w:pPr>
      <w:r>
        <w:rPr/>
        <w:drawing>
          <wp:inline distT="0" distB="0" distL="0" distR="0">
            <wp:extent cx="5943600" cy="51054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6"/>
                    <a:stretch>
                      <a:fillRect/>
                    </a:stretch>
                  </pic:blipFill>
                  <pic:spPr bwMode="auto">
                    <a:xfrm>
                      <a:off x="0" y="0"/>
                      <a:ext cx="5943600" cy="5105400"/>
                    </a:xfrm>
                    <a:prstGeom prst="rect">
                      <a:avLst/>
                    </a:prstGeom>
                  </pic:spPr>
                </pic:pic>
              </a:graphicData>
            </a:graphic>
          </wp:inline>
        </w:drawing>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Balance Sheet and Capital Structure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held cash and cash equivalents of $33 million, down from $53 million at March 31, 2026. The decrease was primarily due to a $12.2 million cash disbursement made in April 2026 in connection to the previously disclosed legal settlement, including termination of related rights under the Company’s Tax Receivable Agreement and resolution of the associated litigation claims. The disbursement also resulted in the buyback of 3% of the Company’s total shares outstanding.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we expected FY 2026 tax distributions to decline to approximately $35.0 million, nearly $14.8 million below FY 2025. However, given continued improvement in business performance, full-year 2026 tax distributions are now expected to be approximately $40.0 million. Consistent with the timing of FY 2025 tax distribution payments, FY 2026 distributions will be higher in the first half of the year and lower in the second half. As a result, due to the timing of tax distribution payments and higher expected margins in the second half of the year, we expect overall cash balances to increase during the second half of 2026.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MarketWise Inc.’s Class A common stock trades on the Nasdaq Global Market under the symbol "MKTW." As of June 30, 2026, the Company had 2,666,908 Class A common shares and 12,986,774 Class B common shares issued and outstanding, totaling 15,653,682 Class A and Class B common shares. </w:t>
      </w: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When determining the market capitalization or equity value of the Company, we believe it is appropriate to include the total of the Class A and Class B common shares. Net Income attributable to noncontrolling interests on Condensed Consolidated Statements of Operations is primarily associated with these Class B shares and is a result of our corporate structure.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FY 2026 Targets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strategic plans and initiatives are built around bringing high-quality investing ideas and tools to our customers at a dynamic and volatile time for markets. Our focus will continue to be on delivering high-quality products to our customers, in an efficient manner, which we believe will drive both top line growth and margin expansion. Further, we intend to continue our disciplined approach to capital allocation with a mix of dividends, share repurchases, and prudent investments in our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FY 2026, our targets are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Billings of approximately $330 million for FY 2026, which is growth of approximately 21.7% from FY 2025 Billings.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CFFO of approximately $50 million for FY 2026 which is nearly a 10% YoY increase as compared to FY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Total dividends of $1.80 per share of MarketWise, Inc. Class A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forward-looking targets are based on trends and market conditions as they exist currently, and actual results may differ materially. In the case of dividends, amounts are subject to the ongoing approval by our Board of Directors.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About MarketWise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Founded with a mission to level the playing field for self-directed investors, today MarketWise is a leading multi-brand subscription services platform providing premium financial research, software, education, and tools for investors.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more than 25 years of operating history, MarketWise serves a community of millions of free and paid subscribers. MarketWise’s products are a trusted source for high-value financial research, education, actionable investment ideas, and investment software. MarketWise is a 100% digital, direct-to-customer company offering its research across a variety of platforms including mobile, desktops, and tablets. MarketWise has a proven, agile, and scalable platform and our vision is to become the leading financial solutions platform for self-directed investors.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Metrics and Non-GAAP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this release we discuss certain key business metrics, which we believe provide useful information about the Company’s business and the operational factors underlying the Company’s financial performance. We are not aware of any uniform standards for calculating these key metrics, which may hinder comparability with other companies who may calculate similarly titled metrics in a different way.</w:t>
      </w:r>
    </w:p>
    <w:p>
      <w:pPr>
        <w:pStyle w:val="TextBody"/>
        <w:bidi w:val="0"/>
        <w:spacing w:lineRule="auto" w:line="288" w:before="0" w:after="180"/>
        <w:jc w:val="left"/>
        <w:rPr/>
      </w:pPr>
      <w:r>
        <w:rPr>
          <w:rFonts w:ascii="Times New Roman;serif" w:hAnsi="Times New Roman;serif"/>
          <w:b w:val="false"/>
          <w:i/>
          <w:color w:val="000000"/>
          <w:sz w:val="20"/>
        </w:rPr>
        <w:t>Billings</w:t>
      </w:r>
      <w:r>
        <w:rPr>
          <w:color w:val="000000"/>
        </w:rPr>
        <w:t> </w:t>
      </w:r>
      <w:r>
        <w:rPr>
          <w:rFonts w:ascii="Times New Roman;serif" w:hAnsi="Times New Roman;serif"/>
          <w:b w:val="false"/>
          <w:color w:val="000000"/>
          <w:sz w:val="20"/>
        </w:rPr>
        <w:t xml:space="preserve">is defined as amounts invoiced to customers. </w:t>
      </w:r>
    </w:p>
    <w:p>
      <w:pPr>
        <w:pStyle w:val="TextBody"/>
        <w:bidi w:val="0"/>
        <w:spacing w:lineRule="auto" w:line="288" w:before="0" w:after="180"/>
        <w:jc w:val="left"/>
        <w:rPr/>
      </w:pPr>
      <w:r>
        <w:rPr>
          <w:rFonts w:ascii="Times New Roman;serif" w:hAnsi="Times New Roman;serif"/>
          <w:b w:val="false"/>
          <w:i/>
          <w:color w:val="000000"/>
          <w:sz w:val="20"/>
        </w:rPr>
        <w:t>Paid Subscribers</w:t>
      </w:r>
      <w:r>
        <w:rPr>
          <w:color w:val="000000"/>
        </w:rPr>
        <w:t xml:space="preserve"> </w:t>
      </w:r>
      <w:r>
        <w:rPr>
          <w:rFonts w:ascii="Times New Roman;serif" w:hAnsi="Times New Roman;serif"/>
          <w:b w:val="false"/>
          <w:color w:val="000000"/>
          <w:sz w:val="20"/>
        </w:rPr>
        <w:t xml:space="preserve">is defined as the total number of unique subscribers with at least one paid subscription at the end of the period. </w:t>
      </w:r>
    </w:p>
    <w:p>
      <w:pPr>
        <w:pStyle w:val="TextBody"/>
        <w:bidi w:val="0"/>
        <w:spacing w:lineRule="auto" w:line="288" w:before="0" w:after="180"/>
        <w:jc w:val="left"/>
        <w:rPr/>
      </w:pPr>
      <w:r>
        <w:rPr>
          <w:rFonts w:ascii="Times New Roman;serif" w:hAnsi="Times New Roman;serif"/>
          <w:b w:val="false"/>
          <w:i/>
          <w:color w:val="000000"/>
          <w:sz w:val="20"/>
        </w:rPr>
        <w:t xml:space="preserve">Active Free Subscribers </w:t>
      </w:r>
      <w:r>
        <w:rPr>
          <w:rFonts w:ascii="Times New Roman;serif" w:hAnsi="Times New Roman;serif"/>
          <w:b w:val="false"/>
          <w:color w:val="000000"/>
          <w:sz w:val="20"/>
        </w:rPr>
        <w:t>are unique subscribers who have subscribed to one of our free investment publications via a valid email address and who have received and/or consumed our content during the quarter, excluding any Paid Subscribers who also have free subscriptions.</w:t>
      </w:r>
    </w:p>
    <w:p>
      <w:pPr>
        <w:pStyle w:val="TextBody"/>
        <w:bidi w:val="0"/>
        <w:spacing w:lineRule="auto" w:line="288" w:before="0" w:after="180"/>
        <w:jc w:val="left"/>
        <w:rPr/>
      </w:pPr>
      <w:r>
        <w:rPr>
          <w:rFonts w:ascii="Times New Roman;serif" w:hAnsi="Times New Roman;serif"/>
          <w:b w:val="false"/>
          <w:i/>
          <w:color w:val="000000"/>
          <w:sz w:val="20"/>
        </w:rPr>
        <w:t>Average revenue per user</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ARPU</w:t>
      </w:r>
      <w:r>
        <w:rPr>
          <w:color w:val="000000"/>
        </w:rPr>
        <w:t xml:space="preserve"> </w:t>
      </w:r>
      <w:r>
        <w:rPr>
          <w:rFonts w:ascii="Times New Roman;serif" w:hAnsi="Times New Roman;serif"/>
          <w:b w:val="false"/>
          <w:color w:val="000000"/>
          <w:sz w:val="20"/>
        </w:rPr>
        <w:t xml:space="preserve">is defined as the trailing four quarters of net Billings divided by the average number of quarterly total Paid Subscribers over that period. </w:t>
      </w: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we believe that the below non-GAAP financial measures are useful in evaluating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 GAAP financial measures and the reconciliations of these non-GAAP financial measures to their most directly comparable GAAP financial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Management uses these non-GAAP measures internally to evaluate performance and make operating decisions, and we believe they provide a meaningful perspective to investors when used in conjunction with our GAAP results.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non-GAAP measures have limitations as analytical tools, and should not be considered in isolation or as substitutes for analysis of other GAAP financial measures, such as cash flow from operations, operating cash flow margin, and net income. Some of the limitations of using these non-GAAP measures are that these metrics may be calculated differently by other companies in our industry.</w:t>
      </w:r>
    </w:p>
    <w:p>
      <w:pPr>
        <w:pStyle w:val="TextBody"/>
        <w:bidi w:val="0"/>
        <w:spacing w:lineRule="auto" w:line="288" w:before="0" w:after="180"/>
        <w:jc w:val="left"/>
        <w:rPr/>
      </w:pPr>
      <w:r>
        <w:rPr>
          <w:rFonts w:ascii="Times New Roman;serif" w:hAnsi="Times New Roman;serif"/>
          <w:b w:val="false"/>
          <w:i/>
          <w:color w:val="000000"/>
          <w:sz w:val="20"/>
        </w:rPr>
        <w:t>Adjusted CFFO</w:t>
      </w:r>
      <w:r>
        <w:rPr>
          <w:color w:val="000000"/>
        </w:rPr>
        <w:t> </w:t>
      </w:r>
      <w:r>
        <w:rPr>
          <w:rFonts w:ascii="Times New Roman;serif" w:hAnsi="Times New Roman;serif"/>
          <w:b w:val="false"/>
          <w:color w:val="000000"/>
          <w:sz w:val="20"/>
        </w:rPr>
        <w:t xml:space="preserve">is defined as cash flow from operations (“CFFO”) plus or minus any non-recurring items. </w:t>
      </w:r>
    </w:p>
    <w:p>
      <w:pPr>
        <w:pStyle w:val="TextBody"/>
        <w:bidi w:val="0"/>
        <w:spacing w:lineRule="auto" w:line="288" w:before="0" w:after="180"/>
        <w:jc w:val="left"/>
        <w:rPr/>
      </w:pPr>
      <w:r>
        <w:rPr>
          <w:rFonts w:ascii="Times New Roman;serif" w:hAnsi="Times New Roman;serif"/>
          <w:b w:val="false"/>
          <w:i/>
          <w:color w:val="000000"/>
          <w:sz w:val="20"/>
        </w:rPr>
        <w:t>Adjusted CFFO Margin</w:t>
      </w:r>
      <w:r>
        <w:rPr>
          <w:color w:val="000000"/>
        </w:rPr>
        <w:t xml:space="preserve"> </w:t>
      </w:r>
      <w:r>
        <w:rPr>
          <w:rFonts w:ascii="Times New Roman;serif" w:hAnsi="Times New Roman;serif"/>
          <w:b w:val="false"/>
          <w:color w:val="000000"/>
          <w:sz w:val="20"/>
        </w:rPr>
        <w:t>is defined as Adjusted CFFO as a percentage of Billings.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Adjusted CFFO and Adjusted CFFO Margin are useful indicators that provide information to management and investors about our ability to generate cash, and for internal planning and forecasting purposes.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 </w:t>
      </w:r>
    </w:p>
    <w:p>
      <w:pPr>
        <w:pStyle w:val="TextBody"/>
        <w:bidi w:val="0"/>
        <w:spacing w:lineRule="auto" w:line="288" w:before="0" w:after="180"/>
        <w:jc w:val="left"/>
        <w:rPr/>
      </w:pPr>
      <w:r>
        <w:rPr>
          <w:rFonts w:ascii="Times New Roman;serif" w:hAnsi="Times New Roman;serif"/>
          <w:b w:val="false"/>
          <w:i/>
          <w:color w:val="000000"/>
          <w:sz w:val="20"/>
        </w:rPr>
        <w:t>Free Cash Flow</w:t>
      </w:r>
      <w:r>
        <w:rPr>
          <w:color w:val="000000"/>
        </w:rPr>
        <w:t xml:space="preserve"> </w:t>
      </w:r>
      <w:r>
        <w:rPr>
          <w:rFonts w:ascii="Times New Roman;serif" w:hAnsi="Times New Roman;serif"/>
          <w:b w:val="false"/>
          <w:color w:val="000000"/>
          <w:sz w:val="20"/>
        </w:rPr>
        <w:t>is defined as net cash provided by (used in) operating activities less capital expenditures. We define capital expenditures as purchases of property and equipment plus capitalized software development costs. Acquisitions are not included in capital expenditures.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believe Free Cash Flow is a useful indicator that provides information to management and investors about the cash generated by the business that is available for discretionary purposes, such as dividends and strategic investments.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(used in) operating activities to Adjusted CFFO, and net cash provided by operating activities margin as a percentage of total net revenue to Adjusted CFFO Margin, net cash provided by (used in) operating activities to Free Cash Flow, in each case, the most directly comparable financial measure calculated in accordance with generally accepted accounting principles in the United States (“GAAP”):</w:t>
      </w: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13"/>
        <w:gridCol w:w="573"/>
        <w:gridCol w:w="574"/>
        <w:gridCol w:w="109"/>
        <w:gridCol w:w="109"/>
        <w:gridCol w:w="109"/>
        <w:gridCol w:w="278"/>
        <w:gridCol w:w="245"/>
        <w:gridCol w:w="483"/>
        <w:gridCol w:w="122"/>
        <w:gridCol w:w="122"/>
        <w:gridCol w:w="122"/>
        <w:gridCol w:w="278"/>
        <w:gridCol w:w="245"/>
        <w:gridCol w:w="483"/>
        <w:gridCol w:w="109"/>
        <w:gridCol w:w="109"/>
        <w:gridCol w:w="109"/>
        <w:gridCol w:w="233"/>
        <w:gridCol w:w="233"/>
        <w:gridCol w:w="234"/>
        <w:gridCol w:w="109"/>
        <w:gridCol w:w="109"/>
        <w:gridCol w:w="109"/>
        <w:gridCol w:w="271"/>
        <w:gridCol w:w="245"/>
        <w:gridCol w:w="483"/>
        <w:gridCol w:w="118"/>
        <w:gridCol w:w="118"/>
        <w:gridCol w:w="118"/>
        <w:gridCol w:w="271"/>
        <w:gridCol w:w="245"/>
        <w:gridCol w:w="483"/>
        <w:gridCol w:w="109"/>
        <w:gridCol w:w="109"/>
        <w:gridCol w:w="109"/>
        <w:gridCol w:w="233"/>
        <w:gridCol w:w="233"/>
        <w:gridCol w:w="234"/>
        <w:gridCol w:w="109"/>
        <w:gridCol w:w="109"/>
        <w:gridCol w:w="109"/>
        <w:gridCol w:w="109"/>
        <w:gridCol w:w="109"/>
        <w:gridCol w:w="162"/>
      </w:tblGrid>
      <w:tr>
        <w:trPr/>
        <w:tc>
          <w:tcPr>
            <w:tcW w:w="91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4"/>
              </w:rPr>
            </w:pPr>
            <w:r>
              <w:rPr>
                <w:rFonts w:ascii="Times New Roman;serif" w:hAnsi="Times New Roman;serif"/>
                <w:b/>
                <w:i/>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91,160</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172,533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22,421</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200.6%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188.6%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18,727</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including statements regarding the financial position, business strategy, and the plans and objectives of management for future operations of MarketWise. These forward-looking statements generally are identified by the words “believe,” “project,” “expect,” “anticipate,” “estimate,” “intend,” “strategy,” “future,” “opportunity,” “plan,” “may,” “should,” “will,” “would,” “will be,” “will continue,” “will likely result,” “target,” and similar expressions,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our ability to attract new subscribers and to persuade existing subscribers to renew their subscription agreements with us and to purchase additional products and services from us; our ability to adequately market our products and services, and to develop additional products and product offerings; our ability to manage our growth effectively, including through acquisitions; failure to maintain and protect our reputation for trustworthiness and independence; our ability to attract, develop, and retain capable management, editors, and other key personnel; our ability to grow market share in our existing markets or any new markets we may enter; adverse or weakened conditions in the financial sector, global financial markets, and global economy; current macroeconomic events, including heightened inflation, rise in interest rates and the potential for an economic recession; failure to comply with laws and regulations or other regulatory action or investigations, including the Investment Advisers Act of 1940, as amended; our ability to respond to and adapt to changes in technology and consumer behavior; failure to successfully identify and integrate acquisitions, or dispose of assets and businesses; our public securities’ potential liquidity and trading; the impact of the regulatory environment and complexities with compliance related to such environment; our future capital needs; our ability to maintain an effective system of internal control over financial reporting, and to address and remediate existing material weaknesses in our internal control over financial reporting; and other factors beyond our control.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list of factors is not exhaustive. You should carefully consider the foregoing factors and the other risks and uncertainties described in the “Risk Factors” section of our filings with the U.S. Securities and Exchange Commission (the “SEC”). These filings identify and address other important risks and uncertainties that could cause actual events and results to differ materially from those contained in the forward-looking statements. New risks emerge from time to time. It is not possible for our management to predict all risks, nor can we assess the impact of all factors on our business or the extent to which any factor, or combination of factors, may cause actual results to </w:t>
      </w: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differ materially from those contained in any forward-looking statements we may make. In light of these risks, uncertainties and assumptions, the forward-looking events and circumstances discussed in this press release may not occur and actual results could differ materially and adversely from those anticipated.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Table 1. Income Statement</w:t>
      </w:r>
    </w:p>
    <w:tbl>
      <w:tblPr>
        <w:tblW w:w="10205" w:type="dxa"/>
        <w:jc w:val="left"/>
        <w:tblInd w:w="0" w:type="dxa"/>
        <w:tblLayout w:type="fixed"/>
        <w:tblCellMar>
          <w:top w:w="28" w:type="dxa"/>
          <w:left w:w="28" w:type="dxa"/>
          <w:bottom w:w="28" w:type="dxa"/>
          <w:right w:w="28" w:type="dxa"/>
        </w:tblCellMar>
      </w:tblPr>
      <w:tblGrid>
        <w:gridCol w:w="1608"/>
        <w:gridCol w:w="1377"/>
        <w:gridCol w:w="1382"/>
        <w:gridCol w:w="109"/>
        <w:gridCol w:w="109"/>
        <w:gridCol w:w="109"/>
        <w:gridCol w:w="211"/>
        <w:gridCol w:w="721"/>
        <w:gridCol w:w="109"/>
        <w:gridCol w:w="109"/>
        <w:gridCol w:w="109"/>
        <w:gridCol w:w="109"/>
        <w:gridCol w:w="211"/>
        <w:gridCol w:w="721"/>
        <w:gridCol w:w="109"/>
        <w:gridCol w:w="211"/>
        <w:gridCol w:w="826"/>
        <w:gridCol w:w="109"/>
        <w:gridCol w:w="109"/>
        <w:gridCol w:w="109"/>
        <w:gridCol w:w="109"/>
        <w:gridCol w:w="211"/>
        <w:gridCol w:w="826"/>
        <w:gridCol w:w="109"/>
        <w:gridCol w:w="109"/>
        <w:gridCol w:w="109"/>
        <w:gridCol w:w="109"/>
        <w:gridCol w:w="156"/>
      </w:tblGrid>
      <w:tr>
        <w:trPr/>
        <w:tc>
          <w:tcPr>
            <w:tcW w:w="160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(Unaudited, in thousands, except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MarketWise,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Cost of revenue, sales and marketing, general and administrative, and research and development expenses are exclusive of depreciation and amortization shown as a separate line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Table 2. Balance Sheet</w:t>
      </w:r>
    </w:p>
    <w:tbl>
      <w:tblPr>
        <w:tblW w:w="10205" w:type="dxa"/>
        <w:jc w:val="left"/>
        <w:tblInd w:w="0" w:type="dxa"/>
        <w:tblLayout w:type="fixed"/>
        <w:tblCellMar>
          <w:top w:w="28" w:type="dxa"/>
          <w:left w:w="28" w:type="dxa"/>
          <w:bottom w:w="28" w:type="dxa"/>
          <w:right w:w="28" w:type="dxa"/>
        </w:tblCellMar>
      </w:tblPr>
      <w:tblGrid>
        <w:gridCol w:w="2678"/>
        <w:gridCol w:w="2202"/>
        <w:gridCol w:w="2219"/>
        <w:gridCol w:w="278"/>
        <w:gridCol w:w="1047"/>
        <w:gridCol w:w="154"/>
        <w:gridCol w:w="109"/>
        <w:gridCol w:w="109"/>
        <w:gridCol w:w="109"/>
        <w:gridCol w:w="233"/>
        <w:gridCol w:w="877"/>
        <w:gridCol w:w="190"/>
      </w:tblGrid>
      <w:tr>
        <w:trPr/>
        <w:tc>
          <w:tcPr>
            <w:tcW w:w="2678"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 except share and per share data)</w:t>
            </w:r>
          </w:p>
        </w:tc>
        <w:tc>
          <w:tcPr>
            <w:tcW w:w="14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receivables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 current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131,701 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30,043 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 noncurrent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11,007 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218,379 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deficit</w:t>
            </w:r>
          </w:p>
        </w:tc>
        <w:tc>
          <w:tcPr>
            <w:tcW w:w="14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and other payables</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payables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33,221 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and other contract liabilities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183,798 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current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Related party TRA liability, current (Note 10)</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3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234,204 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 and other contract liabilities, noncurrent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185,754 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TRA liability, noncurrent (Note 10)</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noncurrent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noncurrent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453,145 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432,004 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deficit:</w:t>
            </w:r>
          </w:p>
        </w:tc>
        <w:tc>
          <w:tcPr>
            <w:tcW w:w="14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 Class A, par value of $0.0001 per share, 47,500,000 shares authorized; 2,666,908 and 2,445,010 shares issued and outstanding at June 30, 2026 and December 31, 2025, respectively</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 Class B, par value of $0.0001 per share, 15,000,000 shares authorized; 12,986,774 and 13,612,641 shares issued and outstanding at June 30, 2026 and December 31, 2025, respectively</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 par value of $0.0001 per share, 100,000,000 shares authorized; 0 shares issued and outstanding at June 30, 2026 and December 31, 2025, respectively</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101,945 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(113,664)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deficit attributable to MarketWise, Inc.</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(11,682)</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(201,943)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deficit</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(213,625)</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deficit</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185,875 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218,379 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Table 3. Cash Flows</w:t>
      </w:r>
    </w:p>
    <w:tbl>
      <w:tblPr>
        <w:tblW w:w="8736" w:type="dxa"/>
        <w:jc w:val="left"/>
        <w:tblInd w:w="0" w:type="dxa"/>
        <w:tblLayout w:type="fixed"/>
        <w:tblCellMar>
          <w:top w:w="28" w:type="dxa"/>
          <w:left w:w="28" w:type="dxa"/>
          <w:bottom w:w="28" w:type="dxa"/>
          <w:right w:w="28" w:type="dxa"/>
        </w:tblCellMar>
      </w:tblPr>
      <w:tblGrid>
        <w:gridCol w:w="2221"/>
        <w:gridCol w:w="1954"/>
        <w:gridCol w:w="1960"/>
        <w:gridCol w:w="109"/>
        <w:gridCol w:w="109"/>
        <w:gridCol w:w="109"/>
        <w:gridCol w:w="196"/>
        <w:gridCol w:w="646"/>
        <w:gridCol w:w="109"/>
        <w:gridCol w:w="109"/>
        <w:gridCol w:w="109"/>
        <w:gridCol w:w="109"/>
        <w:gridCol w:w="196"/>
        <w:gridCol w:w="646"/>
        <w:gridCol w:w="154"/>
      </w:tblGrid>
      <w:tr>
        <w:trPr/>
        <w:tc>
          <w:tcPr>
            <w:tcW w:w="222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(Unaudited,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of 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gains on foreign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Related party receivables and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and other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and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units withheld to pay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paid to Class A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stock and reduction in related TRA liability as part of legal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MarketWise Investor Relations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Erik Mickels – Chief Operating and Financial Officer</w:t>
      </w:r>
    </w:p>
    <w:p>
      <w:pPr>
        <w:pStyle w:val="TextBody"/>
        <w:bidi w:val="0"/>
        <w:spacing w:lineRule="auto" w:line="288" w:before="0" w:after="0"/>
        <w:jc w:val="left"/>
        <w:rPr/>
      </w:pPr>
      <w:r>
        <w:rPr>
          <w:rFonts w:ascii="Times New Roman;serif" w:hAnsi="Times New Roman;serif"/>
          <w:b w:val="false"/>
          <w:color w:val="000000"/>
          <w:sz w:val="20"/>
        </w:rPr>
        <w:t xml:space="preserve">Email: </w:t>
      </w:r>
      <w:r>
        <w:rPr>
          <w:rFonts w:ascii="Times New Roman;serif" w:hAnsi="Times New Roman;serif"/>
          <w:b w:val="false"/>
          <w:color w:val="0E32E1"/>
          <w:sz w:val="20"/>
          <w:u w:val="single"/>
        </w:rPr>
        <w:t>ir@marketwise.com</w:t>
      </w:r>
    </w:p>
    <w:p>
      <w:pPr>
        <w:pStyle w:val="TextBody"/>
        <w:bidi w:val="0"/>
        <w:spacing w:before="0" w:after="18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MarketWise Media Contact</w:t>
      </w:r>
    </w:p>
    <w:p>
      <w:pPr>
        <w:pStyle w:val="TextBody"/>
        <w:bidi w:val="0"/>
        <w:spacing w:lineRule="auto" w:line="288"/>
        <w:jc w:val="left"/>
        <w:rPr/>
      </w:pPr>
      <w:r>
        <w:rPr>
          <w:rFonts w:ascii="Times New Roman;serif" w:hAnsi="Times New Roman;serif"/>
          <w:b w:val="false"/>
          <w:color w:val="000000"/>
          <w:sz w:val="20"/>
        </w:rPr>
        <w:t xml:space="preserve">Email: </w:t>
      </w:r>
      <w:r>
        <w:rPr>
          <w:rFonts w:ascii="Times New Roman;serif" w:hAnsi="Times New Roman;serif"/>
          <w:b w:val="false"/>
          <w:color w:val="0E32E1"/>
          <w:sz w:val="20"/>
          <w:u w:val="single"/>
        </w:rPr>
        <w:t>media@marketwise.com</w:t>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5444</Words>
  <Characters>29564</Characters>
  <CharactersWithSpaces>34363</CharactersWithSpaces>
  <Paragraphs>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