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495300</wp:posOffset>
            </wp:positionV>
            <wp:extent cx="7139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520065</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t>UNITED STATES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2660650</wp:posOffset>
            </wp:positionH>
            <wp:positionV relativeFrom="paragraph">
              <wp:posOffset>57150</wp:posOffset>
            </wp:positionV>
            <wp:extent cx="1829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135255</wp:posOffset>
            </wp:positionV>
            <wp:extent cx="1528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1600" w:hanging="569"/>
        <w:spacing w:after="0"/>
        <w:tabs>
          <w:tab w:leader="none" w:pos="1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quarterly period ended September 30, 2023</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14" w:lineRule="exact"/>
        <w:rPr>
          <w:sz w:val="24"/>
          <w:szCs w:val="24"/>
          <w:color w:val="auto"/>
        </w:rPr>
      </w:pPr>
    </w:p>
    <w:p>
      <w:pPr>
        <w:ind w:left="1600" w:hanging="554"/>
        <w:spacing w:after="0"/>
        <w:tabs>
          <w:tab w:leader="none" w:pos="16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color w:val="auto"/>
        </w:rPr>
        <w:t>TRANSITION REPORT PURSUANT TO SECTION 13 OR 15(d) OF THE SECURITIES EXCHANGE ACT OF 1934</w:t>
      </w:r>
    </w:p>
    <w:p>
      <w:pPr>
        <w:spacing w:after="0" w:line="278" w:lineRule="exact"/>
        <w:rPr>
          <w:sz w:val="24"/>
          <w:szCs w:val="24"/>
          <w:color w:val="auto"/>
        </w:rPr>
      </w:pPr>
    </w:p>
    <w:tbl>
      <w:tblPr>
        <w:tblLayout w:type="fixed"/>
        <w:tblInd w:w="4140" w:type="dxa"/>
        <w:tblCellMar>
          <w:top w:w="0" w:type="dxa"/>
          <w:left w:w="0" w:type="dxa"/>
          <w:bottom w:w="0" w:type="dxa"/>
          <w:right w:w="0" w:type="dxa"/>
        </w:tblCellMar>
      </w:tblPr>
      <w:tr>
        <w:trPr>
          <w:trHeight w:val="216"/>
        </w:trPr>
        <w:tc>
          <w:tcPr>
            <w:tcW w:w="2240" w:type="dxa"/>
            <w:vAlign w:val="bottom"/>
            <w:gridSpan w:val="2"/>
          </w:tcPr>
          <w:p>
            <w:pPr>
              <w:spacing w:after="0"/>
              <w:rPr>
                <w:sz w:val="20"/>
                <w:szCs w:val="20"/>
                <w:color w:val="auto"/>
              </w:rPr>
            </w:pPr>
            <w:r>
              <w:rPr>
                <w:rFonts w:ascii="Arial" w:cs="Arial" w:eastAsia="Arial" w:hAnsi="Arial"/>
                <w:sz w:val="17"/>
                <w:szCs w:val="17"/>
                <w:color w:val="auto"/>
              </w:rPr>
              <w:t>For the transition period from</w:t>
            </w:r>
          </w:p>
        </w:tc>
        <w:tc>
          <w:tcPr>
            <w:tcW w:w="700" w:type="dxa"/>
            <w:vAlign w:val="bottom"/>
          </w:tcPr>
          <w:p>
            <w:pPr>
              <w:ind w:left="220"/>
              <w:spacing w:after="0"/>
              <w:rPr>
                <w:sz w:val="20"/>
                <w:szCs w:val="20"/>
                <w:color w:val="auto"/>
              </w:rPr>
            </w:pPr>
            <w:r>
              <w:rPr>
                <w:rFonts w:ascii="Arial" w:cs="Arial" w:eastAsia="Arial" w:hAnsi="Arial"/>
                <w:sz w:val="17"/>
                <w:szCs w:val="17"/>
                <w:color w:val="auto"/>
              </w:rPr>
              <w:t>to</w:t>
            </w:r>
          </w:p>
        </w:tc>
      </w:tr>
      <w:tr>
        <w:trPr>
          <w:trHeight w:val="359"/>
        </w:trPr>
        <w:tc>
          <w:tcPr>
            <w:tcW w:w="40" w:type="dxa"/>
            <w:vAlign w:val="bottom"/>
          </w:tcPr>
          <w:p>
            <w:pPr>
              <w:spacing w:after="0"/>
              <w:rPr>
                <w:sz w:val="24"/>
                <w:szCs w:val="24"/>
                <w:color w:val="auto"/>
              </w:rPr>
            </w:pPr>
          </w:p>
        </w:tc>
        <w:tc>
          <w:tcPr>
            <w:tcW w:w="2900" w:type="dxa"/>
            <w:vAlign w:val="bottom"/>
            <w:gridSpan w:val="2"/>
          </w:tcPr>
          <w:p>
            <w:pPr>
              <w:ind w:left="100"/>
              <w:spacing w:after="0"/>
              <w:rPr>
                <w:sz w:val="20"/>
                <w:szCs w:val="20"/>
                <w:color w:val="auto"/>
              </w:rPr>
            </w:pPr>
            <w:r>
              <w:rPr>
                <w:rFonts w:ascii="Arial" w:cs="Arial" w:eastAsia="Arial" w:hAnsi="Arial"/>
                <w:sz w:val="17"/>
                <w:szCs w:val="17"/>
                <w:b w:val="1"/>
                <w:bCs w:val="1"/>
                <w:color w:val="auto"/>
                <w:w w:val="93"/>
              </w:rPr>
              <w:t>Commission File Number: 001-39405</w:t>
            </w:r>
          </w:p>
        </w:tc>
      </w:tr>
      <w:tr>
        <w:trPr>
          <w:trHeight w:val="129"/>
        </w:trPr>
        <w:tc>
          <w:tcPr>
            <w:tcW w:w="40" w:type="dxa"/>
            <w:vAlign w:val="bottom"/>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bl>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MarketWise, Inc.</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2660650</wp:posOffset>
            </wp:positionH>
            <wp:positionV relativeFrom="paragraph">
              <wp:posOffset>95250</wp:posOffset>
            </wp:positionV>
            <wp:extent cx="1829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48" w:lineRule="exact"/>
        <w:rPr>
          <w:sz w:val="24"/>
          <w:szCs w:val="24"/>
          <w:color w:val="auto"/>
        </w:rPr>
      </w:pPr>
    </w:p>
    <w:tbl>
      <w:tblPr>
        <w:tblLayout w:type="fixed"/>
        <w:tblInd w:w="1360" w:type="dxa"/>
        <w:tblCellMar>
          <w:top w:w="0" w:type="dxa"/>
          <w:left w:w="0" w:type="dxa"/>
          <w:bottom w:w="0" w:type="dxa"/>
          <w:right w:w="0" w:type="dxa"/>
        </w:tblCellMar>
      </w:tblPr>
      <w:tr>
        <w:trPr>
          <w:trHeight w:val="199"/>
        </w:trPr>
        <w:tc>
          <w:tcPr>
            <w:tcW w:w="5720" w:type="dxa"/>
            <w:vAlign w:val="bottom"/>
            <w:gridSpan w:val="2"/>
          </w:tcPr>
          <w:p>
            <w:pPr>
              <w:jc w:val="center"/>
              <w:ind w:right="2820"/>
              <w:spacing w:after="0"/>
              <w:rPr>
                <w:sz w:val="20"/>
                <w:szCs w:val="20"/>
                <w:color w:val="auto"/>
              </w:rPr>
            </w:pPr>
            <w:r>
              <w:rPr>
                <w:rFonts w:ascii="Arial" w:cs="Arial" w:eastAsia="Arial" w:hAnsi="Arial"/>
                <w:sz w:val="15"/>
                <w:szCs w:val="15"/>
                <w:b w:val="1"/>
                <w:bCs w:val="1"/>
                <w:color w:val="auto"/>
                <w:w w:val="94"/>
              </w:rPr>
              <w:t>Delaware</w:t>
            </w:r>
          </w:p>
        </w:tc>
        <w:tc>
          <w:tcPr>
            <w:tcW w:w="1980" w:type="dxa"/>
            <w:vAlign w:val="bottom"/>
          </w:tcPr>
          <w:p>
            <w:pPr>
              <w:jc w:val="right"/>
              <w:ind w:right="187"/>
              <w:spacing w:after="0"/>
              <w:rPr>
                <w:sz w:val="20"/>
                <w:szCs w:val="20"/>
                <w:color w:val="auto"/>
              </w:rPr>
            </w:pPr>
            <w:r>
              <w:rPr>
                <w:rFonts w:ascii="Arial" w:cs="Arial" w:eastAsia="Arial" w:hAnsi="Arial"/>
                <w:sz w:val="15"/>
                <w:szCs w:val="15"/>
                <w:b w:val="1"/>
                <w:bCs w:val="1"/>
                <w:color w:val="auto"/>
              </w:rPr>
              <w:t>87-1767914</w:t>
            </w:r>
          </w:p>
        </w:tc>
      </w:tr>
      <w:tr>
        <w:trPr>
          <w:trHeight w:val="192"/>
        </w:trPr>
        <w:tc>
          <w:tcPr>
            <w:tcW w:w="5720" w:type="dxa"/>
            <w:vAlign w:val="bottom"/>
            <w:gridSpan w:val="2"/>
          </w:tcPr>
          <w:p>
            <w:pPr>
              <w:jc w:val="center"/>
              <w:ind w:right="2820"/>
              <w:spacing w:after="0"/>
              <w:rPr>
                <w:sz w:val="20"/>
                <w:szCs w:val="20"/>
                <w:color w:val="auto"/>
              </w:rPr>
            </w:pPr>
            <w:r>
              <w:rPr>
                <w:rFonts w:ascii="Arial" w:cs="Arial" w:eastAsia="Arial" w:hAnsi="Arial"/>
                <w:sz w:val="14"/>
                <w:szCs w:val="14"/>
                <w:color w:val="auto"/>
                <w:w w:val="90"/>
              </w:rPr>
              <w:t>(State or other jurisdiction of</w:t>
            </w:r>
          </w:p>
        </w:tc>
        <w:tc>
          <w:tcPr>
            <w:tcW w:w="1980" w:type="dxa"/>
            <w:vAlign w:val="bottom"/>
          </w:tcPr>
          <w:p>
            <w:pPr>
              <w:jc w:val="center"/>
              <w:ind w:left="627"/>
              <w:spacing w:after="0"/>
              <w:rPr>
                <w:sz w:val="20"/>
                <w:szCs w:val="20"/>
                <w:color w:val="auto"/>
              </w:rPr>
            </w:pPr>
            <w:r>
              <w:rPr>
                <w:rFonts w:ascii="Arial" w:cs="Arial" w:eastAsia="Arial" w:hAnsi="Arial"/>
                <w:sz w:val="14"/>
                <w:szCs w:val="14"/>
                <w:color w:val="auto"/>
                <w:w w:val="89"/>
              </w:rPr>
              <w:t>(I.R.S. Employer</w:t>
            </w:r>
          </w:p>
        </w:tc>
      </w:tr>
      <w:tr>
        <w:trPr>
          <w:trHeight w:val="174"/>
        </w:trPr>
        <w:tc>
          <w:tcPr>
            <w:tcW w:w="5720" w:type="dxa"/>
            <w:vAlign w:val="bottom"/>
            <w:gridSpan w:val="2"/>
          </w:tcPr>
          <w:p>
            <w:pPr>
              <w:jc w:val="center"/>
              <w:ind w:right="2800"/>
              <w:spacing w:after="0"/>
              <w:rPr>
                <w:sz w:val="20"/>
                <w:szCs w:val="20"/>
                <w:color w:val="auto"/>
              </w:rPr>
            </w:pPr>
            <w:r>
              <w:rPr>
                <w:rFonts w:ascii="Arial" w:cs="Arial" w:eastAsia="Arial" w:hAnsi="Arial"/>
                <w:sz w:val="14"/>
                <w:szCs w:val="14"/>
                <w:color w:val="auto"/>
                <w:w w:val="90"/>
              </w:rPr>
              <w:t>incorporation or organization)</w:t>
            </w:r>
          </w:p>
        </w:tc>
        <w:tc>
          <w:tcPr>
            <w:tcW w:w="1980" w:type="dxa"/>
            <w:vAlign w:val="bottom"/>
          </w:tcPr>
          <w:p>
            <w:pPr>
              <w:jc w:val="center"/>
              <w:ind w:left="647"/>
              <w:spacing w:after="0"/>
              <w:rPr>
                <w:sz w:val="20"/>
                <w:szCs w:val="20"/>
                <w:color w:val="auto"/>
              </w:rPr>
            </w:pPr>
            <w:r>
              <w:rPr>
                <w:rFonts w:ascii="Arial" w:cs="Arial" w:eastAsia="Arial" w:hAnsi="Arial"/>
                <w:sz w:val="14"/>
                <w:szCs w:val="14"/>
                <w:color w:val="auto"/>
                <w:w w:val="91"/>
              </w:rPr>
              <w:t>Identification Number)</w:t>
            </w:r>
          </w:p>
        </w:tc>
      </w:tr>
      <w:tr>
        <w:trPr>
          <w:trHeight w:val="505"/>
        </w:trPr>
        <w:tc>
          <w:tcPr>
            <w:tcW w:w="5720" w:type="dxa"/>
            <w:vAlign w:val="bottom"/>
            <w:gridSpan w:val="2"/>
          </w:tcPr>
          <w:p>
            <w:pPr>
              <w:jc w:val="center"/>
              <w:ind w:right="2820"/>
              <w:spacing w:after="0"/>
              <w:rPr>
                <w:sz w:val="20"/>
                <w:szCs w:val="20"/>
                <w:color w:val="auto"/>
              </w:rPr>
            </w:pPr>
            <w:r>
              <w:rPr>
                <w:rFonts w:ascii="Arial" w:cs="Arial" w:eastAsia="Arial" w:hAnsi="Arial"/>
                <w:sz w:val="15"/>
                <w:szCs w:val="15"/>
                <w:b w:val="1"/>
                <w:bCs w:val="1"/>
                <w:color w:val="auto"/>
                <w:w w:val="94"/>
              </w:rPr>
              <w:t>1125 N. Charles Street Baltimore, Maryland</w:t>
            </w:r>
          </w:p>
        </w:tc>
        <w:tc>
          <w:tcPr>
            <w:tcW w:w="1980" w:type="dxa"/>
            <w:vAlign w:val="bottom"/>
          </w:tcPr>
          <w:p>
            <w:pPr>
              <w:jc w:val="right"/>
              <w:ind w:right="367"/>
              <w:spacing w:after="0"/>
              <w:rPr>
                <w:sz w:val="20"/>
                <w:szCs w:val="20"/>
                <w:color w:val="auto"/>
              </w:rPr>
            </w:pPr>
            <w:r>
              <w:rPr>
                <w:rFonts w:ascii="Arial" w:cs="Arial" w:eastAsia="Arial" w:hAnsi="Arial"/>
                <w:sz w:val="15"/>
                <w:szCs w:val="15"/>
                <w:b w:val="1"/>
                <w:bCs w:val="1"/>
                <w:color w:val="auto"/>
              </w:rPr>
              <w:t>21201</w:t>
            </w:r>
          </w:p>
        </w:tc>
      </w:tr>
      <w:tr>
        <w:trPr>
          <w:trHeight w:val="205"/>
        </w:trPr>
        <w:tc>
          <w:tcPr>
            <w:tcW w:w="5720" w:type="dxa"/>
            <w:vAlign w:val="bottom"/>
            <w:gridSpan w:val="2"/>
          </w:tcPr>
          <w:p>
            <w:pPr>
              <w:jc w:val="center"/>
              <w:ind w:right="2800"/>
              <w:spacing w:after="0"/>
              <w:rPr>
                <w:sz w:val="20"/>
                <w:szCs w:val="20"/>
                <w:color w:val="auto"/>
              </w:rPr>
            </w:pPr>
            <w:r>
              <w:rPr>
                <w:rFonts w:ascii="Arial" w:cs="Arial" w:eastAsia="Arial" w:hAnsi="Arial"/>
                <w:sz w:val="15"/>
                <w:szCs w:val="15"/>
                <w:color w:val="auto"/>
                <w:w w:val="95"/>
              </w:rPr>
              <w:t>(Address of principal executive offices)</w:t>
            </w:r>
          </w:p>
        </w:tc>
        <w:tc>
          <w:tcPr>
            <w:tcW w:w="1980" w:type="dxa"/>
            <w:vAlign w:val="bottom"/>
          </w:tcPr>
          <w:p>
            <w:pPr>
              <w:jc w:val="center"/>
              <w:ind w:left="667"/>
              <w:spacing w:after="0"/>
              <w:rPr>
                <w:sz w:val="20"/>
                <w:szCs w:val="20"/>
                <w:color w:val="auto"/>
              </w:rPr>
            </w:pPr>
            <w:r>
              <w:rPr>
                <w:rFonts w:ascii="Arial" w:cs="Arial" w:eastAsia="Arial" w:hAnsi="Arial"/>
                <w:sz w:val="15"/>
                <w:szCs w:val="15"/>
                <w:color w:val="auto"/>
                <w:w w:val="95"/>
              </w:rPr>
              <w:t>(Zip Code)</w:t>
            </w:r>
          </w:p>
        </w:tc>
      </w:tr>
      <w:tr>
        <w:trPr>
          <w:trHeight w:val="261"/>
        </w:trPr>
        <w:tc>
          <w:tcPr>
            <w:tcW w:w="2820" w:type="dxa"/>
            <w:vAlign w:val="bottom"/>
          </w:tcPr>
          <w:p>
            <w:pPr>
              <w:spacing w:after="0"/>
              <w:rPr>
                <w:sz w:val="22"/>
                <w:szCs w:val="22"/>
                <w:color w:val="auto"/>
              </w:rPr>
            </w:pPr>
          </w:p>
        </w:tc>
        <w:tc>
          <w:tcPr>
            <w:tcW w:w="2900" w:type="dxa"/>
            <w:vAlign w:val="bottom"/>
            <w:tcBorders>
              <w:bottom w:val="single" w:sz="8" w:color="auto"/>
            </w:tcBorders>
          </w:tcPr>
          <w:p>
            <w:pPr>
              <w:spacing w:after="0"/>
              <w:rPr>
                <w:sz w:val="22"/>
                <w:szCs w:val="22"/>
                <w:color w:val="auto"/>
              </w:rPr>
            </w:pPr>
          </w:p>
        </w:tc>
        <w:tc>
          <w:tcPr>
            <w:tcW w:w="1980" w:type="dxa"/>
            <w:vAlign w:val="bottom"/>
          </w:tcPr>
          <w:p>
            <w:pPr>
              <w:spacing w:after="0"/>
              <w:rPr>
                <w:sz w:val="22"/>
                <w:szCs w:val="22"/>
                <w:color w:val="auto"/>
              </w:rPr>
            </w:pPr>
          </w:p>
        </w:tc>
      </w:tr>
      <w:tr>
        <w:trPr>
          <w:trHeight w:val="372"/>
        </w:trPr>
        <w:tc>
          <w:tcPr>
            <w:tcW w:w="5720" w:type="dxa"/>
            <w:vAlign w:val="bottom"/>
            <w:gridSpan w:val="2"/>
          </w:tcPr>
          <w:p>
            <w:pPr>
              <w:jc w:val="right"/>
              <w:ind w:right="980"/>
              <w:spacing w:after="0"/>
              <w:rPr>
                <w:sz w:val="20"/>
                <w:szCs w:val="20"/>
                <w:color w:val="auto"/>
              </w:rPr>
            </w:pPr>
            <w:r>
              <w:rPr>
                <w:rFonts w:ascii="Arial" w:cs="Arial" w:eastAsia="Arial" w:hAnsi="Arial"/>
                <w:sz w:val="15"/>
                <w:szCs w:val="15"/>
                <w:b w:val="1"/>
                <w:bCs w:val="1"/>
                <w:color w:val="auto"/>
              </w:rPr>
              <w:t>(888) 261-2693</w:t>
            </w:r>
          </w:p>
        </w:tc>
        <w:tc>
          <w:tcPr>
            <w:tcW w:w="1980" w:type="dxa"/>
            <w:vAlign w:val="bottom"/>
          </w:tcPr>
          <w:p>
            <w:pPr>
              <w:spacing w:after="0"/>
              <w:rPr>
                <w:sz w:val="24"/>
                <w:szCs w:val="24"/>
                <w:color w:val="auto"/>
              </w:rPr>
            </w:pPr>
          </w:p>
        </w:tc>
      </w:tr>
      <w:tr>
        <w:trPr>
          <w:trHeight w:val="263"/>
        </w:trPr>
        <w:tc>
          <w:tcPr>
            <w:tcW w:w="5720" w:type="dxa"/>
            <w:vAlign w:val="bottom"/>
            <w:gridSpan w:val="2"/>
          </w:tcPr>
          <w:p>
            <w:pPr>
              <w:jc w:val="center"/>
              <w:ind w:left="2727"/>
              <w:spacing w:after="0"/>
              <w:rPr>
                <w:sz w:val="20"/>
                <w:szCs w:val="20"/>
                <w:color w:val="auto"/>
              </w:rPr>
            </w:pPr>
            <w:r>
              <w:rPr>
                <w:rFonts w:ascii="Arial" w:cs="Arial" w:eastAsia="Arial" w:hAnsi="Arial"/>
                <w:sz w:val="14"/>
                <w:szCs w:val="14"/>
                <w:color w:val="auto"/>
                <w:w w:val="87"/>
              </w:rPr>
              <w:t>(Registrant’s telephone number, including area code)</w:t>
            </w:r>
          </w:p>
        </w:tc>
        <w:tc>
          <w:tcPr>
            <w:tcW w:w="19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2660650</wp:posOffset>
            </wp:positionH>
            <wp:positionV relativeFrom="paragraph">
              <wp:posOffset>113030</wp:posOffset>
            </wp:positionV>
            <wp:extent cx="1829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2660650</wp:posOffset>
            </wp:positionH>
            <wp:positionV relativeFrom="paragraph">
              <wp:posOffset>128905</wp:posOffset>
            </wp:positionV>
            <wp:extent cx="1829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0" w:lineRule="exact"/>
        <w:rPr>
          <w:sz w:val="24"/>
          <w:szCs w:val="24"/>
          <w:color w:val="auto"/>
        </w:rPr>
      </w:pPr>
    </w:p>
    <w:p>
      <w:pPr>
        <w:ind w:left="1600"/>
        <w:spacing w:after="0"/>
        <w:tabs>
          <w:tab w:leader="none" w:pos="4940" w:val="left"/>
          <w:tab w:leader="none" w:pos="728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201" w:lineRule="exact"/>
        <w:rPr>
          <w:sz w:val="24"/>
          <w:szCs w:val="24"/>
          <w:color w:val="auto"/>
        </w:rPr>
      </w:pPr>
    </w:p>
    <w:p>
      <w:pPr>
        <w:ind w:left="380"/>
        <w:spacing w:after="0"/>
        <w:tabs>
          <w:tab w:leader="none" w:pos="5340" w:val="left"/>
          <w:tab w:leader="none" w:pos="7700" w:val="left"/>
        </w:tabs>
        <w:rPr>
          <w:sz w:val="20"/>
          <w:szCs w:val="20"/>
          <w:color w:val="auto"/>
        </w:rPr>
      </w:pPr>
      <w:r>
        <w:rPr>
          <w:rFonts w:ascii="Arial" w:cs="Arial" w:eastAsia="Arial" w:hAnsi="Arial"/>
          <w:sz w:val="17"/>
          <w:szCs w:val="17"/>
          <w:b w:val="1"/>
          <w:bCs w:val="1"/>
          <w:color w:val="auto"/>
        </w:rPr>
        <w:t>Class A common stock, $0.0001 par value per share</w:t>
      </w:r>
      <w:r>
        <w:rPr>
          <w:sz w:val="20"/>
          <w:szCs w:val="20"/>
          <w:color w:val="auto"/>
        </w:rPr>
        <w:tab/>
      </w:r>
      <w:r>
        <w:rPr>
          <w:rFonts w:ascii="Arial" w:cs="Arial" w:eastAsia="Arial" w:hAnsi="Arial"/>
          <w:sz w:val="17"/>
          <w:szCs w:val="17"/>
          <w:b w:val="1"/>
          <w:bCs w:val="1"/>
          <w:color w:val="auto"/>
        </w:rPr>
        <w:t>MKTW</w:t>
      </w:r>
      <w:r>
        <w:rPr>
          <w:sz w:val="20"/>
          <w:szCs w:val="20"/>
          <w:color w:val="auto"/>
        </w:rPr>
        <w:tab/>
      </w:r>
      <w:r>
        <w:rPr>
          <w:rFonts w:ascii="Arial" w:cs="Arial" w:eastAsia="Arial" w:hAnsi="Arial"/>
          <w:sz w:val="16"/>
          <w:szCs w:val="16"/>
          <w:b w:val="1"/>
          <w:bCs w:val="1"/>
          <w:color w:val="auto"/>
        </w:rPr>
        <w:t>The Nasdaq Stock Market LLC</w:t>
      </w:r>
    </w:p>
    <w:p>
      <w:pPr>
        <w:spacing w:after="0" w:line="257" w:lineRule="exact"/>
        <w:rPr>
          <w:sz w:val="24"/>
          <w:szCs w:val="24"/>
          <w:color w:val="auto"/>
        </w:rPr>
      </w:pPr>
    </w:p>
    <w:p>
      <w:pPr>
        <w:spacing w:after="0" w:line="29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12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04" w:lineRule="exact"/>
        <w:rPr>
          <w:sz w:val="24"/>
          <w:szCs w:val="24"/>
          <w:color w:val="auto"/>
        </w:rPr>
      </w:pPr>
    </w:p>
    <w:p>
      <w:pPr>
        <w:ind w:right="120"/>
        <w:spacing w:after="0" w:line="27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96" w:lineRule="exact"/>
        <w:tabs>
          <w:tab w:leader="none" w:pos="1740" w:val="left"/>
        </w:tabs>
        <w:rPr>
          <w:sz w:val="20"/>
          <w:szCs w:val="20"/>
          <w:color w:val="auto"/>
        </w:rPr>
      </w:pPr>
      <w:r>
        <w:rPr>
          <w:rFonts w:ascii="Arial" w:cs="Arial" w:eastAsia="Arial" w:hAnsi="Arial"/>
          <w:sz w:val="17"/>
          <w:szCs w:val="17"/>
          <w:color w:val="auto"/>
        </w:rPr>
        <w:t>files).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04" w:lineRule="exact"/>
        <w:rPr>
          <w:sz w:val="24"/>
          <w:szCs w:val="24"/>
          <w:color w:val="auto"/>
        </w:rPr>
      </w:pPr>
    </w:p>
    <w:p>
      <w:pPr>
        <w:ind w:right="140"/>
        <w:spacing w:after="0" w:line="264" w:lineRule="auto"/>
        <w:rPr>
          <w:sz w:val="20"/>
          <w:szCs w:val="20"/>
          <w:color w:val="auto"/>
        </w:rPr>
      </w:pPr>
      <w:r>
        <w:rPr>
          <w:rFonts w:ascii="Arial" w:cs="Arial" w:eastAsia="Arial" w:hAnsi="Arial"/>
          <w:sz w:val="17"/>
          <w:szCs w:val="17"/>
          <w:color w:val="auto"/>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878" w:right="359" w:bottom="1440" w:gutter="0" w:footer="0" w:header="0"/>
        </w:sect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185420</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86"/>
        </w:trPr>
        <w:tc>
          <w:tcPr>
            <w:tcW w:w="22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94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4500" w:type="dxa"/>
            <w:vAlign w:val="bottom"/>
          </w:tcPr>
          <w:p>
            <w:pPr>
              <w:ind w:left="2060"/>
              <w:spacing w:after="0"/>
              <w:rPr>
                <w:sz w:val="20"/>
                <w:szCs w:val="20"/>
                <w:color w:val="auto"/>
              </w:rPr>
            </w:pPr>
            <w:r>
              <w:rPr>
                <w:rFonts w:ascii="Arial" w:cs="Arial" w:eastAsia="Arial" w:hAnsi="Arial"/>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59"/>
        </w:trPr>
        <w:tc>
          <w:tcPr>
            <w:tcW w:w="2240" w:type="dxa"/>
            <w:vAlign w:val="bottom"/>
          </w:tcPr>
          <w:p>
            <w:pPr>
              <w:spacing w:after="0"/>
              <w:rPr>
                <w:sz w:val="20"/>
                <w:szCs w:val="20"/>
                <w:color w:val="auto"/>
              </w:rPr>
            </w:pPr>
            <w:r>
              <w:rPr>
                <w:rFonts w:ascii="Arial" w:cs="Arial" w:eastAsia="Arial" w:hAnsi="Arial"/>
                <w:sz w:val="17"/>
                <w:szCs w:val="17"/>
                <w:color w:val="auto"/>
              </w:rPr>
              <w:t>Non-accelerated filer</w:t>
            </w:r>
          </w:p>
        </w:tc>
        <w:tc>
          <w:tcPr>
            <w:tcW w:w="294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4500" w:type="dxa"/>
            <w:vAlign w:val="bottom"/>
          </w:tcPr>
          <w:p>
            <w:pPr>
              <w:ind w:left="2060"/>
              <w:spacing w:after="0"/>
              <w:rPr>
                <w:sz w:val="20"/>
                <w:szCs w:val="20"/>
                <w:color w:val="auto"/>
              </w:rPr>
            </w:pPr>
            <w:r>
              <w:rPr>
                <w:rFonts w:ascii="Arial" w:cs="Arial" w:eastAsia="Arial" w:hAnsi="Arial"/>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59"/>
        </w:trPr>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00" w:type="dxa"/>
            <w:vAlign w:val="bottom"/>
          </w:tcPr>
          <w:p>
            <w:pPr>
              <w:ind w:left="2060"/>
              <w:spacing w:after="0"/>
              <w:rPr>
                <w:sz w:val="20"/>
                <w:szCs w:val="20"/>
                <w:color w:val="auto"/>
              </w:rPr>
            </w:pPr>
            <w:r>
              <w:rPr>
                <w:rFonts w:ascii="Arial" w:cs="Arial" w:eastAsia="Arial" w:hAnsi="Arial"/>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4" w:lineRule="exact"/>
        <w:rPr>
          <w:sz w:val="20"/>
          <w:szCs w:val="20"/>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7"/>
          <w:szCs w:val="17"/>
          <w:color w:val="auto"/>
        </w:rPr>
        <w:t>☐</w:t>
      </w:r>
    </w:p>
    <w:p>
      <w:pPr>
        <w:spacing w:after="0" w:line="7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November 6, 2023, there were 39,147,437 shares of the registrant’s Class A common stock and 288,342,303 shares of the registrant’s Class B common stock, each with a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139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137160</wp:posOffset>
            </wp:positionV>
            <wp:extent cx="7139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 w:name="page3"/>
    <w:bookmarkEnd w:id="2"/>
    <w:p>
      <w:pPr>
        <w:spacing w:after="0" w:line="67"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TABLE OF CONTENTS</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PART I.</w:t>
      </w:r>
      <w:r>
        <w:rPr>
          <w:sz w:val="20"/>
          <w:szCs w:val="20"/>
          <w:color w:val="auto"/>
        </w:rPr>
        <w:tab/>
      </w:r>
      <w:r>
        <w:rPr>
          <w:rFonts w:ascii="Arial" w:cs="Arial" w:eastAsia="Arial" w:hAnsi="Arial"/>
          <w:sz w:val="17"/>
          <w:szCs w:val="17"/>
          <w:b w:val="1"/>
          <w:bCs w:val="1"/>
          <w:u w:val="single" w:color="auto"/>
          <w:color w:val="0000FF"/>
        </w:rPr>
        <w:t>FINANCIAL INFORMATION</w:t>
      </w:r>
    </w:p>
    <w:p>
      <w:pPr>
        <w:spacing w:after="0" w:line="23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Item 1.</w:t>
      </w:r>
      <w:r>
        <w:rPr>
          <w:sz w:val="20"/>
          <w:szCs w:val="20"/>
          <w:color w:val="auto"/>
        </w:rPr>
        <w:tab/>
      </w:r>
      <w:r>
        <w:rPr>
          <w:rFonts w:ascii="Arial" w:cs="Arial" w:eastAsia="Arial" w:hAnsi="Arial"/>
          <w:sz w:val="15"/>
          <w:szCs w:val="15"/>
          <w:u w:val="single" w:color="auto"/>
          <w:color w:val="0000FF"/>
        </w:rPr>
        <w:t>Financial Statements</w:t>
      </w: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0000FF"/>
        </w:rPr>
        <w:t>Condensed Consolidated Balance Sheets as of September 30, 2023 and December 31, 2022 (unaudited)</w:t>
      </w:r>
    </w:p>
    <w:p>
      <w:pPr>
        <w:spacing w:after="0" w:line="226" w:lineRule="exact"/>
        <w:rPr>
          <w:sz w:val="20"/>
          <w:szCs w:val="20"/>
          <w:color w:val="auto"/>
        </w:rPr>
      </w:pPr>
    </w:p>
    <w:p>
      <w:pPr>
        <w:ind w:left="1280" w:right="20"/>
        <w:spacing w:after="0" w:line="234" w:lineRule="auto"/>
        <w:rPr>
          <w:sz w:val="20"/>
          <w:szCs w:val="20"/>
          <w:color w:val="auto"/>
        </w:rPr>
      </w:pPr>
      <w:r>
        <w:rPr>
          <w:rFonts w:ascii="Arial" w:cs="Arial" w:eastAsia="Arial" w:hAnsi="Arial"/>
          <w:sz w:val="17"/>
          <w:szCs w:val="17"/>
          <w:u w:val="single" w:color="auto"/>
          <w:color w:val="0000FF"/>
        </w:rPr>
        <w:t>Condensed Consolidated Statement of Operations for the Three and Nine Months Ended September 30, 2023 and 2022 (unaudited)</w:t>
      </w:r>
    </w:p>
    <w:p>
      <w:pPr>
        <w:spacing w:after="0" w:line="29" w:lineRule="exact"/>
        <w:rPr>
          <w:sz w:val="20"/>
          <w:szCs w:val="20"/>
          <w:color w:val="auto"/>
        </w:rPr>
      </w:pPr>
    </w:p>
    <w:p>
      <w:pPr>
        <w:ind w:left="1280"/>
        <w:spacing w:after="0" w:line="234" w:lineRule="auto"/>
        <w:rPr>
          <w:sz w:val="20"/>
          <w:szCs w:val="20"/>
          <w:color w:val="auto"/>
        </w:rPr>
      </w:pPr>
      <w:r>
        <w:rPr>
          <w:rFonts w:ascii="Arial" w:cs="Arial" w:eastAsia="Arial" w:hAnsi="Arial"/>
          <w:sz w:val="17"/>
          <w:szCs w:val="17"/>
          <w:u w:val="single" w:color="auto"/>
          <w:color w:val="0000FF"/>
        </w:rPr>
        <w:t>Condensed Consolidated Statements of Comprehensive Income for the Three and Nine Months Ended September 30, 2023 and 2022 (unaudited)</w:t>
      </w:r>
    </w:p>
    <w:p>
      <w:pPr>
        <w:spacing w:after="0" w:line="29" w:lineRule="exact"/>
        <w:rPr>
          <w:sz w:val="20"/>
          <w:szCs w:val="20"/>
          <w:color w:val="auto"/>
        </w:rPr>
      </w:pPr>
    </w:p>
    <w:p>
      <w:pPr>
        <w:ind w:left="1280" w:right="160"/>
        <w:spacing w:after="0" w:line="234" w:lineRule="auto"/>
        <w:rPr>
          <w:sz w:val="20"/>
          <w:szCs w:val="20"/>
          <w:color w:val="auto"/>
        </w:rPr>
      </w:pPr>
      <w:r>
        <w:rPr>
          <w:rFonts w:ascii="Arial" w:cs="Arial" w:eastAsia="Arial" w:hAnsi="Arial"/>
          <w:sz w:val="17"/>
          <w:szCs w:val="17"/>
          <w:u w:val="single" w:color="auto"/>
          <w:color w:val="0000FF"/>
        </w:rPr>
        <w:t>Condensed Consolidated Statements of Changes in Stockholders' Deficit for the Three and Nine Months Ended September 30, 2023 and 2022 (unaudited)</w:t>
      </w:r>
    </w:p>
    <w:p>
      <w:pPr>
        <w:spacing w:after="0" w:line="29" w:lineRule="exact"/>
        <w:rPr>
          <w:sz w:val="20"/>
          <w:szCs w:val="20"/>
          <w:color w:val="auto"/>
        </w:rPr>
      </w:pPr>
    </w:p>
    <w:p>
      <w:pPr>
        <w:ind w:left="1280" w:right="240"/>
        <w:spacing w:after="0" w:line="234" w:lineRule="auto"/>
        <w:rPr>
          <w:sz w:val="20"/>
          <w:szCs w:val="20"/>
          <w:color w:val="auto"/>
        </w:rPr>
      </w:pPr>
      <w:r>
        <w:rPr>
          <w:rFonts w:ascii="Arial" w:cs="Arial" w:eastAsia="Arial" w:hAnsi="Arial"/>
          <w:sz w:val="17"/>
          <w:szCs w:val="17"/>
          <w:u w:val="single" w:color="auto"/>
          <w:color w:val="0000FF"/>
        </w:rPr>
        <w:t>Condensed Consolidated Statements of Cash Flows for the Nine Months Ended September 30, 2023 and 2022 (unaudited)</w:t>
      </w:r>
    </w:p>
    <w:p>
      <w:pPr>
        <w:spacing w:after="0" w:line="29" w:lineRule="exact"/>
        <w:rPr>
          <w:sz w:val="20"/>
          <w:szCs w:val="20"/>
          <w:color w:val="auto"/>
        </w:rPr>
      </w:pPr>
    </w:p>
    <w:p>
      <w:pPr>
        <w:jc w:val="center"/>
        <w:ind w:right="1620"/>
        <w:spacing w:after="0"/>
        <w:rPr>
          <w:sz w:val="20"/>
          <w:szCs w:val="20"/>
          <w:color w:val="auto"/>
        </w:rPr>
      </w:pPr>
      <w:r>
        <w:rPr>
          <w:rFonts w:ascii="Arial" w:cs="Arial" w:eastAsia="Arial" w:hAnsi="Arial"/>
          <w:sz w:val="17"/>
          <w:szCs w:val="17"/>
          <w:u w:val="single" w:color="auto"/>
          <w:color w:val="0000FF"/>
        </w:rPr>
        <w:t>Notes to the Condensed Consolidated Financial Statements (unaudited)</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Item 2.</w:t>
      </w:r>
      <w:r>
        <w:rPr>
          <w:sz w:val="20"/>
          <w:szCs w:val="20"/>
          <w:color w:val="auto"/>
        </w:rPr>
        <w:tab/>
      </w:r>
      <w:r>
        <w:rPr>
          <w:rFonts w:ascii="Arial" w:cs="Arial" w:eastAsia="Arial" w:hAnsi="Arial"/>
          <w:sz w:val="15"/>
          <w:szCs w:val="15"/>
          <w:u w:val="single" w:color="auto"/>
          <w:color w:val="0000FF"/>
        </w:rPr>
        <w:t>Management's Discussion and Analysis of Financial Condition and Results of Operations</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Item 3.</w:t>
      </w:r>
      <w:r>
        <w:rPr>
          <w:sz w:val="20"/>
          <w:szCs w:val="20"/>
          <w:color w:val="auto"/>
        </w:rPr>
        <w:tab/>
      </w:r>
      <w:r>
        <w:rPr>
          <w:rFonts w:ascii="Arial" w:cs="Arial" w:eastAsia="Arial" w:hAnsi="Arial"/>
          <w:sz w:val="15"/>
          <w:szCs w:val="15"/>
          <w:u w:val="single" w:color="auto"/>
          <w:color w:val="0000FF"/>
        </w:rPr>
        <w:t>Quantitative and Qualitative Disclosures About Market Risk</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Item 4.</w:t>
      </w:r>
      <w:r>
        <w:rPr>
          <w:sz w:val="20"/>
          <w:szCs w:val="20"/>
          <w:color w:val="auto"/>
        </w:rPr>
        <w:tab/>
      </w:r>
      <w:r>
        <w:rPr>
          <w:rFonts w:ascii="Arial" w:cs="Arial" w:eastAsia="Arial" w:hAnsi="Arial"/>
          <w:sz w:val="15"/>
          <w:szCs w:val="15"/>
          <w:u w:val="single" w:color="auto"/>
          <w:color w:val="0000FF"/>
        </w:rPr>
        <w:t>Controls and Procedures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19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b w:val="1"/>
                <w:bCs w:val="1"/>
                <w:color w:val="0000FF"/>
              </w:rPr>
              <w:t>OTHER INFORMATION</w:t>
            </w:r>
          </w:p>
        </w:tc>
        <w:tc>
          <w:tcPr>
            <w:tcW w:w="2200" w:type="dxa"/>
            <w:vAlign w:val="bottom"/>
            <w:gridSpan w:val="2"/>
          </w:tcPr>
          <w:p>
            <w:pPr>
              <w:spacing w:after="0"/>
              <w:rPr>
                <w:sz w:val="16"/>
                <w:szCs w:val="16"/>
                <w:color w:val="auto"/>
              </w:rPr>
            </w:pPr>
          </w:p>
        </w:tc>
      </w:tr>
      <w:tr>
        <w:trPr>
          <w:trHeight w:val="390"/>
        </w:trPr>
        <w:tc>
          <w:tcPr>
            <w:tcW w:w="12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4120" w:type="dxa"/>
            <w:vAlign w:val="bottom"/>
            <w:gridSpan w:val="8"/>
          </w:tcPr>
          <w:p>
            <w:pPr>
              <w:spacing w:after="0"/>
              <w:rPr>
                <w:sz w:val="20"/>
                <w:szCs w:val="20"/>
                <w:color w:val="auto"/>
              </w:rPr>
            </w:pPr>
            <w:r>
              <w:rPr>
                <w:rFonts w:ascii="Arial" w:cs="Arial" w:eastAsia="Arial" w:hAnsi="Arial"/>
                <w:sz w:val="17"/>
                <w:szCs w:val="17"/>
                <w:color w:val="0000FF"/>
              </w:rPr>
              <w:t>Legal Proceedings</w:t>
            </w:r>
          </w:p>
        </w:tc>
      </w:tr>
      <w:tr>
        <w:trPr>
          <w:trHeight w:val="390"/>
        </w:trPr>
        <w:tc>
          <w:tcPr>
            <w:tcW w:w="128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88"/>
              </w:rPr>
              <w:t>Risk Factors</w:t>
            </w:r>
          </w:p>
        </w:tc>
        <w:tc>
          <w:tcPr>
            <w:tcW w:w="400" w:type="dxa"/>
            <w:vAlign w:val="bottom"/>
            <w:tcBorders>
              <w:top w:val="single" w:sz="8" w:color="0000FF"/>
            </w:tcBorders>
            <w:gridSpan w:val="2"/>
          </w:tcPr>
          <w:p>
            <w:pPr>
              <w:spacing w:after="0"/>
              <w:rPr>
                <w:sz w:val="24"/>
                <w:szCs w:val="24"/>
                <w:color w:val="auto"/>
              </w:rPr>
            </w:pPr>
          </w:p>
        </w:tc>
        <w:tc>
          <w:tcPr>
            <w:tcW w:w="2860" w:type="dxa"/>
            <w:vAlign w:val="bottom"/>
            <w:gridSpan w:val="4"/>
          </w:tcPr>
          <w:p>
            <w:pPr>
              <w:spacing w:after="0"/>
              <w:rPr>
                <w:sz w:val="24"/>
                <w:szCs w:val="24"/>
                <w:color w:val="auto"/>
              </w:rPr>
            </w:pPr>
          </w:p>
        </w:tc>
      </w:tr>
      <w:tr>
        <w:trPr>
          <w:trHeight w:val="390"/>
        </w:trPr>
        <w:tc>
          <w:tcPr>
            <w:tcW w:w="12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41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89"/>
              </w:rPr>
              <w:t>Unregistered Sales of Equity Securities and Use of Proceeds</w:t>
            </w:r>
          </w:p>
        </w:tc>
      </w:tr>
      <w:tr>
        <w:trPr>
          <w:trHeight w:val="390"/>
        </w:trPr>
        <w:tc>
          <w:tcPr>
            <w:tcW w:w="12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20" w:type="dxa"/>
            <w:vAlign w:val="bottom"/>
            <w:gridSpan w:val="8"/>
          </w:tcPr>
          <w:p>
            <w:pPr>
              <w:spacing w:after="0"/>
              <w:rPr>
                <w:sz w:val="20"/>
                <w:szCs w:val="20"/>
                <w:color w:val="auto"/>
              </w:rPr>
            </w:pPr>
            <w:r>
              <w:rPr>
                <w:rFonts w:ascii="Arial" w:cs="Arial" w:eastAsia="Arial" w:hAnsi="Arial"/>
                <w:sz w:val="17"/>
                <w:szCs w:val="17"/>
                <w:color w:val="0000FF"/>
              </w:rPr>
              <w:t>Defaults Upon Senior Securities</w:t>
            </w:r>
          </w:p>
        </w:tc>
      </w:tr>
      <w:tr>
        <w:trPr>
          <w:trHeight w:val="390"/>
        </w:trPr>
        <w:tc>
          <w:tcPr>
            <w:tcW w:w="12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91"/>
              </w:rPr>
              <w:t>Mine Safety Disclosures</w:t>
            </w:r>
          </w:p>
        </w:tc>
        <w:tc>
          <w:tcPr>
            <w:tcW w:w="520" w:type="dxa"/>
            <w:vAlign w:val="bottom"/>
            <w:tcBorders>
              <w:top w:val="single" w:sz="8" w:color="0000FF"/>
            </w:tcBorders>
            <w:gridSpan w:val="2"/>
          </w:tcPr>
          <w:p>
            <w:pPr>
              <w:spacing w:after="0"/>
              <w:rPr>
                <w:sz w:val="24"/>
                <w:szCs w:val="24"/>
                <w:color w:val="auto"/>
              </w:rPr>
            </w:pPr>
          </w:p>
        </w:tc>
        <w:tc>
          <w:tcPr>
            <w:tcW w:w="1920" w:type="dxa"/>
            <w:vAlign w:val="bottom"/>
          </w:tcPr>
          <w:p>
            <w:pPr>
              <w:spacing w:after="0"/>
              <w:rPr>
                <w:sz w:val="24"/>
                <w:szCs w:val="24"/>
                <w:color w:val="auto"/>
              </w:rPr>
            </w:pPr>
          </w:p>
        </w:tc>
      </w:tr>
      <w:tr>
        <w:trPr>
          <w:trHeight w:val="390"/>
        </w:trPr>
        <w:tc>
          <w:tcPr>
            <w:tcW w:w="1280" w:type="dxa"/>
            <w:vAlign w:val="bottom"/>
            <w:gridSpan w:val="2"/>
          </w:tcPr>
          <w:p>
            <w:pPr>
              <w:spacing w:after="0"/>
              <w:rPr>
                <w:sz w:val="20"/>
                <w:szCs w:val="20"/>
                <w:color w:val="auto"/>
              </w:rPr>
            </w:pPr>
            <w:r>
              <w:rPr>
                <w:rFonts w:ascii="Arial" w:cs="Arial" w:eastAsia="Arial" w:hAnsi="Arial"/>
                <w:sz w:val="17"/>
                <w:szCs w:val="17"/>
                <w:color w:val="auto"/>
              </w:rPr>
              <w:t>Item 5.</w:t>
            </w:r>
          </w:p>
        </w:tc>
        <w:tc>
          <w:tcPr>
            <w:tcW w:w="4120" w:type="dxa"/>
            <w:vAlign w:val="bottom"/>
            <w:gridSpan w:val="8"/>
          </w:tcPr>
          <w:p>
            <w:pPr>
              <w:spacing w:after="0"/>
              <w:rPr>
                <w:sz w:val="20"/>
                <w:szCs w:val="20"/>
                <w:color w:val="auto"/>
              </w:rPr>
            </w:pPr>
            <w:r>
              <w:rPr>
                <w:rFonts w:ascii="Arial" w:cs="Arial" w:eastAsia="Arial" w:hAnsi="Arial"/>
                <w:sz w:val="17"/>
                <w:szCs w:val="17"/>
                <w:color w:val="0000FF"/>
              </w:rPr>
              <w:t>Other Information</w:t>
            </w:r>
          </w:p>
        </w:tc>
      </w:tr>
      <w:tr>
        <w:trPr>
          <w:trHeight w:val="390"/>
        </w:trPr>
        <w:tc>
          <w:tcPr>
            <w:tcW w:w="128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Exhibits</w:t>
            </w:r>
          </w:p>
        </w:tc>
        <w:tc>
          <w:tcPr>
            <w:tcW w:w="2880" w:type="dxa"/>
            <w:vAlign w:val="bottom"/>
            <w:gridSpan w:val="5"/>
          </w:tcPr>
          <w:p>
            <w:pPr>
              <w:spacing w:after="0"/>
              <w:rPr>
                <w:sz w:val="24"/>
                <w:szCs w:val="24"/>
                <w:color w:val="auto"/>
              </w:rPr>
            </w:pPr>
          </w:p>
        </w:tc>
      </w:tr>
      <w:tr>
        <w:trPr>
          <w:trHeight w:val="390"/>
        </w:trPr>
        <w:tc>
          <w:tcPr>
            <w:tcW w:w="7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6"/>
              </w:rPr>
              <w:t>Signatures</w:t>
            </w:r>
          </w:p>
        </w:tc>
        <w:tc>
          <w:tcPr>
            <w:tcW w:w="56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163830</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46355</wp:posOffset>
            </wp:positionV>
            <wp:extent cx="609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5</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5</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6</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8</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9</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10</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14</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15</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32</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49</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49</w:t>
      </w: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52</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52</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53</w:t>
      </w:r>
    </w:p>
    <w:p>
      <w:pPr>
        <w:sectPr>
          <w:pgSz w:w="11900" w:h="16838" w:orient="portrait"/>
          <w:cols w:equalWidth="0" w:num="2">
            <w:col w:w="9040" w:space="480"/>
            <w:col w:w="599"/>
          </w:cols>
          <w:pgMar w:left="340" w:top="1440" w:right="1440" w:bottom="1440" w:gutter="0" w:footer="0" w:header="0"/>
          <w:type w:val="continuous"/>
        </w:sectPr>
      </w:pPr>
    </w:p>
    <w:bookmarkStart w:id="3" w:name="page4"/>
    <w:bookmarkEnd w:id="3"/>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spacing w:after="0" w:line="118" w:lineRule="exact"/>
        <w:rPr>
          <w:sz w:val="20"/>
          <w:szCs w:val="20"/>
          <w:color w:val="auto"/>
        </w:rPr>
      </w:pPr>
    </w:p>
    <w:p>
      <w:pPr>
        <w:ind w:left="620" w:right="560" w:hanging="310"/>
        <w:spacing w:after="0" w:line="27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subscribers and to persuade existing subscribers to renew their subscription agreements with us and to purchase additional products and services from us;</w:t>
      </w:r>
    </w:p>
    <w:p>
      <w:pPr>
        <w:spacing w:after="0" w:line="11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adequately market our products and services, and to develop additional products and product offerings;</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growth effectively, including through acquisitions;</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maintain and protect our reputation for trustworthiness and independence;</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develop, and retain capable management, editors, and other key personnel;</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market share in our existing markets or any new markets we may enter;</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or weakened conditions in the financial sector, global financial markets, and global economy;</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current macroeconomic events, including heightened inflation, rise in interest rates and the potential for an economic recession;</w:t>
      </w:r>
    </w:p>
    <w:p>
      <w:pPr>
        <w:spacing w:after="0" w:line="163" w:lineRule="exact"/>
        <w:rPr>
          <w:rFonts w:ascii="Arial" w:cs="Arial" w:eastAsia="Arial" w:hAnsi="Arial"/>
          <w:sz w:val="17"/>
          <w:szCs w:val="17"/>
          <w:color w:val="auto"/>
        </w:rPr>
      </w:pPr>
    </w:p>
    <w:p>
      <w:pPr>
        <w:ind w:left="620" w:right="220" w:hanging="310"/>
        <w:spacing w:after="0" w:line="27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comply with laws and regulations or other regulatory action or investigations, including the Investment Advisers Act of 1940, as amended (the “Advisers Act”);</w:t>
      </w:r>
    </w:p>
    <w:p>
      <w:pPr>
        <w:spacing w:after="0" w:line="11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and adapt to changes in technology and consumer behavior;</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successfully identify and integrate acquisitions, or dispose of assets and businesses;</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public securities’ potential liquidity and trading;</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regulatory environment and complexities with compliance related to such environment;</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capital needs;</w:t>
      </w:r>
    </w:p>
    <w:p>
      <w:pPr>
        <w:spacing w:after="0" w:line="163" w:lineRule="exact"/>
        <w:rPr>
          <w:rFonts w:ascii="Arial" w:cs="Arial" w:eastAsia="Arial" w:hAnsi="Arial"/>
          <w:sz w:val="17"/>
          <w:szCs w:val="17"/>
          <w:color w:val="auto"/>
        </w:rPr>
      </w:pPr>
    </w:p>
    <w:p>
      <w:pPr>
        <w:ind w:left="620" w:right="280" w:hanging="310"/>
        <w:spacing w:after="0" w:line="27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 effective system of internal control over financial reporting, and to address and remediate existing material weaknesses in our internal control over financial reporting;</w:t>
      </w:r>
    </w:p>
    <w:p>
      <w:pPr>
        <w:spacing w:after="0" w:line="11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protect our intellectual property; and</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detailed under the section of our Annual Report on Form 10-K for the year ended December 31, 2022 entitled “Risk Factors.”</w:t>
      </w:r>
    </w:p>
    <w:p>
      <w:pPr>
        <w:spacing w:after="0" w:line="16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looking statements should not be relied upon as representing our views as of any subsequent date, and we do not undertake any obligation to update forward-looking statements for any reason, except as may be required under applicable securities laws.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1—FINANCIAL INFORMATION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5" w:name="page6"/>
    <w:bookmarkEnd w:id="5"/>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520" w:type="dxa"/>
            <w:vAlign w:val="bottom"/>
          </w:tcPr>
          <w:p>
            <w:pPr>
              <w:jc w:val="right"/>
              <w:ind w:right="215"/>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4"/>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158,575</w:t>
            </w:r>
          </w:p>
        </w:tc>
        <w:tc>
          <w:tcPr>
            <w:tcW w:w="0" w:type="dxa"/>
            <w:vAlign w:val="bottom"/>
          </w:tcPr>
          <w:p>
            <w:pPr>
              <w:spacing w:after="0"/>
              <w:rPr>
                <w:sz w:val="1"/>
                <w:szCs w:val="1"/>
                <w:color w:val="auto"/>
              </w:rPr>
            </w:pPr>
          </w:p>
        </w:tc>
      </w:tr>
      <w:tr>
        <w:trPr>
          <w:trHeight w:val="217"/>
        </w:trPr>
        <w:tc>
          <w:tcPr>
            <w:tcW w:w="760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5,958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4,040</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11,725</w:t>
            </w:r>
          </w:p>
        </w:tc>
        <w:tc>
          <w:tcPr>
            <w:tcW w:w="0" w:type="dxa"/>
            <w:vAlign w:val="bottom"/>
          </w:tcPr>
          <w:p>
            <w:pPr>
              <w:spacing w:after="0"/>
              <w:rPr>
                <w:sz w:val="1"/>
                <w:szCs w:val="1"/>
                <w:color w:val="auto"/>
              </w:rPr>
            </w:pPr>
          </w:p>
        </w:tc>
      </w:tr>
      <w:tr>
        <w:trPr>
          <w:trHeight w:val="217"/>
        </w:trPr>
        <w:tc>
          <w:tcPr>
            <w:tcW w:w="7600" w:type="dxa"/>
            <w:vAlign w:val="bottom"/>
          </w:tcPr>
          <w:p>
            <w:pPr>
              <w:ind w:left="180"/>
              <w:spacing w:after="0"/>
              <w:rPr>
                <w:sz w:val="20"/>
                <w:szCs w:val="20"/>
                <w:color w:val="auto"/>
              </w:rPr>
            </w:pPr>
            <w:r>
              <w:rPr>
                <w:rFonts w:ascii="Arial" w:cs="Arial" w:eastAsia="Arial" w:hAnsi="Arial"/>
                <w:sz w:val="17"/>
                <w:szCs w:val="17"/>
                <w:color w:val="auto"/>
              </w:rPr>
              <w:t>Related party receivables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1,512</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contract acquisition costs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99,960</w:t>
            </w: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3,363</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279,175</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9,468</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16,047</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31,307</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7"/>
                <w:szCs w:val="17"/>
                <w:color w:val="auto"/>
              </w:rPr>
              <w:t>Deferred contract acquisition costs, noncurrent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76,527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97,658</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7,332</w:t>
            </w: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451,945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442,508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180"/>
              <w:spacing w:after="0"/>
              <w:rPr>
                <w:sz w:val="20"/>
                <w:szCs w:val="20"/>
                <w:color w:val="auto"/>
              </w:rPr>
            </w:pPr>
            <w:r>
              <w:rPr>
                <w:rFonts w:ascii="Arial" w:cs="Arial" w:eastAsia="Arial" w:hAnsi="Arial"/>
                <w:sz w:val="17"/>
                <w:szCs w:val="17"/>
                <w:color w:val="auto"/>
              </w:rPr>
              <w:t>Trade and other payables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1,950</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Related party payables, net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0" w:type="dxa"/>
            <w:vAlign w:val="bottom"/>
          </w:tcPr>
          <w:p>
            <w:pPr>
              <w:spacing w:after="0"/>
              <w:rPr>
                <w:sz w:val="1"/>
                <w:szCs w:val="1"/>
                <w:color w:val="auto"/>
              </w:rPr>
            </w:pPr>
          </w:p>
        </w:tc>
      </w:tr>
      <w:tr>
        <w:trPr>
          <w:trHeight w:val="217"/>
        </w:trPr>
        <w:tc>
          <w:tcPr>
            <w:tcW w:w="7600" w:type="dxa"/>
            <w:vAlign w:val="bottom"/>
          </w:tcPr>
          <w:p>
            <w:pPr>
              <w:ind w:left="18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42,711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45,976</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 and other contract liabilities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315,231</w:t>
            </w:r>
          </w:p>
        </w:tc>
        <w:tc>
          <w:tcPr>
            <w:tcW w:w="0" w:type="dxa"/>
            <w:vAlign w:val="bottom"/>
          </w:tcPr>
          <w:p>
            <w:pPr>
              <w:spacing w:after="0"/>
              <w:rPr>
                <w:sz w:val="1"/>
                <w:szCs w:val="1"/>
                <w:color w:val="auto"/>
              </w:rPr>
            </w:pPr>
          </w:p>
        </w:tc>
      </w:tr>
      <w:tr>
        <w:trPr>
          <w:trHeight w:val="217"/>
        </w:trPr>
        <w:tc>
          <w:tcPr>
            <w:tcW w:w="7600" w:type="dxa"/>
            <w:vAlign w:val="bottom"/>
          </w:tcPr>
          <w:p>
            <w:pPr>
              <w:ind w:left="18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21,125</w:t>
            </w:r>
          </w:p>
        </w:tc>
        <w:tc>
          <w:tcPr>
            <w:tcW w:w="0" w:type="dxa"/>
            <w:vAlign w:val="bottom"/>
          </w:tcPr>
          <w:p>
            <w:pPr>
              <w:spacing w:after="0"/>
              <w:rPr>
                <w:sz w:val="1"/>
                <w:szCs w:val="1"/>
                <w:color w:val="auto"/>
              </w:rPr>
            </w:pPr>
          </w:p>
        </w:tc>
      </w:tr>
      <w:tr>
        <w:trPr>
          <w:trHeight w:val="210"/>
        </w:trPr>
        <w:tc>
          <w:tcPr>
            <w:tcW w:w="760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362,421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385,506</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and other contract liabilities, noncurrent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348,273</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7"/>
                <w:szCs w:val="17"/>
                <w:color w:val="auto"/>
              </w:rPr>
              <w:t>Other liabilities, noncurrent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3,597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receivable agreement liability, noncurrent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5,831</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698,545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740,891</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2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600" w:type="dxa"/>
            <w:vAlign w:val="bottom"/>
          </w:tcPr>
          <w:p>
            <w:pPr>
              <w:ind w:left="180"/>
              <w:spacing w:after="0" w:line="167" w:lineRule="exact"/>
              <w:rPr>
                <w:sz w:val="20"/>
                <w:szCs w:val="20"/>
                <w:color w:val="auto"/>
              </w:rPr>
            </w:pPr>
            <w:r>
              <w:rPr>
                <w:rFonts w:ascii="Arial" w:cs="Arial" w:eastAsia="Arial" w:hAnsi="Arial"/>
                <w:sz w:val="17"/>
                <w:szCs w:val="17"/>
                <w:color w:val="auto"/>
                <w:w w:val="92"/>
              </w:rPr>
              <w:t>Common stock - Class A, par value of $0.0001 per share, 950,000,000 shares authorized; 34,096,437 and</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20"/>
              <w:spacing w:after="0"/>
              <w:rPr>
                <w:sz w:val="20"/>
                <w:szCs w:val="20"/>
                <w:color w:val="auto"/>
              </w:rPr>
            </w:pPr>
            <w:r>
              <w:rPr>
                <w:rFonts w:ascii="Arial" w:cs="Arial" w:eastAsia="Arial" w:hAnsi="Arial"/>
                <w:sz w:val="17"/>
                <w:szCs w:val="17"/>
                <w:color w:val="auto"/>
                <w:w w:val="92"/>
              </w:rPr>
              <w:t>29,039,655 shares issued and outstanding at September 30, 2023 and December 31, 2022, respectively</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7"/>
        </w:trPr>
        <w:tc>
          <w:tcPr>
            <w:tcW w:w="7600" w:type="dxa"/>
            <w:vAlign w:val="bottom"/>
            <w:shd w:val="clear" w:color="auto" w:fill="CCEEFF"/>
          </w:tcPr>
          <w:p>
            <w:pPr>
              <w:ind w:left="180"/>
              <w:spacing w:after="0" w:line="167" w:lineRule="exact"/>
              <w:rPr>
                <w:sz w:val="20"/>
                <w:szCs w:val="20"/>
                <w:color w:val="auto"/>
              </w:rPr>
            </w:pPr>
            <w:r>
              <w:rPr>
                <w:rFonts w:ascii="Arial" w:cs="Arial" w:eastAsia="Arial" w:hAnsi="Arial"/>
                <w:sz w:val="17"/>
                <w:szCs w:val="17"/>
                <w:color w:val="auto"/>
                <w:w w:val="91"/>
              </w:rPr>
              <w:t>Common stock - Class B, par value of $0.0001 per share, 300,000,000 shares authorized; 288,342,303 and</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1"/>
              </w:rPr>
              <w:t>291,092,303 shares issued and outstanding at September 30, 2023 and December 31, 2022, respectively</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67"/>
        </w:trPr>
        <w:tc>
          <w:tcPr>
            <w:tcW w:w="7600" w:type="dxa"/>
            <w:vAlign w:val="bottom"/>
          </w:tcPr>
          <w:p>
            <w:pPr>
              <w:ind w:left="180"/>
              <w:spacing w:after="0" w:line="167" w:lineRule="exact"/>
              <w:rPr>
                <w:sz w:val="20"/>
                <w:szCs w:val="20"/>
                <w:color w:val="auto"/>
              </w:rPr>
            </w:pPr>
            <w:r>
              <w:rPr>
                <w:rFonts w:ascii="Arial" w:cs="Arial" w:eastAsia="Arial" w:hAnsi="Arial"/>
                <w:sz w:val="17"/>
                <w:szCs w:val="17"/>
                <w:color w:val="auto"/>
                <w:w w:val="96"/>
              </w:rPr>
              <w:t>Preferred stock - par value of $0.0001 per share, 100,000,000 shares authorized; 0 shares issued and</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20"/>
              <w:spacing w:after="0"/>
              <w:rPr>
                <w:sz w:val="20"/>
                <w:szCs w:val="20"/>
                <w:color w:val="auto"/>
              </w:rPr>
            </w:pPr>
            <w:r>
              <w:rPr>
                <w:rFonts w:ascii="Arial" w:cs="Arial" w:eastAsia="Arial" w:hAnsi="Arial"/>
                <w:sz w:val="17"/>
                <w:szCs w:val="17"/>
                <w:color w:val="auto"/>
              </w:rPr>
              <w:t>outstanding at September 30, 2023 and December 31, 2022, respectively</w:t>
            </w:r>
          </w:p>
        </w:tc>
        <w:tc>
          <w:tcPr>
            <w:tcW w:w="2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106,852</w:t>
            </w:r>
          </w:p>
        </w:tc>
        <w:tc>
          <w:tcPr>
            <w:tcW w:w="0" w:type="dxa"/>
            <w:vAlign w:val="bottom"/>
          </w:tcPr>
          <w:p>
            <w:pPr>
              <w:spacing w:after="0"/>
              <w:rPr>
                <w:sz w:val="1"/>
                <w:szCs w:val="1"/>
                <w:color w:val="auto"/>
              </w:rPr>
            </w:pPr>
          </w:p>
        </w:tc>
      </w:tr>
      <w:tr>
        <w:trPr>
          <w:trHeight w:val="217"/>
        </w:trPr>
        <w:tc>
          <w:tcPr>
            <w:tcW w:w="7600" w:type="dxa"/>
            <w:vAlign w:val="bottom"/>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(126,482)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320"/>
              <w:spacing w:after="0"/>
              <w:rPr>
                <w:sz w:val="20"/>
                <w:szCs w:val="20"/>
                <w:color w:val="auto"/>
              </w:rPr>
            </w:pPr>
            <w:r>
              <w:rPr>
                <w:rFonts w:ascii="Arial" w:cs="Arial" w:eastAsia="Arial" w:hAnsi="Arial"/>
                <w:sz w:val="17"/>
                <w:szCs w:val="17"/>
                <w:color w:val="auto"/>
              </w:rPr>
              <w:t>Total stockholders’ deficit attributable to MarketWise, Inc.</w:t>
            </w:r>
          </w:p>
        </w:tc>
        <w:tc>
          <w:tcPr>
            <w:tcW w:w="6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(13,256)</w:t>
            </w: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(21,197)</w:t>
            </w:r>
          </w:p>
        </w:tc>
      </w:tr>
      <w:tr>
        <w:trPr>
          <w:trHeight w:val="218"/>
        </w:trPr>
        <w:tc>
          <w:tcPr>
            <w:tcW w:w="7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Noncontrolling interest</w:t>
            </w: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(233,344)</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(277,186)</w:t>
            </w:r>
          </w:p>
        </w:tc>
      </w:tr>
      <w:tr>
        <w:trPr>
          <w:trHeight w:val="210"/>
        </w:trPr>
        <w:tc>
          <w:tcPr>
            <w:tcW w:w="76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stockholders’ deficit</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(246,600)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(298,383)</w:t>
            </w:r>
          </w:p>
        </w:tc>
      </w:tr>
      <w:tr>
        <w:trPr>
          <w:trHeight w:val="236"/>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 liabilities, noncontrolling interest, and stockholders’ deficit</w:t>
            </w: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451,945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442,508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5"/>
                <w:szCs w:val="15"/>
                <w:color w:val="auto"/>
              </w:rPr>
            </w:pPr>
          </w:p>
        </w:tc>
        <w:tc>
          <w:tcPr>
            <w:tcW w:w="27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8"/>
        </w:trPr>
        <w:tc>
          <w:tcPr>
            <w:tcW w:w="49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383,383</w:t>
            </w:r>
          </w:p>
        </w:tc>
      </w:tr>
      <w:tr>
        <w:trPr>
          <w:trHeight w:val="21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Related party revenue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1,363</w:t>
            </w:r>
          </w:p>
        </w:tc>
      </w:tr>
      <w:tr>
        <w:trPr>
          <w:trHeight w:val="211"/>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336,027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384,746</w:t>
            </w:r>
          </w:p>
        </w:tc>
      </w:tr>
      <w:tr>
        <w:trPr>
          <w:trHeight w:val="217"/>
        </w:trPr>
        <w:tc>
          <w:tcPr>
            <w:tcW w:w="4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4940" w:type="dxa"/>
            <w:vAlign w:val="bottom"/>
            <w:shd w:val="clear" w:color="auto" w:fill="CCEEFF"/>
          </w:tcPr>
          <w:p>
            <w:pPr>
              <w:ind w:left="180"/>
              <w:spacing w:after="0" w:line="219"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48,328</w:t>
            </w:r>
          </w:p>
        </w:tc>
      </w:tr>
      <w:tr>
        <w:trPr>
          <w:trHeight w:val="218"/>
        </w:trPr>
        <w:tc>
          <w:tcPr>
            <w:tcW w:w="4940" w:type="dxa"/>
            <w:vAlign w:val="bottom"/>
          </w:tcPr>
          <w:p>
            <w:pPr>
              <w:ind w:left="180"/>
              <w:spacing w:after="0" w:line="218" w:lineRule="exact"/>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22"/>
                <w:szCs w:val="22"/>
                <w:color w:val="auto"/>
                <w:vertAlign w:val="superscript"/>
              </w:rPr>
              <w:t>(1)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52,466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51,635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150,226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184,922</w:t>
            </w:r>
          </w:p>
        </w:tc>
      </w:tr>
      <w:tr>
        <w:trPr>
          <w:trHeight w:val="218"/>
        </w:trPr>
        <w:tc>
          <w:tcPr>
            <w:tcW w:w="4940" w:type="dxa"/>
            <w:vAlign w:val="bottom"/>
            <w:shd w:val="clear" w:color="auto" w:fill="CCEEFF"/>
          </w:tcPr>
          <w:p>
            <w:pPr>
              <w:ind w:left="180"/>
              <w:spacing w:after="0" w:line="218"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79,895</w:t>
            </w:r>
          </w:p>
        </w:tc>
      </w:tr>
      <w:tr>
        <w:trPr>
          <w:trHeight w:val="218"/>
        </w:trPr>
        <w:tc>
          <w:tcPr>
            <w:tcW w:w="4940" w:type="dxa"/>
            <w:vAlign w:val="bottom"/>
          </w:tcPr>
          <w:p>
            <w:pPr>
              <w:ind w:left="180"/>
              <w:spacing w:after="0" w:line="218"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2"/>
                <w:szCs w:val="22"/>
                <w:color w:val="auto"/>
                <w:vertAlign w:val="superscript"/>
              </w:rPr>
              <w:t>(1)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6,740</w:t>
            </w:r>
          </w:p>
        </w:tc>
      </w:tr>
      <w:tr>
        <w:trPr>
          <w:trHeight w:val="21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w:t>
            </w:r>
          </w:p>
        </w:tc>
      </w:tr>
      <w:tr>
        <w:trPr>
          <w:trHeight w:val="217"/>
        </w:trPr>
        <w:tc>
          <w:tcPr>
            <w:tcW w:w="4940" w:type="dxa"/>
            <w:vAlign w:val="bottom"/>
          </w:tcPr>
          <w:p>
            <w:pPr>
              <w:ind w:left="180"/>
              <w:spacing w:after="0"/>
              <w:rPr>
                <w:sz w:val="20"/>
                <w:szCs w:val="20"/>
                <w:color w:val="auto"/>
              </w:rPr>
            </w:pPr>
            <w:r>
              <w:rPr>
                <w:rFonts w:ascii="Arial" w:cs="Arial" w:eastAsia="Arial" w:hAnsi="Arial"/>
                <w:sz w:val="17"/>
                <w:szCs w:val="17"/>
                <w:color w:val="auto"/>
              </w:rPr>
              <w:t>Impairment of intangible assets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Related party expense</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10"/>
        </w:trPr>
        <w:tc>
          <w:tcPr>
            <w:tcW w:w="49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95,108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285,458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322,228</w:t>
            </w:r>
          </w:p>
        </w:tc>
      </w:tr>
      <w:tr>
        <w:trPr>
          <w:trHeight w:val="211"/>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62,518</w:t>
            </w:r>
          </w:p>
        </w:tc>
      </w:tr>
      <w:tr>
        <w:trPr>
          <w:trHeight w:val="217"/>
        </w:trPr>
        <w:tc>
          <w:tcPr>
            <w:tcW w:w="4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15,568</w:t>
            </w: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10"/>
        </w:trPr>
        <w:tc>
          <w:tcPr>
            <w:tcW w:w="494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17,892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54,438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77,514</w:t>
            </w: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3,945</w:t>
            </w:r>
          </w:p>
        </w:tc>
      </w:tr>
      <w:tr>
        <w:trPr>
          <w:trHeight w:val="21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73,569</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59,875</w:t>
            </w:r>
          </w:p>
        </w:tc>
      </w:tr>
      <w:tr>
        <w:trPr>
          <w:trHeight w:val="211"/>
        </w:trPr>
        <w:tc>
          <w:tcPr>
            <w:tcW w:w="4940" w:type="dxa"/>
            <w:vAlign w:val="bottom"/>
          </w:tcPr>
          <w:p>
            <w:pPr>
              <w:ind w:left="20"/>
              <w:spacing w:after="0"/>
              <w:rPr>
                <w:sz w:val="20"/>
                <w:szCs w:val="20"/>
                <w:color w:val="auto"/>
              </w:rPr>
            </w:pPr>
            <w:r>
              <w:rPr>
                <w:rFonts w:ascii="Arial" w:cs="Arial" w:eastAsia="Arial" w:hAnsi="Arial"/>
                <w:sz w:val="17"/>
                <w:szCs w:val="17"/>
                <w:color w:val="auto"/>
              </w:rPr>
              <w:t>Net income (loss) attributable to MarketWise, Inc.</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13,694</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Earnings per share – basic</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8"/>
        </w:trPr>
        <w:tc>
          <w:tcPr>
            <w:tcW w:w="49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Earnings per share – diluted</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8"/>
        </w:trPr>
        <w:tc>
          <w:tcPr>
            <w:tcW w:w="49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Weighted average shares outstanding – basic</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32,910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23,233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8"/>
        </w:trPr>
        <w:tc>
          <w:tcPr>
            <w:tcW w:w="49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Weighted average shares outstanding – diluted</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33,632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23,566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23,267</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18" w:lineRule="exact"/>
        <w:rPr>
          <w:sz w:val="20"/>
          <w:szCs w:val="20"/>
          <w:color w:val="auto"/>
        </w:rPr>
      </w:pPr>
    </w:p>
    <w:p>
      <w:pPr>
        <w:ind w:left="20" w:right="60" w:hanging="1"/>
        <w:spacing w:after="0" w:line="229" w:lineRule="auto"/>
        <w:tabs>
          <w:tab w:leader="none" w:pos="175"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4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47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r>
      <w:tr>
        <w:trPr>
          <w:trHeight w:val="21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12,044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16,509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73,569</w:t>
            </w:r>
          </w:p>
        </w:tc>
      </w:tr>
      <w:tr>
        <w:trPr>
          <w:trHeight w:val="217"/>
        </w:trPr>
        <w:tc>
          <w:tcPr>
            <w:tcW w:w="47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Cumulative translation adjustment</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1"/>
        </w:trPr>
        <w:tc>
          <w:tcPr>
            <w:tcW w:w="4760" w:type="dxa"/>
            <w:vAlign w:val="bottom"/>
          </w:tcPr>
          <w:p>
            <w:pPr>
              <w:ind w:left="20"/>
              <w:spacing w:after="0"/>
              <w:rPr>
                <w:sz w:val="20"/>
                <w:szCs w:val="20"/>
                <w:color w:val="auto"/>
              </w:rPr>
            </w:pPr>
            <w:r>
              <w:rPr>
                <w:rFonts w:ascii="Arial" w:cs="Arial" w:eastAsia="Arial" w:hAnsi="Arial"/>
                <w:sz w:val="17"/>
                <w:szCs w:val="17"/>
                <w:color w:val="auto"/>
              </w:rPr>
              <w:t>Total comprehensive income</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12,069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16,515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52,403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73,469</w:t>
            </w:r>
          </w:p>
        </w:tc>
      </w:tr>
      <w:tr>
        <w:trPr>
          <w:trHeight w:val="20"/>
        </w:trPr>
        <w:tc>
          <w:tcPr>
            <w:tcW w:w="4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Condensed Consolidated Statement of Stockholders’ Deficit (Unaudited)</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80"/>
              <w:spacing w:after="0" w:line="154" w:lineRule="exact"/>
              <w:rPr>
                <w:sz w:val="20"/>
                <w:szCs w:val="20"/>
                <w:color w:val="auto"/>
              </w:rPr>
            </w:pPr>
            <w:r>
              <w:rPr>
                <w:rFonts w:ascii="Arial" w:cs="Arial" w:eastAsia="Arial" w:hAnsi="Arial"/>
                <w:sz w:val="15"/>
                <w:szCs w:val="15"/>
                <w:b w:val="1"/>
                <w:bCs w:val="1"/>
                <w:color w:val="auto"/>
                <w:w w:val="90"/>
              </w:rPr>
              <w:t>Stockholders’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5"/>
                <w:szCs w:val="15"/>
                <w:b w:val="1"/>
                <w:bCs w:val="1"/>
                <w:color w:val="auto"/>
                <w:w w:val="91"/>
              </w:rPr>
              <w:t>Accumulated</w:t>
            </w: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91"/>
              </w:rPr>
              <w:t>Deficit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3120" w:type="dxa"/>
            <w:vAlign w:val="bottom"/>
            <w:gridSpan w:val="10"/>
            <w:vMerge w:val="restart"/>
          </w:tcPr>
          <w:p>
            <w:pPr>
              <w:ind w:left="180"/>
              <w:spacing w:after="0"/>
              <w:rPr>
                <w:sz w:val="20"/>
                <w:szCs w:val="20"/>
                <w:color w:val="auto"/>
              </w:rPr>
            </w:pPr>
            <w:r>
              <w:rPr>
                <w:rFonts w:ascii="Arial" w:cs="Arial" w:eastAsia="Arial" w:hAnsi="Arial"/>
                <w:sz w:val="15"/>
                <w:szCs w:val="15"/>
                <w:b w:val="1"/>
                <w:bCs w:val="1"/>
                <w:color w:val="auto"/>
                <w:w w:val="98"/>
              </w:rPr>
              <w:t>Common Stock -   Common Stock - Class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3"/>
          </w:tcPr>
          <w:p>
            <w:pPr>
              <w:jc w:val="center"/>
              <w:ind w:right="80"/>
              <w:spacing w:after="0" w:line="154" w:lineRule="exact"/>
              <w:rPr>
                <w:sz w:val="20"/>
                <w:szCs w:val="20"/>
                <w:color w:val="auto"/>
              </w:rPr>
            </w:pPr>
            <w:r>
              <w:rPr>
                <w:rFonts w:ascii="Arial" w:cs="Arial" w:eastAsia="Arial" w:hAnsi="Arial"/>
                <w:sz w:val="15"/>
                <w:szCs w:val="15"/>
                <w:b w:val="1"/>
                <w:bCs w:val="1"/>
                <w:color w:val="auto"/>
                <w:w w:val="97"/>
              </w:rPr>
              <w:t>Attributable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3120" w:type="dxa"/>
            <w:vAlign w:val="bottom"/>
            <w:gridSpan w:val="10"/>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40"/>
              <w:spacing w:after="0" w:line="154" w:lineRule="exact"/>
              <w:rPr>
                <w:sz w:val="20"/>
                <w:szCs w:val="20"/>
                <w:color w:val="auto"/>
              </w:rPr>
            </w:pPr>
            <w:r>
              <w:rPr>
                <w:rFonts w:ascii="Arial" w:cs="Arial" w:eastAsia="Arial" w:hAnsi="Arial"/>
                <w:sz w:val="15"/>
                <w:szCs w:val="15"/>
                <w:b w:val="1"/>
                <w:bCs w:val="1"/>
                <w:color w:val="auto"/>
              </w:rPr>
              <w:t>Additional</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jc w:val="center"/>
              <w:ind w:right="160"/>
              <w:spacing w:after="0" w:line="154"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7"/>
                <w:szCs w:val="7"/>
                <w:color w:val="auto"/>
              </w:rPr>
            </w:pPr>
          </w:p>
        </w:tc>
        <w:tc>
          <w:tcPr>
            <w:tcW w:w="860" w:type="dxa"/>
            <w:vAlign w:val="bottom"/>
            <w:gridSpan w:val="2"/>
            <w:vMerge w:val="restart"/>
          </w:tcPr>
          <w:p>
            <w:pPr>
              <w:jc w:val="center"/>
              <w:ind w:right="240"/>
              <w:spacing w:after="0" w:line="154" w:lineRule="exact"/>
              <w:rPr>
                <w:sz w:val="20"/>
                <w:szCs w:val="20"/>
                <w:color w:val="auto"/>
              </w:rPr>
            </w:pPr>
            <w:r>
              <w:rPr>
                <w:rFonts w:ascii="Arial" w:cs="Arial" w:eastAsia="Arial" w:hAnsi="Arial"/>
                <w:sz w:val="15"/>
                <w:szCs w:val="15"/>
                <w:b w:val="1"/>
                <w:bCs w:val="1"/>
                <w:color w:val="auto"/>
                <w:w w:val="98"/>
              </w:rPr>
              <w:t>to</w:t>
            </w: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223"/>
              <w:spacing w:after="0" w:line="154"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5"/>
                <w:szCs w:val="15"/>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720"/>
              <w:spacing w:after="0"/>
              <w:rPr>
                <w:sz w:val="20"/>
                <w:szCs w:val="20"/>
                <w:color w:val="auto"/>
              </w:rPr>
            </w:pPr>
            <w:r>
              <w:rPr>
                <w:rFonts w:ascii="Arial" w:cs="Arial" w:eastAsia="Arial" w:hAnsi="Arial"/>
                <w:sz w:val="15"/>
                <w:szCs w:val="15"/>
                <w:b w:val="1"/>
                <w:bCs w:val="1"/>
                <w:color w:val="auto"/>
              </w:rPr>
              <w:t>B</w:t>
            </w: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restart"/>
          </w:tcPr>
          <w:p>
            <w:pPr>
              <w:jc w:val="right"/>
              <w:ind w:right="3"/>
              <w:spacing w:after="0"/>
              <w:rPr>
                <w:sz w:val="20"/>
                <w:szCs w:val="20"/>
                <w:color w:val="auto"/>
              </w:rPr>
            </w:pPr>
            <w:r>
              <w:rPr>
                <w:rFonts w:ascii="Arial" w:cs="Arial" w:eastAsia="Arial" w:hAnsi="Arial"/>
                <w:sz w:val="15"/>
                <w:szCs w:val="15"/>
                <w:b w:val="1"/>
                <w:bCs w:val="1"/>
                <w:color w:val="auto"/>
                <w:w w:val="96"/>
              </w:rPr>
              <w:t>Preferred Stock</w:t>
            </w:r>
          </w:p>
        </w:tc>
        <w:tc>
          <w:tcPr>
            <w:tcW w:w="6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rPr>
              <w:t>paid-in</w:t>
            </w:r>
          </w:p>
        </w:tc>
        <w:tc>
          <w:tcPr>
            <w:tcW w:w="100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rPr>
              <w:t>Accumulated</w:t>
            </w:r>
          </w:p>
        </w:tc>
        <w:tc>
          <w:tcPr>
            <w:tcW w:w="1140" w:type="dxa"/>
            <w:vAlign w:val="bottom"/>
            <w:gridSpan w:val="3"/>
          </w:tcPr>
          <w:p>
            <w:pPr>
              <w:jc w:val="center"/>
              <w:ind w:right="80"/>
              <w:spacing w:after="0" w:line="133" w:lineRule="exact"/>
              <w:rPr>
                <w:sz w:val="20"/>
                <w:szCs w:val="20"/>
                <w:color w:val="auto"/>
              </w:rPr>
            </w:pPr>
            <w:r>
              <w:rPr>
                <w:rFonts w:ascii="Arial" w:cs="Arial" w:eastAsia="Arial" w:hAnsi="Arial"/>
                <w:sz w:val="15"/>
                <w:szCs w:val="15"/>
                <w:b w:val="1"/>
                <w:bCs w:val="1"/>
                <w:color w:val="auto"/>
                <w:w w:val="90"/>
              </w:rPr>
              <w:t>Comprehensive</w:t>
            </w:r>
          </w:p>
        </w:tc>
        <w:tc>
          <w:tcPr>
            <w:tcW w:w="1020" w:type="dxa"/>
            <w:vAlign w:val="bottom"/>
            <w:gridSpan w:val="3"/>
          </w:tcPr>
          <w:p>
            <w:pPr>
              <w:jc w:val="center"/>
              <w:ind w:right="80"/>
              <w:spacing w:after="0" w:line="133" w:lineRule="exact"/>
              <w:rPr>
                <w:sz w:val="20"/>
                <w:szCs w:val="20"/>
                <w:color w:val="auto"/>
              </w:rPr>
            </w:pPr>
            <w:r>
              <w:rPr>
                <w:rFonts w:ascii="Arial" w:cs="Arial" w:eastAsia="Arial" w:hAnsi="Arial"/>
                <w:sz w:val="15"/>
                <w:szCs w:val="15"/>
                <w:b w:val="1"/>
                <w:bCs w:val="1"/>
                <w:color w:val="auto"/>
                <w:w w:val="98"/>
              </w:rPr>
              <w:t>MarketWise,</w:t>
            </w:r>
          </w:p>
        </w:tc>
        <w:tc>
          <w:tcPr>
            <w:tcW w:w="110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w w:val="99"/>
              </w:rPr>
              <w:t>Noncontrolling</w:t>
            </w:r>
          </w:p>
        </w:tc>
        <w:tc>
          <w:tcPr>
            <w:tcW w:w="94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195"/>
        </w:trPr>
        <w:tc>
          <w:tcPr>
            <w:tcW w:w="9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5"/>
              </w:rPr>
              <w:t>Amount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87"/>
              </w:rPr>
              <w:t>Shares</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6"/>
              </w:rPr>
              <w:t>capital</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Income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Inc.</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Interest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37"/>
        </w:trPr>
        <w:tc>
          <w:tcPr>
            <w:tcW w:w="960" w:type="dxa"/>
            <w:vAlign w:val="bottom"/>
            <w:shd w:val="clear" w:color="auto" w:fill="CCEEFF"/>
          </w:tcPr>
          <w:p>
            <w:pPr>
              <w:ind w:left="20"/>
              <w:spacing w:after="0" w:line="137" w:lineRule="exact"/>
              <w:rPr>
                <w:sz w:val="20"/>
                <w:szCs w:val="20"/>
                <w:color w:val="auto"/>
              </w:rPr>
            </w:pPr>
            <w:r>
              <w:rPr>
                <w:rFonts w:ascii="Arial" w:cs="Arial" w:eastAsia="Arial" w:hAnsi="Arial"/>
                <w:sz w:val="15"/>
                <w:szCs w:val="15"/>
                <w:b w:val="1"/>
                <w:bCs w:val="1"/>
                <w:color w:val="auto"/>
              </w:rPr>
              <w:t>Balance at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3"/>
              </w:rPr>
              <w:t>22,505,103</w:t>
            </w:r>
          </w:p>
        </w:tc>
        <w:tc>
          <w:tcPr>
            <w:tcW w:w="6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3"/>
              </w:rPr>
              <w:t>291,092,303</w:t>
            </w: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29</w:t>
            </w:r>
          </w:p>
        </w:tc>
        <w:tc>
          <w:tcPr>
            <w:tcW w:w="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90,048</w:t>
            </w:r>
          </w:p>
        </w:tc>
        <w:tc>
          <w:tcPr>
            <w:tcW w:w="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(128,409)</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(38,445)</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(321,162)</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(359,607)</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July 1, 2022</w:t>
            </w: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Equity-based</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2,153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2,153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2,153</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5"/>
                <w:szCs w:val="15"/>
                <w:color w:val="auto"/>
                <w:w w:val="98"/>
              </w:rPr>
              <w:t>compensation</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w w:val="95"/>
              </w:rPr>
              <w:t>common stock</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 warrant</w:t>
            </w: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5,939,739</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14,400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14,401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14,401</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exchanges</w:t>
            </w: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Vesting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rPr>
              <w:t>restricted</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377,660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5"/>
                <w:szCs w:val="15"/>
                <w:color w:val="auto"/>
              </w:rPr>
              <w:t>stock units</w:t>
            </w: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Restricted</w:t>
            </w: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stock units</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withheld to</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taxes</w:t>
            </w:r>
          </w:p>
        </w:tc>
        <w:tc>
          <w:tcPr>
            <w:tcW w:w="8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Acquisition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w w:val="98"/>
              </w:rPr>
              <w:t>noncontrolling</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rPr>
              <w:t>interest -</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(1,257)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(1,257)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960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5"/>
                <w:szCs w:val="15"/>
                <w:color w:val="auto"/>
              </w:rPr>
              <w:t>Chaikin</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w:t>
            </w: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Foreign</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80"/>
              <w:spacing w:after="0" w:line="154" w:lineRule="exact"/>
              <w:rPr>
                <w:sz w:val="20"/>
                <w:szCs w:val="20"/>
                <w:color w:val="auto"/>
              </w:rPr>
            </w:pPr>
            <w:r>
              <w:rPr>
                <w:rFonts w:ascii="Arial" w:cs="Arial" w:eastAsia="Arial" w:hAnsi="Arial"/>
                <w:sz w:val="15"/>
                <w:szCs w:val="15"/>
                <w:color w:val="auto"/>
              </w:rPr>
              <w:t>currency</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80"/>
              <w:spacing w:after="0" w:line="154" w:lineRule="exact"/>
              <w:rPr>
                <w:sz w:val="20"/>
                <w:szCs w:val="20"/>
                <w:color w:val="auto"/>
              </w:rPr>
            </w:pPr>
            <w:r>
              <w:rPr>
                <w:rFonts w:ascii="Arial" w:cs="Arial" w:eastAsia="Arial" w:hAnsi="Arial"/>
                <w:sz w:val="15"/>
                <w:szCs w:val="15"/>
                <w:color w:val="auto"/>
              </w:rPr>
              <w:t>translation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8"/>
        </w:trPr>
        <w:tc>
          <w:tcPr>
            <w:tcW w:w="960" w:type="dxa"/>
            <w:vAlign w:val="bottom"/>
          </w:tcPr>
          <w:p>
            <w:pPr>
              <w:ind w:left="180"/>
              <w:spacing w:after="0"/>
              <w:rPr>
                <w:sz w:val="20"/>
                <w:szCs w:val="20"/>
                <w:color w:val="auto"/>
              </w:rPr>
            </w:pPr>
            <w:r>
              <w:rPr>
                <w:rFonts w:ascii="Arial" w:cs="Arial" w:eastAsia="Arial" w:hAnsi="Arial"/>
                <w:sz w:val="15"/>
                <w:szCs w:val="15"/>
                <w:color w:val="auto"/>
                <w:w w:val="93"/>
              </w:rPr>
              <w:t>adjustments</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16,509</w:t>
            </w: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Balance at</w:t>
            </w: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September</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w w:val="93"/>
              </w:rPr>
              <w:t>28,822,502</w:t>
            </w:r>
          </w:p>
        </w:tc>
        <w:tc>
          <w:tcPr>
            <w:tcW w:w="60" w:type="dxa"/>
            <w:vAlign w:val="bottom"/>
          </w:tcPr>
          <w:p>
            <w:pPr>
              <w:spacing w:after="0"/>
              <w:rPr>
                <w:sz w:val="13"/>
                <w:szCs w:val="13"/>
                <w:color w:val="auto"/>
              </w:rPr>
            </w:pPr>
          </w:p>
        </w:tc>
        <w:tc>
          <w:tcPr>
            <w:tcW w:w="2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w w:val="93"/>
              </w:rPr>
              <w:t>291,092,303</w:t>
            </w:r>
          </w:p>
        </w:tc>
        <w:tc>
          <w:tcPr>
            <w:tcW w:w="6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ind w:right="3"/>
              <w:spacing w:after="0"/>
              <w:rPr>
                <w:sz w:val="20"/>
                <w:szCs w:val="20"/>
                <w:color w:val="auto"/>
              </w:rPr>
            </w:pPr>
            <w:r>
              <w:rPr>
                <w:rFonts w:ascii="Arial" w:cs="Arial" w:eastAsia="Arial" w:hAnsi="Arial"/>
                <w:sz w:val="15"/>
                <w:szCs w:val="15"/>
                <w:color w:val="auto"/>
              </w:rPr>
              <w:t>29</w:t>
            </w:r>
          </w:p>
        </w:tc>
        <w:tc>
          <w:tcPr>
            <w:tcW w:w="60" w:type="dxa"/>
            <w:vAlign w:val="bottom"/>
          </w:tcPr>
          <w:p>
            <w:pPr>
              <w:spacing w:after="0"/>
              <w:rPr>
                <w:sz w:val="13"/>
                <w:szCs w:val="13"/>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w w:val="99"/>
              </w:rPr>
              <w:t>104,833</w:t>
            </w:r>
          </w:p>
        </w:tc>
        <w:tc>
          <w:tcPr>
            <w:tcW w:w="6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(132,421)</w:t>
            </w:r>
          </w:p>
        </w:tc>
        <w:tc>
          <w:tcPr>
            <w:tcW w:w="8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3"/>
                <w:szCs w:val="13"/>
                <w:color w:val="auto"/>
              </w:rPr>
            </w:pPr>
          </w:p>
        </w:tc>
        <w:tc>
          <w:tcPr>
            <w:tcW w:w="160" w:type="dxa"/>
            <w:vAlign w:val="bottom"/>
            <w:vMerge w:val="restart"/>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(27,665)</w:t>
            </w:r>
          </w:p>
        </w:tc>
        <w:tc>
          <w:tcPr>
            <w:tcW w:w="8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(300,358)</w:t>
            </w:r>
          </w:p>
        </w:tc>
        <w:tc>
          <w:tcPr>
            <w:tcW w:w="8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(328,023)</w:t>
            </w:r>
          </w:p>
        </w:tc>
        <w:tc>
          <w:tcPr>
            <w:tcW w:w="0" w:type="dxa"/>
            <w:vAlign w:val="bottom"/>
          </w:tcPr>
          <w:p>
            <w:pPr>
              <w:spacing w:after="0"/>
              <w:rPr>
                <w:sz w:val="1"/>
                <w:szCs w:val="1"/>
                <w:color w:val="auto"/>
              </w:rPr>
            </w:pPr>
          </w:p>
        </w:tc>
      </w:tr>
      <w:tr>
        <w:trPr>
          <w:trHeight w:val="179"/>
        </w:trPr>
        <w:tc>
          <w:tcPr>
            <w:tcW w:w="960" w:type="dxa"/>
            <w:vAlign w:val="bottom"/>
          </w:tcPr>
          <w:p>
            <w:pPr>
              <w:ind w:left="20"/>
              <w:spacing w:after="0"/>
              <w:rPr>
                <w:sz w:val="20"/>
                <w:szCs w:val="20"/>
                <w:color w:val="auto"/>
              </w:rPr>
            </w:pPr>
            <w:r>
              <w:rPr>
                <w:rFonts w:ascii="Arial" w:cs="Arial" w:eastAsia="Arial" w:hAnsi="Arial"/>
                <w:sz w:val="15"/>
                <w:szCs w:val="15"/>
                <w:b w:val="1"/>
                <w:bCs w:val="1"/>
                <w:color w:val="auto"/>
              </w:rPr>
              <w:t>30, 2022</w:t>
            </w: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0" w:name="page11"/>
    <w:bookmarkEnd w:id="10"/>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Condensed Consolidated Statement of Stockholders’ Deficit (Unaudited)</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center"/>
              <w:ind w:right="60"/>
              <w:spacing w:after="0" w:line="154" w:lineRule="exact"/>
              <w:rPr>
                <w:sz w:val="20"/>
                <w:szCs w:val="20"/>
                <w:color w:val="auto"/>
              </w:rPr>
            </w:pPr>
            <w:r>
              <w:rPr>
                <w:rFonts w:ascii="Arial" w:cs="Arial" w:eastAsia="Arial" w:hAnsi="Arial"/>
                <w:sz w:val="15"/>
                <w:szCs w:val="15"/>
                <w:b w:val="1"/>
                <w:bCs w:val="1"/>
                <w:color w:val="auto"/>
                <w:w w:val="90"/>
              </w:rPr>
              <w:t>Stockholders’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5"/>
                <w:szCs w:val="15"/>
                <w:b w:val="1"/>
                <w:bCs w:val="1"/>
                <w:color w:val="auto"/>
                <w:w w:val="93"/>
              </w:rPr>
              <w:t>Accumulated</w:t>
            </w:r>
          </w:p>
        </w:tc>
        <w:tc>
          <w:tcPr>
            <w:tcW w:w="180" w:type="dxa"/>
            <w:vAlign w:val="bottom"/>
          </w:tcPr>
          <w:p>
            <w:pPr>
              <w:spacing w:after="0"/>
              <w:rPr>
                <w:sz w:val="13"/>
                <w:szCs w:val="13"/>
                <w:color w:val="auto"/>
              </w:rPr>
            </w:pPr>
          </w:p>
        </w:tc>
        <w:tc>
          <w:tcPr>
            <w:tcW w:w="860" w:type="dxa"/>
            <w:vAlign w:val="bottom"/>
            <w:gridSpan w:val="2"/>
          </w:tcPr>
          <w:p>
            <w:pPr>
              <w:jc w:val="center"/>
              <w:ind w:right="260"/>
              <w:spacing w:after="0" w:line="154" w:lineRule="exact"/>
              <w:rPr>
                <w:sz w:val="20"/>
                <w:szCs w:val="20"/>
                <w:color w:val="auto"/>
              </w:rPr>
            </w:pPr>
            <w:r>
              <w:rPr>
                <w:rFonts w:ascii="Arial" w:cs="Arial" w:eastAsia="Arial" w:hAnsi="Arial"/>
                <w:sz w:val="15"/>
                <w:szCs w:val="15"/>
                <w:b w:val="1"/>
                <w:bCs w:val="1"/>
                <w:color w:val="auto"/>
                <w:w w:val="95"/>
              </w:rPr>
              <w:t>Deficit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3120" w:type="dxa"/>
            <w:vAlign w:val="bottom"/>
            <w:gridSpan w:val="10"/>
            <w:vMerge w:val="restart"/>
          </w:tcPr>
          <w:p>
            <w:pPr>
              <w:ind w:left="180"/>
              <w:spacing w:after="0"/>
              <w:rPr>
                <w:sz w:val="20"/>
                <w:szCs w:val="20"/>
                <w:color w:val="auto"/>
              </w:rPr>
            </w:pPr>
            <w:r>
              <w:rPr>
                <w:rFonts w:ascii="Arial" w:cs="Arial" w:eastAsia="Arial" w:hAnsi="Arial"/>
                <w:sz w:val="15"/>
                <w:szCs w:val="15"/>
                <w:b w:val="1"/>
                <w:bCs w:val="1"/>
                <w:color w:val="auto"/>
                <w:w w:val="98"/>
              </w:rPr>
              <w:t>Common Stock -   Common Stock - Class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40" w:type="dxa"/>
            <w:vAlign w:val="bottom"/>
            <w:gridSpan w:val="3"/>
          </w:tcPr>
          <w:p>
            <w:pPr>
              <w:jc w:val="center"/>
              <w:ind w:right="60"/>
              <w:spacing w:after="0" w:line="154" w:lineRule="exact"/>
              <w:rPr>
                <w:sz w:val="20"/>
                <w:szCs w:val="20"/>
                <w:color w:val="auto"/>
              </w:rPr>
            </w:pPr>
            <w:r>
              <w:rPr>
                <w:rFonts w:ascii="Arial" w:cs="Arial" w:eastAsia="Arial" w:hAnsi="Arial"/>
                <w:sz w:val="15"/>
                <w:szCs w:val="15"/>
                <w:b w:val="1"/>
                <w:bCs w:val="1"/>
                <w:color w:val="auto"/>
                <w:w w:val="97"/>
              </w:rPr>
              <w:t>Attributable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3120" w:type="dxa"/>
            <w:vAlign w:val="bottom"/>
            <w:gridSpan w:val="10"/>
            <w:vMerge w:val="continue"/>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ind w:left="20"/>
              <w:spacing w:after="0" w:line="154" w:lineRule="exact"/>
              <w:rPr>
                <w:sz w:val="20"/>
                <w:szCs w:val="20"/>
                <w:color w:val="auto"/>
              </w:rPr>
            </w:pPr>
            <w:r>
              <w:rPr>
                <w:rFonts w:ascii="Arial" w:cs="Arial" w:eastAsia="Arial" w:hAnsi="Arial"/>
                <w:sz w:val="15"/>
                <w:szCs w:val="15"/>
                <w:b w:val="1"/>
                <w:bCs w:val="1"/>
                <w:color w:val="auto"/>
              </w:rPr>
              <w:t>Additional</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center"/>
              <w:ind w:right="160"/>
              <w:spacing w:after="0" w:line="154" w:lineRule="exact"/>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7"/>
                <w:szCs w:val="7"/>
                <w:color w:val="auto"/>
              </w:rPr>
            </w:pPr>
          </w:p>
        </w:tc>
        <w:tc>
          <w:tcPr>
            <w:tcW w:w="860" w:type="dxa"/>
            <w:vAlign w:val="bottom"/>
            <w:gridSpan w:val="2"/>
            <w:vMerge w:val="restart"/>
          </w:tcPr>
          <w:p>
            <w:pPr>
              <w:jc w:val="center"/>
              <w:ind w:right="260"/>
              <w:spacing w:after="0" w:line="154"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restart"/>
          </w:tcPr>
          <w:p>
            <w:pPr>
              <w:jc w:val="right"/>
              <w:ind w:right="223"/>
              <w:spacing w:after="0" w:line="154"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64"/>
        </w:trPr>
        <w:tc>
          <w:tcPr>
            <w:tcW w:w="940" w:type="dxa"/>
            <w:vAlign w:val="bottom"/>
          </w:tcPr>
          <w:p>
            <w:pPr>
              <w:spacing w:after="0"/>
              <w:rPr>
                <w:sz w:val="5"/>
                <w:szCs w:val="5"/>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5"/>
                <w:szCs w:val="15"/>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B</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5"/>
                <w:szCs w:val="15"/>
                <w:b w:val="1"/>
                <w:bCs w:val="1"/>
                <w:color w:val="auto"/>
                <w:w w:val="96"/>
              </w:rPr>
              <w:t>Preferred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rPr>
              <w:t>paid-in</w:t>
            </w:r>
          </w:p>
        </w:tc>
        <w:tc>
          <w:tcPr>
            <w:tcW w:w="98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w w:val="99"/>
              </w:rPr>
              <w:t>Accumulated</w:t>
            </w:r>
          </w:p>
        </w:tc>
        <w:tc>
          <w:tcPr>
            <w:tcW w:w="1140" w:type="dxa"/>
            <w:vAlign w:val="bottom"/>
            <w:gridSpan w:val="3"/>
          </w:tcPr>
          <w:p>
            <w:pPr>
              <w:ind w:left="40"/>
              <w:spacing w:after="0" w:line="133" w:lineRule="exact"/>
              <w:rPr>
                <w:sz w:val="20"/>
                <w:szCs w:val="20"/>
                <w:color w:val="auto"/>
              </w:rPr>
            </w:pPr>
            <w:r>
              <w:rPr>
                <w:rFonts w:ascii="Arial" w:cs="Arial" w:eastAsia="Arial" w:hAnsi="Arial"/>
                <w:sz w:val="15"/>
                <w:szCs w:val="15"/>
                <w:b w:val="1"/>
                <w:bCs w:val="1"/>
                <w:color w:val="auto"/>
                <w:w w:val="95"/>
              </w:rPr>
              <w:t>Comprehensive</w:t>
            </w:r>
          </w:p>
        </w:tc>
        <w:tc>
          <w:tcPr>
            <w:tcW w:w="1040" w:type="dxa"/>
            <w:vAlign w:val="bottom"/>
            <w:gridSpan w:val="3"/>
          </w:tcPr>
          <w:p>
            <w:pPr>
              <w:jc w:val="center"/>
              <w:ind w:right="60"/>
              <w:spacing w:after="0" w:line="133" w:lineRule="exact"/>
              <w:rPr>
                <w:sz w:val="20"/>
                <w:szCs w:val="20"/>
                <w:color w:val="auto"/>
              </w:rPr>
            </w:pPr>
            <w:r>
              <w:rPr>
                <w:rFonts w:ascii="Arial" w:cs="Arial" w:eastAsia="Arial" w:hAnsi="Arial"/>
                <w:sz w:val="15"/>
                <w:szCs w:val="15"/>
                <w:b w:val="1"/>
                <w:bCs w:val="1"/>
                <w:color w:val="auto"/>
                <w:w w:val="98"/>
              </w:rPr>
              <w:t>MarketWise,</w:t>
            </w:r>
          </w:p>
        </w:tc>
        <w:tc>
          <w:tcPr>
            <w:tcW w:w="110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w w:val="99"/>
              </w:rPr>
              <w:t>Noncontrolling</w:t>
            </w:r>
          </w:p>
        </w:tc>
        <w:tc>
          <w:tcPr>
            <w:tcW w:w="94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195"/>
        </w:trPr>
        <w:tc>
          <w:tcPr>
            <w:tcW w:w="9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5"/>
              </w:rPr>
              <w:t>Amount</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5"/>
              </w:rPr>
              <w:t>Amount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87"/>
              </w:rPr>
              <w:t>Shares</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5"/>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6"/>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deficit</w:t>
            </w:r>
          </w:p>
        </w:tc>
        <w:tc>
          <w:tcPr>
            <w:tcW w:w="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6"/>
              </w:rPr>
              <w:t>Income (Loss)</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2"/>
              </w:rPr>
              <w:t>Inc.</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Interest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37"/>
        </w:trPr>
        <w:tc>
          <w:tcPr>
            <w:tcW w:w="940" w:type="dxa"/>
            <w:vAlign w:val="bottom"/>
            <w:shd w:val="clear" w:color="auto" w:fill="CCEEFF"/>
          </w:tcPr>
          <w:p>
            <w:pPr>
              <w:ind w:left="20"/>
              <w:spacing w:after="0" w:line="137" w:lineRule="exact"/>
              <w:rPr>
                <w:sz w:val="20"/>
                <w:szCs w:val="20"/>
                <w:color w:val="auto"/>
              </w:rPr>
            </w:pPr>
            <w:r>
              <w:rPr>
                <w:rFonts w:ascii="Arial" w:cs="Arial" w:eastAsia="Arial" w:hAnsi="Arial"/>
                <w:sz w:val="15"/>
                <w:szCs w:val="15"/>
                <w:b w:val="1"/>
                <w:bCs w:val="1"/>
                <w:color w:val="auto"/>
              </w:rPr>
              <w:t>Balance at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0"/>
              </w:rPr>
              <w:t>32,073,995</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1"/>
              </w:rPr>
              <w:t>289,842,303</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112,146</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(126,622)</w:t>
            </w:r>
          </w:p>
        </w:tc>
        <w:tc>
          <w:tcPr>
            <w:tcW w:w="6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30</w:t>
            </w:r>
          </w:p>
        </w:tc>
        <w:tc>
          <w:tcPr>
            <w:tcW w:w="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(14,414)</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(242,837)</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(257,251)</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July 1, 2023</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40" w:type="dxa"/>
            <w:vAlign w:val="bottom"/>
          </w:tcPr>
          <w:p>
            <w:pPr>
              <w:ind w:left="20"/>
              <w:spacing w:after="0" w:line="159" w:lineRule="exact"/>
              <w:rPr>
                <w:sz w:val="20"/>
                <w:szCs w:val="20"/>
                <w:color w:val="auto"/>
              </w:rPr>
            </w:pPr>
            <w:r>
              <w:rPr>
                <w:rFonts w:ascii="Arial" w:cs="Arial" w:eastAsia="Arial" w:hAnsi="Arial"/>
                <w:sz w:val="15"/>
                <w:szCs w:val="15"/>
                <w:color w:val="auto"/>
              </w:rPr>
              <w:t>Equity-based</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2,932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2,932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2,932</w:t>
            </w:r>
          </w:p>
        </w:tc>
        <w:tc>
          <w:tcPr>
            <w:tcW w:w="0" w:type="dxa"/>
            <w:vAlign w:val="bottom"/>
          </w:tcPr>
          <w:p>
            <w:pPr>
              <w:spacing w:after="0"/>
              <w:rPr>
                <w:sz w:val="1"/>
                <w:szCs w:val="1"/>
                <w:color w:val="auto"/>
              </w:rPr>
            </w:pPr>
          </w:p>
        </w:tc>
      </w:tr>
      <w:tr>
        <w:trPr>
          <w:trHeight w:val="198"/>
        </w:trPr>
        <w:tc>
          <w:tcPr>
            <w:tcW w:w="940" w:type="dxa"/>
            <w:vAlign w:val="bottom"/>
          </w:tcPr>
          <w:p>
            <w:pPr>
              <w:ind w:left="20"/>
              <w:spacing w:after="0"/>
              <w:rPr>
                <w:sz w:val="20"/>
                <w:szCs w:val="20"/>
                <w:color w:val="auto"/>
              </w:rPr>
            </w:pPr>
            <w:r>
              <w:rPr>
                <w:rFonts w:ascii="Arial" w:cs="Arial" w:eastAsia="Arial" w:hAnsi="Arial"/>
                <w:sz w:val="15"/>
                <w:szCs w:val="15"/>
                <w:color w:val="auto"/>
                <w:w w:val="96"/>
              </w:rPr>
              <w:t>compensation</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Vesting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restricted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522,442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units</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40" w:type="dxa"/>
            <w:vAlign w:val="bottom"/>
          </w:tcPr>
          <w:p>
            <w:pPr>
              <w:ind w:left="20"/>
              <w:spacing w:after="0" w:line="159" w:lineRule="exact"/>
              <w:rPr>
                <w:sz w:val="20"/>
                <w:szCs w:val="20"/>
                <w:color w:val="auto"/>
              </w:rPr>
            </w:pPr>
            <w:r>
              <w:rPr>
                <w:rFonts w:ascii="Arial" w:cs="Arial" w:eastAsia="Arial" w:hAnsi="Arial"/>
                <w:sz w:val="15"/>
                <w:szCs w:val="15"/>
                <w:color w:val="auto"/>
              </w:rPr>
              <w:t>Restricted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180"/>
              <w:spacing w:after="0" w:line="154" w:lineRule="exact"/>
              <w:rPr>
                <w:sz w:val="20"/>
                <w:szCs w:val="20"/>
                <w:color w:val="auto"/>
              </w:rPr>
            </w:pPr>
            <w:r>
              <w:rPr>
                <w:rFonts w:ascii="Arial" w:cs="Arial" w:eastAsia="Arial" w:hAnsi="Arial"/>
                <w:sz w:val="15"/>
                <w:szCs w:val="15"/>
                <w:color w:val="auto"/>
              </w:rPr>
              <w:t>stock units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180"/>
              <w:spacing w:after="0" w:line="154" w:lineRule="exact"/>
              <w:rPr>
                <w:sz w:val="20"/>
                <w:szCs w:val="20"/>
                <w:color w:val="auto"/>
              </w:rPr>
            </w:pPr>
            <w:r>
              <w:rPr>
                <w:rFonts w:ascii="Arial" w:cs="Arial" w:eastAsia="Arial" w:hAnsi="Arial"/>
                <w:sz w:val="15"/>
                <w:szCs w:val="15"/>
                <w:color w:val="auto"/>
              </w:rPr>
              <w:t>withheld to</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(415)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(415)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(415)</w:t>
            </w:r>
          </w:p>
        </w:tc>
        <w:tc>
          <w:tcPr>
            <w:tcW w:w="0" w:type="dxa"/>
            <w:vAlign w:val="bottom"/>
          </w:tcPr>
          <w:p>
            <w:pPr>
              <w:spacing w:after="0"/>
              <w:rPr>
                <w:sz w:val="1"/>
                <w:szCs w:val="1"/>
                <w:color w:val="auto"/>
              </w:rPr>
            </w:pPr>
          </w:p>
        </w:tc>
      </w:tr>
      <w:tr>
        <w:trPr>
          <w:trHeight w:val="198"/>
        </w:trPr>
        <w:tc>
          <w:tcPr>
            <w:tcW w:w="940" w:type="dxa"/>
            <w:vAlign w:val="bottom"/>
          </w:tcPr>
          <w:p>
            <w:pPr>
              <w:ind w:left="180"/>
              <w:spacing w:after="0"/>
              <w:rPr>
                <w:sz w:val="20"/>
                <w:szCs w:val="20"/>
                <w:color w:val="auto"/>
              </w:rPr>
            </w:pPr>
            <w:r>
              <w:rPr>
                <w:rFonts w:ascii="Arial" w:cs="Arial" w:eastAsia="Arial" w:hAnsi="Arial"/>
                <w:sz w:val="15"/>
                <w:szCs w:val="15"/>
                <w:color w:val="auto"/>
              </w:rPr>
              <w:t>pay taxes</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Cash</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dividends</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declared</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($0.01 per</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0" w:type="dxa"/>
            <w:vAlign w:val="bottom"/>
          </w:tcPr>
          <w:p>
            <w:pPr>
              <w:spacing w:after="0"/>
              <w:rPr>
                <w:sz w:val="1"/>
                <w:szCs w:val="1"/>
                <w:color w:val="auto"/>
              </w:rPr>
            </w:pPr>
          </w:p>
        </w:tc>
      </w:tr>
      <w:tr>
        <w:trPr>
          <w:trHeight w:val="200"/>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w:t>
            </w:r>
          </w:p>
        </w:tc>
        <w:tc>
          <w:tcPr>
            <w:tcW w:w="8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(3,649)</w:t>
            </w: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Issuance per</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w w:val="98"/>
              </w:rPr>
              <w:t>redemption</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of Class B</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shares for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00"/>
        </w:trPr>
        <w:tc>
          <w:tcPr>
            <w:tcW w:w="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Class A</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40" w:type="dxa"/>
            <w:vAlign w:val="bottom"/>
          </w:tcPr>
          <w:p>
            <w:pPr>
              <w:ind w:left="20"/>
              <w:spacing w:after="0" w:line="159" w:lineRule="exact"/>
              <w:rPr>
                <w:sz w:val="20"/>
                <w:szCs w:val="20"/>
                <w:color w:val="auto"/>
              </w:rPr>
            </w:pPr>
            <w:r>
              <w:rPr>
                <w:rFonts w:ascii="Arial" w:cs="Arial" w:eastAsia="Arial" w:hAnsi="Arial"/>
                <w:sz w:val="15"/>
                <w:szCs w:val="15"/>
                <w:color w:val="auto"/>
              </w:rPr>
              <w:t>Foreign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180"/>
              <w:spacing w:after="0" w:line="154" w:lineRule="exact"/>
              <w:rPr>
                <w:sz w:val="20"/>
                <w:szCs w:val="20"/>
                <w:color w:val="auto"/>
              </w:rPr>
            </w:pPr>
            <w:r>
              <w:rPr>
                <w:rFonts w:ascii="Arial" w:cs="Arial" w:eastAsia="Arial" w:hAnsi="Arial"/>
                <w:sz w:val="15"/>
                <w:szCs w:val="15"/>
                <w:color w:val="auto"/>
              </w:rPr>
              <w:t>currency</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180"/>
              <w:spacing w:after="0" w:line="154" w:lineRule="exact"/>
              <w:rPr>
                <w:sz w:val="20"/>
                <w:szCs w:val="20"/>
                <w:color w:val="auto"/>
              </w:rPr>
            </w:pPr>
            <w:r>
              <w:rPr>
                <w:rFonts w:ascii="Arial" w:cs="Arial" w:eastAsia="Arial" w:hAnsi="Arial"/>
                <w:sz w:val="15"/>
                <w:szCs w:val="15"/>
                <w:color w:val="auto"/>
              </w:rPr>
              <w:t>translation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98"/>
        </w:trPr>
        <w:tc>
          <w:tcPr>
            <w:tcW w:w="940" w:type="dxa"/>
            <w:vAlign w:val="bottom"/>
          </w:tcPr>
          <w:p>
            <w:pPr>
              <w:ind w:left="180"/>
              <w:spacing w:after="0"/>
              <w:rPr>
                <w:sz w:val="20"/>
                <w:szCs w:val="20"/>
                <w:color w:val="auto"/>
              </w:rPr>
            </w:pPr>
            <w:r>
              <w:rPr>
                <w:rFonts w:ascii="Arial" w:cs="Arial" w:eastAsia="Arial" w:hAnsi="Arial"/>
                <w:sz w:val="15"/>
                <w:szCs w:val="15"/>
                <w:color w:val="auto"/>
                <w:w w:val="91"/>
              </w:rPr>
              <w:t>adjustments</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12,044</w:t>
            </w:r>
          </w:p>
        </w:tc>
        <w:tc>
          <w:tcPr>
            <w:tcW w:w="0" w:type="dxa"/>
            <w:vAlign w:val="bottom"/>
          </w:tcPr>
          <w:p>
            <w:pPr>
              <w:spacing w:after="0"/>
              <w:rPr>
                <w:sz w:val="1"/>
                <w:szCs w:val="1"/>
                <w:color w:val="auto"/>
              </w:rPr>
            </w:pPr>
          </w:p>
        </w:tc>
      </w:tr>
      <w:tr>
        <w:trPr>
          <w:trHeight w:val="134"/>
        </w:trPr>
        <w:tc>
          <w:tcPr>
            <w:tcW w:w="94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Balance at</w:t>
            </w: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September</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w w:val="90"/>
              </w:rPr>
              <w:t>34,096,437</w:t>
            </w:r>
          </w:p>
        </w:tc>
        <w:tc>
          <w:tcPr>
            <w:tcW w:w="80" w:type="dxa"/>
            <w:vAlign w:val="bottom"/>
          </w:tcPr>
          <w:p>
            <w:pPr>
              <w:spacing w:after="0"/>
              <w:rPr>
                <w:sz w:val="13"/>
                <w:szCs w:val="13"/>
                <w:color w:val="auto"/>
              </w:rPr>
            </w:pPr>
          </w:p>
        </w:tc>
        <w:tc>
          <w:tcPr>
            <w:tcW w:w="2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w w:val="91"/>
              </w:rPr>
              <w:t>288,342,303</w:t>
            </w:r>
          </w:p>
        </w:tc>
        <w:tc>
          <w:tcPr>
            <w:tcW w:w="8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3"/>
                <w:szCs w:val="13"/>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w w:val="99"/>
              </w:rPr>
              <w:t>113,139</w:t>
            </w:r>
          </w:p>
        </w:tc>
        <w:tc>
          <w:tcPr>
            <w:tcW w:w="8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(126,482)</w:t>
            </w:r>
          </w:p>
        </w:tc>
        <w:tc>
          <w:tcPr>
            <w:tcW w:w="6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ind w:right="3"/>
              <w:spacing w:after="0"/>
              <w:rPr>
                <w:sz w:val="20"/>
                <w:szCs w:val="20"/>
                <w:color w:val="auto"/>
              </w:rPr>
            </w:pPr>
            <w:r>
              <w:rPr>
                <w:rFonts w:ascii="Arial" w:cs="Arial" w:eastAsia="Arial" w:hAnsi="Arial"/>
                <w:sz w:val="15"/>
                <w:szCs w:val="15"/>
                <w:color w:val="auto"/>
              </w:rPr>
              <w:t>55</w:t>
            </w:r>
          </w:p>
        </w:tc>
        <w:tc>
          <w:tcPr>
            <w:tcW w:w="6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(13,256)</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(233,344)</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(246,600)</w:t>
            </w: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30, 2023</w:t>
            </w: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20"/>
          </w:cols>
          <w:pgMar w:left="320" w:top="123" w:right="259" w:bottom="1440" w:gutter="0" w:footer="0" w:header="0"/>
        </w:sectPr>
      </w:pPr>
    </w:p>
    <w:bookmarkStart w:id="11" w:name="page12"/>
    <w:bookmarkEnd w:id="11"/>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Condensed Consolidated Statement of Stockholders’ Deficit (Unaudited)</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Total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80"/>
              <w:spacing w:after="0" w:line="154" w:lineRule="exact"/>
              <w:rPr>
                <w:sz w:val="20"/>
                <w:szCs w:val="20"/>
                <w:color w:val="auto"/>
              </w:rPr>
            </w:pPr>
            <w:r>
              <w:rPr>
                <w:rFonts w:ascii="Arial" w:cs="Arial" w:eastAsia="Arial" w:hAnsi="Arial"/>
                <w:sz w:val="15"/>
                <w:szCs w:val="15"/>
                <w:b w:val="1"/>
                <w:bCs w:val="1"/>
                <w:color w:val="auto"/>
                <w:w w:val="90"/>
              </w:rPr>
              <w:t>Stockholders’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3"/>
              </w:rPr>
              <w:t>Accumulated</w:t>
            </w:r>
          </w:p>
        </w:tc>
        <w:tc>
          <w:tcPr>
            <w:tcW w:w="180" w:type="dxa"/>
            <w:vAlign w:val="bottom"/>
          </w:tcPr>
          <w:p>
            <w:pPr>
              <w:spacing w:after="0"/>
              <w:rPr>
                <w:sz w:val="13"/>
                <w:szCs w:val="13"/>
                <w:color w:val="auto"/>
              </w:rPr>
            </w:pPr>
          </w:p>
        </w:tc>
        <w:tc>
          <w:tcPr>
            <w:tcW w:w="84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95"/>
              </w:rPr>
              <w:t>Deficit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3120" w:type="dxa"/>
            <w:vAlign w:val="bottom"/>
            <w:gridSpan w:val="10"/>
            <w:vMerge w:val="restart"/>
          </w:tcPr>
          <w:p>
            <w:pPr>
              <w:ind w:left="180"/>
              <w:spacing w:after="0"/>
              <w:rPr>
                <w:sz w:val="20"/>
                <w:szCs w:val="20"/>
                <w:color w:val="auto"/>
              </w:rPr>
            </w:pPr>
            <w:r>
              <w:rPr>
                <w:rFonts w:ascii="Arial" w:cs="Arial" w:eastAsia="Arial" w:hAnsi="Arial"/>
                <w:sz w:val="15"/>
                <w:szCs w:val="15"/>
                <w:b w:val="1"/>
                <w:bCs w:val="1"/>
                <w:color w:val="auto"/>
                <w:w w:val="98"/>
              </w:rPr>
              <w:t>Common Stock -   Common Stock - Class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20" w:type="dxa"/>
            <w:vAlign w:val="bottom"/>
            <w:gridSpan w:val="3"/>
          </w:tcPr>
          <w:p>
            <w:pPr>
              <w:jc w:val="center"/>
              <w:ind w:right="80"/>
              <w:spacing w:after="0" w:line="154" w:lineRule="exact"/>
              <w:rPr>
                <w:sz w:val="20"/>
                <w:szCs w:val="20"/>
                <w:color w:val="auto"/>
              </w:rPr>
            </w:pPr>
            <w:r>
              <w:rPr>
                <w:rFonts w:ascii="Arial" w:cs="Arial" w:eastAsia="Arial" w:hAnsi="Arial"/>
                <w:sz w:val="15"/>
                <w:szCs w:val="15"/>
                <w:b w:val="1"/>
                <w:bCs w:val="1"/>
                <w:color w:val="auto"/>
                <w:w w:val="97"/>
              </w:rPr>
              <w:t>Attributable</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3120" w:type="dxa"/>
            <w:vAlign w:val="bottom"/>
            <w:gridSpan w:val="10"/>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40"/>
              <w:spacing w:after="0" w:line="154" w:lineRule="exact"/>
              <w:rPr>
                <w:sz w:val="20"/>
                <w:szCs w:val="20"/>
                <w:color w:val="auto"/>
              </w:rPr>
            </w:pPr>
            <w:r>
              <w:rPr>
                <w:rFonts w:ascii="Arial" w:cs="Arial" w:eastAsia="Arial" w:hAnsi="Arial"/>
                <w:sz w:val="15"/>
                <w:szCs w:val="15"/>
                <w:b w:val="1"/>
                <w:bCs w:val="1"/>
                <w:color w:val="auto"/>
              </w:rPr>
              <w:t>Additional</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restart"/>
          </w:tcPr>
          <w:p>
            <w:pPr>
              <w:jc w:val="center"/>
              <w:ind w:right="280"/>
              <w:spacing w:after="0" w:line="154" w:lineRule="exact"/>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7"/>
                <w:szCs w:val="7"/>
                <w:color w:val="auto"/>
              </w:rPr>
            </w:pPr>
          </w:p>
        </w:tc>
        <w:tc>
          <w:tcPr>
            <w:tcW w:w="840" w:type="dxa"/>
            <w:vAlign w:val="bottom"/>
            <w:gridSpan w:val="2"/>
            <w:vMerge w:val="restart"/>
          </w:tcPr>
          <w:p>
            <w:pPr>
              <w:jc w:val="center"/>
              <w:ind w:right="240"/>
              <w:spacing w:after="0" w:line="154" w:lineRule="exact"/>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restart"/>
          </w:tcPr>
          <w:p>
            <w:pPr>
              <w:jc w:val="right"/>
              <w:ind w:right="243"/>
              <w:spacing w:after="0" w:line="154"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5"/>
                <w:szCs w:val="15"/>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720"/>
              <w:spacing w:after="0"/>
              <w:rPr>
                <w:sz w:val="20"/>
                <w:szCs w:val="20"/>
                <w:color w:val="auto"/>
              </w:rPr>
            </w:pPr>
            <w:r>
              <w:rPr>
                <w:rFonts w:ascii="Arial" w:cs="Arial" w:eastAsia="Arial" w:hAnsi="Arial"/>
                <w:sz w:val="15"/>
                <w:szCs w:val="15"/>
                <w:b w:val="1"/>
                <w:bCs w:val="1"/>
                <w:color w:val="auto"/>
              </w:rPr>
              <w:t>B</w:t>
            </w: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restart"/>
          </w:tcPr>
          <w:p>
            <w:pPr>
              <w:jc w:val="right"/>
              <w:ind w:right="3"/>
              <w:spacing w:after="0"/>
              <w:rPr>
                <w:sz w:val="20"/>
                <w:szCs w:val="20"/>
                <w:color w:val="auto"/>
              </w:rPr>
            </w:pPr>
            <w:r>
              <w:rPr>
                <w:rFonts w:ascii="Arial" w:cs="Arial" w:eastAsia="Arial" w:hAnsi="Arial"/>
                <w:sz w:val="15"/>
                <w:szCs w:val="15"/>
                <w:b w:val="1"/>
                <w:bCs w:val="1"/>
                <w:color w:val="auto"/>
                <w:w w:val="96"/>
              </w:rPr>
              <w:t>Preferred Stock</w:t>
            </w:r>
          </w:p>
        </w:tc>
        <w:tc>
          <w:tcPr>
            <w:tcW w:w="6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rPr>
              <w:t>paid-in</w:t>
            </w:r>
          </w:p>
        </w:tc>
        <w:tc>
          <w:tcPr>
            <w:tcW w:w="100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rPr>
              <w:t>Accumulated</w:t>
            </w:r>
          </w:p>
        </w:tc>
        <w:tc>
          <w:tcPr>
            <w:tcW w:w="112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w w:val="95"/>
              </w:rPr>
              <w:t>Comprehensive</w:t>
            </w:r>
          </w:p>
        </w:tc>
        <w:tc>
          <w:tcPr>
            <w:tcW w:w="1020" w:type="dxa"/>
            <w:vAlign w:val="bottom"/>
            <w:gridSpan w:val="3"/>
          </w:tcPr>
          <w:p>
            <w:pPr>
              <w:jc w:val="center"/>
              <w:ind w:right="80"/>
              <w:spacing w:after="0" w:line="133" w:lineRule="exact"/>
              <w:rPr>
                <w:sz w:val="20"/>
                <w:szCs w:val="20"/>
                <w:color w:val="auto"/>
              </w:rPr>
            </w:pPr>
            <w:r>
              <w:rPr>
                <w:rFonts w:ascii="Arial" w:cs="Arial" w:eastAsia="Arial" w:hAnsi="Arial"/>
                <w:sz w:val="15"/>
                <w:szCs w:val="15"/>
                <w:b w:val="1"/>
                <w:bCs w:val="1"/>
                <w:color w:val="auto"/>
                <w:w w:val="98"/>
              </w:rPr>
              <w:t>MarketWise,</w:t>
            </w:r>
          </w:p>
        </w:tc>
        <w:tc>
          <w:tcPr>
            <w:tcW w:w="110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w w:val="99"/>
              </w:rPr>
              <w:t>Noncontrolling</w:t>
            </w:r>
          </w:p>
        </w:tc>
        <w:tc>
          <w:tcPr>
            <w:tcW w:w="96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5"/>
                <w:szCs w:val="15"/>
                <w:b w:val="1"/>
                <w:bCs w:val="1"/>
                <w:color w:val="auto"/>
              </w:rPr>
              <w:t>Amount</w:t>
            </w:r>
          </w:p>
        </w:tc>
        <w:tc>
          <w:tcPr>
            <w:tcW w:w="58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660" w:type="dxa"/>
            <w:vAlign w:val="bottom"/>
            <w:gridSpan w:val="3"/>
          </w:tcPr>
          <w:p>
            <w:pPr>
              <w:ind w:left="2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5"/>
                <w:szCs w:val="15"/>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5"/>
                <w:szCs w:val="15"/>
                <w:b w:val="1"/>
                <w:bCs w:val="1"/>
                <w:color w:val="auto"/>
              </w:rPr>
              <w:t>deficit</w:t>
            </w:r>
          </w:p>
        </w:tc>
        <w:tc>
          <w:tcPr>
            <w:tcW w:w="112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w w:val="94"/>
              </w:rPr>
              <w:t>Income (Loss)</w:t>
            </w:r>
          </w:p>
        </w:tc>
        <w:tc>
          <w:tcPr>
            <w:tcW w:w="18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Inc.</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5"/>
                <w:szCs w:val="15"/>
                <w:b w:val="1"/>
                <w:bCs w:val="1"/>
                <w:color w:val="auto"/>
              </w:rPr>
              <w:t>Interest</w:t>
            </w:r>
          </w:p>
        </w:tc>
        <w:tc>
          <w:tcPr>
            <w:tcW w:w="180" w:type="dxa"/>
            <w:vAlign w:val="bottom"/>
          </w:tcPr>
          <w:p>
            <w:pPr>
              <w:spacing w:after="0"/>
              <w:rPr>
                <w:sz w:val="16"/>
                <w:szCs w:val="16"/>
                <w:color w:val="auto"/>
              </w:rPr>
            </w:pPr>
          </w:p>
        </w:tc>
        <w:tc>
          <w:tcPr>
            <w:tcW w:w="780" w:type="dxa"/>
            <w:vAlign w:val="bottom"/>
          </w:tcPr>
          <w:p>
            <w:pPr>
              <w:jc w:val="right"/>
              <w:ind w:right="183"/>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5"/>
                <w:szCs w:val="15"/>
                <w:b w:val="1"/>
                <w:bCs w:val="1"/>
                <w:color w:val="auto"/>
              </w:rPr>
              <w:t>Balance at</w:t>
            </w: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January 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3"/>
              </w:rPr>
              <w:t>24,718,402</w:t>
            </w:r>
          </w:p>
        </w:tc>
        <w:tc>
          <w:tcPr>
            <w:tcW w:w="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3"/>
              </w:rPr>
              <w:t>291,092,303</w:t>
            </w:r>
          </w:p>
        </w:tc>
        <w:tc>
          <w:tcPr>
            <w:tcW w:w="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29</w:t>
            </w:r>
          </w:p>
        </w:tc>
        <w:tc>
          <w:tcPr>
            <w:tcW w:w="6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97,548</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(146,115)</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(48,545)</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(356,717)</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(405,262)</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2022</w:t>
            </w: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Equity-based</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7,190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7,190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7,190</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5"/>
                <w:szCs w:val="15"/>
                <w:color w:val="auto"/>
                <w:w w:val="98"/>
              </w:rPr>
              <w:t>compensation</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w w:val="94"/>
              </w:rPr>
              <w:t>Proceeds from</w:t>
            </w: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issuance of</w:t>
            </w: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161,178</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517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common stock</w:t>
            </w: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Issuance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w w:val="95"/>
              </w:rPr>
              <w:t>common stock</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rPr>
              <w:t>- warrant</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5,939,739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14,400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14,401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14,401</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5"/>
                <w:szCs w:val="15"/>
                <w:color w:val="auto"/>
              </w:rPr>
              <w:t>exchanges</w:t>
            </w: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Repurchases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3"/>
              </w:rPr>
              <w:t>(2,484,717)</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(13,054)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(13,054)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(13,054)</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 stock</w:t>
            </w: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Vesting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rPr>
              <w:t>restricted</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487,900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5"/>
                <w:szCs w:val="15"/>
                <w:color w:val="auto"/>
              </w:rPr>
              <w:t>stock units</w:t>
            </w: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Restricted</w:t>
            </w: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stock units</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withheld to</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taxes</w:t>
            </w:r>
          </w:p>
        </w:tc>
        <w:tc>
          <w:tcPr>
            <w:tcW w:w="8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Acquisition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w w:val="98"/>
              </w:rPr>
              <w:t>noncontrolling</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color w:val="auto"/>
              </w:rPr>
              <w:t>interest -</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(1,257)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(1,257)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960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5"/>
                <w:szCs w:val="15"/>
                <w:color w:val="auto"/>
              </w:rPr>
              <w:t>Chaikin</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(4,476)</w:t>
            </w: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Arial" w:cs="Arial" w:eastAsia="Arial" w:hAnsi="Arial"/>
                <w:sz w:val="15"/>
                <w:szCs w:val="15"/>
                <w:color w:val="auto"/>
              </w:rPr>
              <w:t>Foreign</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80"/>
              <w:spacing w:after="0" w:line="154" w:lineRule="exact"/>
              <w:rPr>
                <w:sz w:val="20"/>
                <w:szCs w:val="20"/>
                <w:color w:val="auto"/>
              </w:rPr>
            </w:pPr>
            <w:r>
              <w:rPr>
                <w:rFonts w:ascii="Arial" w:cs="Arial" w:eastAsia="Arial" w:hAnsi="Arial"/>
                <w:sz w:val="15"/>
                <w:szCs w:val="15"/>
                <w:color w:val="auto"/>
              </w:rPr>
              <w:t>currency</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80"/>
              <w:spacing w:after="0" w:line="154" w:lineRule="exact"/>
              <w:rPr>
                <w:sz w:val="20"/>
                <w:szCs w:val="20"/>
                <w:color w:val="auto"/>
              </w:rPr>
            </w:pPr>
            <w:r>
              <w:rPr>
                <w:rFonts w:ascii="Arial" w:cs="Arial" w:eastAsia="Arial" w:hAnsi="Arial"/>
                <w:sz w:val="15"/>
                <w:szCs w:val="15"/>
                <w:color w:val="auto"/>
              </w:rPr>
              <w:t>translation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8"/>
        </w:trPr>
        <w:tc>
          <w:tcPr>
            <w:tcW w:w="960" w:type="dxa"/>
            <w:vAlign w:val="bottom"/>
          </w:tcPr>
          <w:p>
            <w:pPr>
              <w:ind w:left="180"/>
              <w:spacing w:after="0"/>
              <w:rPr>
                <w:sz w:val="20"/>
                <w:szCs w:val="20"/>
                <w:color w:val="auto"/>
              </w:rPr>
            </w:pPr>
            <w:r>
              <w:rPr>
                <w:rFonts w:ascii="Arial" w:cs="Arial" w:eastAsia="Arial" w:hAnsi="Arial"/>
                <w:sz w:val="15"/>
                <w:szCs w:val="15"/>
                <w:color w:val="auto"/>
                <w:w w:val="93"/>
              </w:rPr>
              <w:t>adjustments</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59,875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73,569</w:t>
            </w: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Balance at</w:t>
            </w: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September</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w w:val="93"/>
              </w:rPr>
              <w:t>28,822,502</w:t>
            </w:r>
          </w:p>
        </w:tc>
        <w:tc>
          <w:tcPr>
            <w:tcW w:w="60" w:type="dxa"/>
            <w:vAlign w:val="bottom"/>
          </w:tcPr>
          <w:p>
            <w:pPr>
              <w:spacing w:after="0"/>
              <w:rPr>
                <w:sz w:val="13"/>
                <w:szCs w:val="13"/>
                <w:color w:val="auto"/>
              </w:rPr>
            </w:pPr>
          </w:p>
        </w:tc>
        <w:tc>
          <w:tcPr>
            <w:tcW w:w="2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w w:val="93"/>
              </w:rPr>
              <w:t>291,092,303</w:t>
            </w:r>
          </w:p>
        </w:tc>
        <w:tc>
          <w:tcPr>
            <w:tcW w:w="6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ind w:right="3"/>
              <w:spacing w:after="0"/>
              <w:rPr>
                <w:sz w:val="20"/>
                <w:szCs w:val="20"/>
                <w:color w:val="auto"/>
              </w:rPr>
            </w:pPr>
            <w:r>
              <w:rPr>
                <w:rFonts w:ascii="Arial" w:cs="Arial" w:eastAsia="Arial" w:hAnsi="Arial"/>
                <w:sz w:val="15"/>
                <w:szCs w:val="15"/>
                <w:color w:val="auto"/>
              </w:rPr>
              <w:t>29</w:t>
            </w:r>
          </w:p>
        </w:tc>
        <w:tc>
          <w:tcPr>
            <w:tcW w:w="60" w:type="dxa"/>
            <w:vAlign w:val="bottom"/>
          </w:tcPr>
          <w:p>
            <w:pPr>
              <w:spacing w:after="0"/>
              <w:rPr>
                <w:sz w:val="13"/>
                <w:szCs w:val="13"/>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w w:val="99"/>
              </w:rPr>
              <w:t>104,833</w:t>
            </w:r>
          </w:p>
        </w:tc>
        <w:tc>
          <w:tcPr>
            <w:tcW w:w="6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(132,421)</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(27,665)</w:t>
            </w:r>
          </w:p>
        </w:tc>
        <w:tc>
          <w:tcPr>
            <w:tcW w:w="8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(300,358)</w:t>
            </w:r>
          </w:p>
        </w:tc>
        <w:tc>
          <w:tcPr>
            <w:tcW w:w="6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(328,023)</w:t>
            </w:r>
          </w:p>
        </w:tc>
        <w:tc>
          <w:tcPr>
            <w:tcW w:w="0" w:type="dxa"/>
            <w:vAlign w:val="bottom"/>
          </w:tcPr>
          <w:p>
            <w:pPr>
              <w:spacing w:after="0"/>
              <w:rPr>
                <w:sz w:val="1"/>
                <w:szCs w:val="1"/>
                <w:color w:val="auto"/>
              </w:rPr>
            </w:pPr>
          </w:p>
        </w:tc>
      </w:tr>
      <w:tr>
        <w:trPr>
          <w:trHeight w:val="179"/>
        </w:trPr>
        <w:tc>
          <w:tcPr>
            <w:tcW w:w="960" w:type="dxa"/>
            <w:vAlign w:val="bottom"/>
          </w:tcPr>
          <w:p>
            <w:pPr>
              <w:ind w:left="20"/>
              <w:spacing w:after="0"/>
              <w:rPr>
                <w:sz w:val="20"/>
                <w:szCs w:val="20"/>
                <w:color w:val="auto"/>
              </w:rPr>
            </w:pPr>
            <w:r>
              <w:rPr>
                <w:rFonts w:ascii="Arial" w:cs="Arial" w:eastAsia="Arial" w:hAnsi="Arial"/>
                <w:sz w:val="15"/>
                <w:szCs w:val="15"/>
                <w:b w:val="1"/>
                <w:bCs w:val="1"/>
                <w:color w:val="auto"/>
              </w:rPr>
              <w:t>30, 2022</w:t>
            </w: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2" w:name="page13"/>
    <w:bookmarkEnd w:id="12"/>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Condensed Consolidated Statement of Stockholders’ Deficit (Unaudited)</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center"/>
              <w:ind w:right="60"/>
              <w:spacing w:after="0" w:line="154" w:lineRule="exact"/>
              <w:rPr>
                <w:sz w:val="20"/>
                <w:szCs w:val="20"/>
                <w:color w:val="auto"/>
              </w:rPr>
            </w:pPr>
            <w:r>
              <w:rPr>
                <w:rFonts w:ascii="Arial" w:cs="Arial" w:eastAsia="Arial" w:hAnsi="Arial"/>
                <w:sz w:val="15"/>
                <w:szCs w:val="15"/>
                <w:b w:val="1"/>
                <w:bCs w:val="1"/>
                <w:color w:val="auto"/>
                <w:w w:val="90"/>
              </w:rPr>
              <w:t>Stockholders’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5"/>
                <w:szCs w:val="15"/>
                <w:b w:val="1"/>
                <w:bCs w:val="1"/>
                <w:color w:val="auto"/>
                <w:w w:val="93"/>
              </w:rPr>
              <w:t>Accumulated</w:t>
            </w:r>
          </w:p>
        </w:tc>
        <w:tc>
          <w:tcPr>
            <w:tcW w:w="180" w:type="dxa"/>
            <w:vAlign w:val="bottom"/>
          </w:tcPr>
          <w:p>
            <w:pPr>
              <w:spacing w:after="0"/>
              <w:rPr>
                <w:sz w:val="13"/>
                <w:szCs w:val="13"/>
                <w:color w:val="auto"/>
              </w:rPr>
            </w:pPr>
          </w:p>
        </w:tc>
        <w:tc>
          <w:tcPr>
            <w:tcW w:w="860" w:type="dxa"/>
            <w:vAlign w:val="bottom"/>
            <w:gridSpan w:val="2"/>
          </w:tcPr>
          <w:p>
            <w:pPr>
              <w:jc w:val="center"/>
              <w:ind w:right="260"/>
              <w:spacing w:after="0" w:line="154" w:lineRule="exact"/>
              <w:rPr>
                <w:sz w:val="20"/>
                <w:szCs w:val="20"/>
                <w:color w:val="auto"/>
              </w:rPr>
            </w:pPr>
            <w:r>
              <w:rPr>
                <w:rFonts w:ascii="Arial" w:cs="Arial" w:eastAsia="Arial" w:hAnsi="Arial"/>
                <w:sz w:val="15"/>
                <w:szCs w:val="15"/>
                <w:b w:val="1"/>
                <w:bCs w:val="1"/>
                <w:color w:val="auto"/>
                <w:w w:val="95"/>
              </w:rPr>
              <w:t>Deficit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3120" w:type="dxa"/>
            <w:vAlign w:val="bottom"/>
            <w:gridSpan w:val="10"/>
            <w:vMerge w:val="restart"/>
          </w:tcPr>
          <w:p>
            <w:pPr>
              <w:ind w:left="180"/>
              <w:spacing w:after="0"/>
              <w:rPr>
                <w:sz w:val="20"/>
                <w:szCs w:val="20"/>
                <w:color w:val="auto"/>
              </w:rPr>
            </w:pPr>
            <w:r>
              <w:rPr>
                <w:rFonts w:ascii="Arial" w:cs="Arial" w:eastAsia="Arial" w:hAnsi="Arial"/>
                <w:sz w:val="15"/>
                <w:szCs w:val="15"/>
                <w:b w:val="1"/>
                <w:bCs w:val="1"/>
                <w:color w:val="auto"/>
                <w:w w:val="98"/>
              </w:rPr>
              <w:t>Common Stock -   Common Stock - Class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40" w:type="dxa"/>
            <w:vAlign w:val="bottom"/>
            <w:gridSpan w:val="3"/>
          </w:tcPr>
          <w:p>
            <w:pPr>
              <w:jc w:val="center"/>
              <w:ind w:right="60"/>
              <w:spacing w:after="0" w:line="154" w:lineRule="exact"/>
              <w:rPr>
                <w:sz w:val="20"/>
                <w:szCs w:val="20"/>
                <w:color w:val="auto"/>
              </w:rPr>
            </w:pPr>
            <w:r>
              <w:rPr>
                <w:rFonts w:ascii="Arial" w:cs="Arial" w:eastAsia="Arial" w:hAnsi="Arial"/>
                <w:sz w:val="15"/>
                <w:szCs w:val="15"/>
                <w:b w:val="1"/>
                <w:bCs w:val="1"/>
                <w:color w:val="auto"/>
                <w:w w:val="97"/>
              </w:rPr>
              <w:t>Attributable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3120" w:type="dxa"/>
            <w:vAlign w:val="bottom"/>
            <w:gridSpan w:val="10"/>
            <w:vMerge w:val="continue"/>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ind w:left="20"/>
              <w:spacing w:after="0" w:line="154" w:lineRule="exact"/>
              <w:rPr>
                <w:sz w:val="20"/>
                <w:szCs w:val="20"/>
                <w:color w:val="auto"/>
              </w:rPr>
            </w:pPr>
            <w:r>
              <w:rPr>
                <w:rFonts w:ascii="Arial" w:cs="Arial" w:eastAsia="Arial" w:hAnsi="Arial"/>
                <w:sz w:val="15"/>
                <w:szCs w:val="15"/>
                <w:b w:val="1"/>
                <w:bCs w:val="1"/>
                <w:color w:val="auto"/>
              </w:rPr>
              <w:t>Additional</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center"/>
              <w:ind w:right="160"/>
              <w:spacing w:after="0" w:line="154" w:lineRule="exact"/>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7"/>
                <w:szCs w:val="7"/>
                <w:color w:val="auto"/>
              </w:rPr>
            </w:pPr>
          </w:p>
        </w:tc>
        <w:tc>
          <w:tcPr>
            <w:tcW w:w="860" w:type="dxa"/>
            <w:vAlign w:val="bottom"/>
            <w:gridSpan w:val="2"/>
            <w:vMerge w:val="restart"/>
          </w:tcPr>
          <w:p>
            <w:pPr>
              <w:jc w:val="center"/>
              <w:ind w:right="260"/>
              <w:spacing w:after="0" w:line="154"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restart"/>
          </w:tcPr>
          <w:p>
            <w:pPr>
              <w:jc w:val="right"/>
              <w:ind w:right="223"/>
              <w:spacing w:after="0" w:line="154"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64"/>
        </w:trPr>
        <w:tc>
          <w:tcPr>
            <w:tcW w:w="940" w:type="dxa"/>
            <w:vAlign w:val="bottom"/>
          </w:tcPr>
          <w:p>
            <w:pPr>
              <w:spacing w:after="0"/>
              <w:rPr>
                <w:sz w:val="5"/>
                <w:szCs w:val="5"/>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5"/>
                <w:szCs w:val="15"/>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B</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5"/>
                <w:szCs w:val="15"/>
                <w:b w:val="1"/>
                <w:bCs w:val="1"/>
                <w:color w:val="auto"/>
                <w:w w:val="96"/>
              </w:rPr>
              <w:t>Preferred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rPr>
              <w:t>paid-in</w:t>
            </w:r>
          </w:p>
        </w:tc>
        <w:tc>
          <w:tcPr>
            <w:tcW w:w="98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w w:val="99"/>
              </w:rPr>
              <w:t>Accumulated</w:t>
            </w:r>
          </w:p>
        </w:tc>
        <w:tc>
          <w:tcPr>
            <w:tcW w:w="1140" w:type="dxa"/>
            <w:vAlign w:val="bottom"/>
            <w:gridSpan w:val="3"/>
          </w:tcPr>
          <w:p>
            <w:pPr>
              <w:ind w:left="40"/>
              <w:spacing w:after="0" w:line="133" w:lineRule="exact"/>
              <w:rPr>
                <w:sz w:val="20"/>
                <w:szCs w:val="20"/>
                <w:color w:val="auto"/>
              </w:rPr>
            </w:pPr>
            <w:r>
              <w:rPr>
                <w:rFonts w:ascii="Arial" w:cs="Arial" w:eastAsia="Arial" w:hAnsi="Arial"/>
                <w:sz w:val="15"/>
                <w:szCs w:val="15"/>
                <w:b w:val="1"/>
                <w:bCs w:val="1"/>
                <w:color w:val="auto"/>
                <w:w w:val="95"/>
              </w:rPr>
              <w:t>Comprehensive</w:t>
            </w:r>
          </w:p>
        </w:tc>
        <w:tc>
          <w:tcPr>
            <w:tcW w:w="1040" w:type="dxa"/>
            <w:vAlign w:val="bottom"/>
            <w:gridSpan w:val="3"/>
          </w:tcPr>
          <w:p>
            <w:pPr>
              <w:jc w:val="center"/>
              <w:ind w:right="60"/>
              <w:spacing w:after="0" w:line="133" w:lineRule="exact"/>
              <w:rPr>
                <w:sz w:val="20"/>
                <w:szCs w:val="20"/>
                <w:color w:val="auto"/>
              </w:rPr>
            </w:pPr>
            <w:r>
              <w:rPr>
                <w:rFonts w:ascii="Arial" w:cs="Arial" w:eastAsia="Arial" w:hAnsi="Arial"/>
                <w:sz w:val="15"/>
                <w:szCs w:val="15"/>
                <w:b w:val="1"/>
                <w:bCs w:val="1"/>
                <w:color w:val="auto"/>
                <w:w w:val="98"/>
              </w:rPr>
              <w:t>MarketWise,</w:t>
            </w:r>
          </w:p>
        </w:tc>
        <w:tc>
          <w:tcPr>
            <w:tcW w:w="1100" w:type="dxa"/>
            <w:vAlign w:val="bottom"/>
            <w:gridSpan w:val="3"/>
          </w:tcPr>
          <w:p>
            <w:pPr>
              <w:ind w:left="20"/>
              <w:spacing w:after="0" w:line="133" w:lineRule="exact"/>
              <w:rPr>
                <w:sz w:val="20"/>
                <w:szCs w:val="20"/>
                <w:color w:val="auto"/>
              </w:rPr>
            </w:pPr>
            <w:r>
              <w:rPr>
                <w:rFonts w:ascii="Arial" w:cs="Arial" w:eastAsia="Arial" w:hAnsi="Arial"/>
                <w:sz w:val="15"/>
                <w:szCs w:val="15"/>
                <w:b w:val="1"/>
                <w:bCs w:val="1"/>
                <w:color w:val="auto"/>
                <w:w w:val="99"/>
              </w:rPr>
              <w:t>Noncontrolling</w:t>
            </w:r>
          </w:p>
        </w:tc>
        <w:tc>
          <w:tcPr>
            <w:tcW w:w="940" w:type="dxa"/>
            <w:vAlign w:val="bottom"/>
            <w:gridSpan w:val="2"/>
          </w:tcPr>
          <w:p>
            <w:pPr>
              <w:ind w:left="20"/>
              <w:spacing w:after="0" w:line="133"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5"/>
                <w:szCs w:val="15"/>
                <w:b w:val="1"/>
                <w:bCs w:val="1"/>
                <w:color w:val="auto"/>
              </w:rPr>
              <w:t>Amount</w:t>
            </w:r>
          </w:p>
        </w:tc>
        <w:tc>
          <w:tcPr>
            <w:tcW w:w="56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5"/>
                <w:szCs w:val="15"/>
                <w:b w:val="1"/>
                <w:bCs w:val="1"/>
                <w:color w:val="auto"/>
              </w:rPr>
              <w:t>capital</w:t>
            </w:r>
          </w:p>
        </w:tc>
        <w:tc>
          <w:tcPr>
            <w:tcW w:w="18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b w:val="1"/>
                <w:bCs w:val="1"/>
                <w:color w:val="auto"/>
              </w:rPr>
              <w:t>deficit</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w w:val="96"/>
              </w:rPr>
              <w:t>Income (Loss)</w:t>
            </w:r>
          </w:p>
        </w:tc>
        <w:tc>
          <w:tcPr>
            <w:tcW w:w="1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Inc.</w:t>
            </w:r>
          </w:p>
        </w:tc>
        <w:tc>
          <w:tcPr>
            <w:tcW w:w="16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5"/>
                <w:szCs w:val="15"/>
                <w:b w:val="1"/>
                <w:bCs w:val="1"/>
                <w:color w:val="auto"/>
              </w:rPr>
              <w:t>Interest</w:t>
            </w:r>
          </w:p>
        </w:tc>
        <w:tc>
          <w:tcPr>
            <w:tcW w:w="160" w:type="dxa"/>
            <w:vAlign w:val="bottom"/>
          </w:tcPr>
          <w:p>
            <w:pPr>
              <w:spacing w:after="0"/>
              <w:rPr>
                <w:sz w:val="16"/>
                <w:szCs w:val="16"/>
                <w:color w:val="auto"/>
              </w:rPr>
            </w:pPr>
          </w:p>
        </w:tc>
        <w:tc>
          <w:tcPr>
            <w:tcW w:w="780" w:type="dxa"/>
            <w:vAlign w:val="bottom"/>
          </w:tcPr>
          <w:p>
            <w:pPr>
              <w:jc w:val="right"/>
              <w:ind w:right="183"/>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37"/>
        </w:trPr>
        <w:tc>
          <w:tcPr>
            <w:tcW w:w="94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5"/>
                <w:szCs w:val="15"/>
                <w:b w:val="1"/>
                <w:bCs w:val="1"/>
                <w:color w:val="auto"/>
              </w:rPr>
              <w:t>Balance at</w:t>
            </w: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January 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0"/>
              </w:rPr>
              <w:t>29,039,655</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1"/>
              </w:rPr>
              <w:t>291,092,303</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106,852</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(128,125)</w:t>
            </w: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44</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(21,197)</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(277,186)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(298,383)</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2023</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40" w:type="dxa"/>
            <w:vAlign w:val="bottom"/>
          </w:tcPr>
          <w:p>
            <w:pPr>
              <w:ind w:left="20"/>
              <w:spacing w:after="0" w:line="159" w:lineRule="exact"/>
              <w:rPr>
                <w:sz w:val="20"/>
                <w:szCs w:val="20"/>
                <w:color w:val="auto"/>
              </w:rPr>
            </w:pPr>
            <w:r>
              <w:rPr>
                <w:rFonts w:ascii="Arial" w:cs="Arial" w:eastAsia="Arial" w:hAnsi="Arial"/>
                <w:sz w:val="15"/>
                <w:szCs w:val="15"/>
                <w:color w:val="auto"/>
              </w:rPr>
              <w:t>Equity-based</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10,313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10,313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10,313</w:t>
            </w:r>
          </w:p>
        </w:tc>
        <w:tc>
          <w:tcPr>
            <w:tcW w:w="0" w:type="dxa"/>
            <w:vAlign w:val="bottom"/>
          </w:tcPr>
          <w:p>
            <w:pPr>
              <w:spacing w:after="0"/>
              <w:rPr>
                <w:sz w:val="1"/>
                <w:szCs w:val="1"/>
                <w:color w:val="auto"/>
              </w:rPr>
            </w:pPr>
          </w:p>
        </w:tc>
      </w:tr>
      <w:tr>
        <w:trPr>
          <w:trHeight w:val="198"/>
        </w:trPr>
        <w:tc>
          <w:tcPr>
            <w:tcW w:w="940" w:type="dxa"/>
            <w:vAlign w:val="bottom"/>
          </w:tcPr>
          <w:p>
            <w:pPr>
              <w:ind w:left="20"/>
              <w:spacing w:after="0"/>
              <w:rPr>
                <w:sz w:val="20"/>
                <w:szCs w:val="20"/>
                <w:color w:val="auto"/>
              </w:rPr>
            </w:pPr>
            <w:r>
              <w:rPr>
                <w:rFonts w:ascii="Arial" w:cs="Arial" w:eastAsia="Arial" w:hAnsi="Arial"/>
                <w:sz w:val="15"/>
                <w:szCs w:val="15"/>
                <w:color w:val="auto"/>
                <w:w w:val="96"/>
              </w:rPr>
              <w:t>compensation</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w w:val="92"/>
              </w:rPr>
              <w:t>Proceeds from</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issuance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648,849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200"/>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common stock</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40" w:type="dxa"/>
            <w:vAlign w:val="bottom"/>
          </w:tcPr>
          <w:p>
            <w:pPr>
              <w:ind w:left="20"/>
              <w:spacing w:after="0" w:line="159" w:lineRule="exact"/>
              <w:rPr>
                <w:sz w:val="20"/>
                <w:szCs w:val="20"/>
                <w:color w:val="auto"/>
              </w:rPr>
            </w:pPr>
            <w:r>
              <w:rPr>
                <w:rFonts w:ascii="Arial" w:cs="Arial" w:eastAsia="Arial" w:hAnsi="Arial"/>
                <w:sz w:val="15"/>
                <w:szCs w:val="15"/>
                <w:color w:val="auto"/>
              </w:rPr>
              <w:t>Vesting of</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20"/>
              <w:spacing w:after="0" w:line="154" w:lineRule="exact"/>
              <w:rPr>
                <w:sz w:val="20"/>
                <w:szCs w:val="20"/>
                <w:color w:val="auto"/>
              </w:rPr>
            </w:pPr>
            <w:r>
              <w:rPr>
                <w:rFonts w:ascii="Arial" w:cs="Arial" w:eastAsia="Arial" w:hAnsi="Arial"/>
                <w:sz w:val="15"/>
                <w:szCs w:val="15"/>
                <w:color w:val="auto"/>
              </w:rPr>
              <w:t>restricted</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1,657,933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940" w:type="dxa"/>
            <w:vAlign w:val="bottom"/>
          </w:tcPr>
          <w:p>
            <w:pPr>
              <w:ind w:left="20"/>
              <w:spacing w:after="0"/>
              <w:rPr>
                <w:sz w:val="20"/>
                <w:szCs w:val="20"/>
                <w:color w:val="auto"/>
              </w:rPr>
            </w:pPr>
            <w:r>
              <w:rPr>
                <w:rFonts w:ascii="Arial" w:cs="Arial" w:eastAsia="Arial" w:hAnsi="Arial"/>
                <w:sz w:val="15"/>
                <w:szCs w:val="15"/>
                <w:color w:val="auto"/>
              </w:rPr>
              <w:t>stock units</w:t>
            </w: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Restricted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stock units</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withheld to</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(1,521)</w:t>
            </w:r>
          </w:p>
        </w:tc>
        <w:tc>
          <w:tcPr>
            <w:tcW w:w="0" w:type="dxa"/>
            <w:vAlign w:val="bottom"/>
          </w:tcPr>
          <w:p>
            <w:pPr>
              <w:spacing w:after="0"/>
              <w:rPr>
                <w:sz w:val="1"/>
                <w:szCs w:val="1"/>
                <w:color w:val="auto"/>
              </w:rPr>
            </w:pPr>
          </w:p>
        </w:tc>
      </w:tr>
      <w:tr>
        <w:trPr>
          <w:trHeight w:val="200"/>
        </w:trPr>
        <w:tc>
          <w:tcPr>
            <w:tcW w:w="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 taxes</w:t>
            </w:r>
          </w:p>
        </w:tc>
        <w:tc>
          <w:tcPr>
            <w:tcW w:w="8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940" w:type="dxa"/>
            <w:vAlign w:val="bottom"/>
          </w:tcPr>
          <w:p>
            <w:pPr>
              <w:ind w:left="20"/>
              <w:spacing w:after="0" w:line="159" w:lineRule="exact"/>
              <w:rPr>
                <w:sz w:val="20"/>
                <w:szCs w:val="20"/>
                <w:color w:val="auto"/>
              </w:rPr>
            </w:pPr>
            <w:r>
              <w:rPr>
                <w:rFonts w:ascii="Arial" w:cs="Arial" w:eastAsia="Arial" w:hAnsi="Arial"/>
                <w:sz w:val="15"/>
                <w:szCs w:val="15"/>
                <w:color w:val="auto"/>
              </w:rPr>
              <w:t>Cash</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20"/>
              <w:spacing w:after="0" w:line="154" w:lineRule="exact"/>
              <w:rPr>
                <w:sz w:val="20"/>
                <w:szCs w:val="20"/>
                <w:color w:val="auto"/>
              </w:rPr>
            </w:pPr>
            <w:r>
              <w:rPr>
                <w:rFonts w:ascii="Arial" w:cs="Arial" w:eastAsia="Arial" w:hAnsi="Arial"/>
                <w:sz w:val="15"/>
                <w:szCs w:val="15"/>
                <w:color w:val="auto"/>
              </w:rPr>
              <w:t>dividends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20"/>
              <w:spacing w:after="0" w:line="154" w:lineRule="exact"/>
              <w:rPr>
                <w:sz w:val="20"/>
                <w:szCs w:val="20"/>
                <w:color w:val="auto"/>
              </w:rPr>
            </w:pPr>
            <w:r>
              <w:rPr>
                <w:rFonts w:ascii="Arial" w:cs="Arial" w:eastAsia="Arial" w:hAnsi="Arial"/>
                <w:sz w:val="15"/>
                <w:szCs w:val="15"/>
                <w:color w:val="auto"/>
              </w:rPr>
              <w:t>declared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20"/>
              <w:spacing w:after="0" w:line="154" w:lineRule="exact"/>
              <w:rPr>
                <w:sz w:val="20"/>
                <w:szCs w:val="20"/>
                <w:color w:val="auto"/>
              </w:rPr>
            </w:pPr>
            <w:r>
              <w:rPr>
                <w:rFonts w:ascii="Arial" w:cs="Arial" w:eastAsia="Arial" w:hAnsi="Arial"/>
                <w:sz w:val="15"/>
                <w:szCs w:val="15"/>
                <w:color w:val="auto"/>
              </w:rPr>
              <w:t>($0.01 per</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(902)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(902)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(902)</w:t>
            </w:r>
          </w:p>
        </w:tc>
        <w:tc>
          <w:tcPr>
            <w:tcW w:w="0" w:type="dxa"/>
            <w:vAlign w:val="bottom"/>
          </w:tcPr>
          <w:p>
            <w:pPr>
              <w:spacing w:after="0"/>
              <w:rPr>
                <w:sz w:val="1"/>
                <w:szCs w:val="1"/>
                <w:color w:val="auto"/>
              </w:rPr>
            </w:pPr>
          </w:p>
        </w:tc>
      </w:tr>
      <w:tr>
        <w:trPr>
          <w:trHeight w:val="198"/>
        </w:trPr>
        <w:tc>
          <w:tcPr>
            <w:tcW w:w="940" w:type="dxa"/>
            <w:vAlign w:val="bottom"/>
          </w:tcPr>
          <w:p>
            <w:pPr>
              <w:ind w:left="20"/>
              <w:spacing w:after="0"/>
              <w:rPr>
                <w:sz w:val="20"/>
                <w:szCs w:val="20"/>
                <w:color w:val="auto"/>
              </w:rPr>
            </w:pPr>
            <w:r>
              <w:rPr>
                <w:rFonts w:ascii="Arial" w:cs="Arial" w:eastAsia="Arial" w:hAnsi="Arial"/>
                <w:sz w:val="15"/>
                <w:szCs w:val="15"/>
                <w:color w:val="auto"/>
              </w:rPr>
              <w:t>share)</w:t>
            </w:r>
          </w:p>
        </w:tc>
        <w:tc>
          <w:tcPr>
            <w:tcW w:w="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(9,212)</w:t>
            </w:r>
          </w:p>
        </w:tc>
        <w:tc>
          <w:tcPr>
            <w:tcW w:w="0" w:type="dxa"/>
            <w:vAlign w:val="bottom"/>
          </w:tcPr>
          <w:p>
            <w:pPr>
              <w:spacing w:after="0"/>
              <w:rPr>
                <w:sz w:val="1"/>
                <w:szCs w:val="1"/>
                <w:color w:val="auto"/>
              </w:rPr>
            </w:pPr>
          </w:p>
        </w:tc>
      </w:tr>
      <w:tr>
        <w:trPr>
          <w:trHeight w:val="158"/>
        </w:trPr>
        <w:tc>
          <w:tcPr>
            <w:tcW w:w="940" w:type="dxa"/>
            <w:vAlign w:val="bottom"/>
          </w:tcPr>
          <w:p>
            <w:pPr>
              <w:ind w:left="20"/>
              <w:spacing w:after="0" w:line="159" w:lineRule="exact"/>
              <w:rPr>
                <w:sz w:val="20"/>
                <w:szCs w:val="20"/>
                <w:color w:val="auto"/>
              </w:rPr>
            </w:pPr>
            <w:r>
              <w:rPr>
                <w:rFonts w:ascii="Arial" w:cs="Arial" w:eastAsia="Arial" w:hAnsi="Arial"/>
                <w:sz w:val="15"/>
                <w:szCs w:val="15"/>
                <w:color w:val="auto"/>
              </w:rPr>
              <w:t>Issuance per</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180"/>
              <w:spacing w:after="0" w:line="154" w:lineRule="exact"/>
              <w:rPr>
                <w:sz w:val="20"/>
                <w:szCs w:val="20"/>
                <w:color w:val="auto"/>
              </w:rPr>
            </w:pPr>
            <w:r>
              <w:rPr>
                <w:rFonts w:ascii="Arial" w:cs="Arial" w:eastAsia="Arial" w:hAnsi="Arial"/>
                <w:sz w:val="15"/>
                <w:szCs w:val="15"/>
                <w:color w:val="auto"/>
                <w:w w:val="98"/>
              </w:rPr>
              <w:t>redemption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180"/>
              <w:spacing w:after="0" w:line="154" w:lineRule="exact"/>
              <w:rPr>
                <w:sz w:val="20"/>
                <w:szCs w:val="20"/>
                <w:color w:val="auto"/>
              </w:rPr>
            </w:pPr>
            <w:r>
              <w:rPr>
                <w:rFonts w:ascii="Arial" w:cs="Arial" w:eastAsia="Arial" w:hAnsi="Arial"/>
                <w:sz w:val="15"/>
                <w:szCs w:val="15"/>
                <w:color w:val="auto"/>
              </w:rPr>
              <w:t>of Class B</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ind w:left="180"/>
              <w:spacing w:after="0" w:line="154" w:lineRule="exact"/>
              <w:rPr>
                <w:sz w:val="20"/>
                <w:szCs w:val="20"/>
                <w:color w:val="auto"/>
              </w:rPr>
            </w:pPr>
            <w:r>
              <w:rPr>
                <w:rFonts w:ascii="Arial" w:cs="Arial" w:eastAsia="Arial" w:hAnsi="Arial"/>
                <w:sz w:val="15"/>
                <w:szCs w:val="15"/>
                <w:color w:val="auto"/>
              </w:rPr>
              <w:t>shares for</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2,750,000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(2,750,000)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(1,935)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(1,935)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2,305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198"/>
        </w:trPr>
        <w:tc>
          <w:tcPr>
            <w:tcW w:w="940" w:type="dxa"/>
            <w:vAlign w:val="bottom"/>
          </w:tcPr>
          <w:p>
            <w:pPr>
              <w:ind w:left="180"/>
              <w:spacing w:after="0"/>
              <w:rPr>
                <w:sz w:val="20"/>
                <w:szCs w:val="20"/>
                <w:color w:val="auto"/>
              </w:rPr>
            </w:pPr>
            <w:r>
              <w:rPr>
                <w:rFonts w:ascii="Arial" w:cs="Arial" w:eastAsia="Arial" w:hAnsi="Arial"/>
                <w:sz w:val="15"/>
                <w:szCs w:val="15"/>
                <w:color w:val="auto"/>
              </w:rPr>
              <w:t>Class A</w:t>
            </w: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Foreign</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currency</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translation</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0"/>
        </w:trPr>
        <w:tc>
          <w:tcPr>
            <w:tcW w:w="9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1"/>
              </w:rPr>
              <w:t>adjustments</w:t>
            </w:r>
          </w:p>
        </w:tc>
        <w:tc>
          <w:tcPr>
            <w:tcW w:w="8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1,643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50,749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52,392</w:t>
            </w:r>
          </w:p>
        </w:tc>
        <w:tc>
          <w:tcPr>
            <w:tcW w:w="0" w:type="dxa"/>
            <w:vAlign w:val="bottom"/>
          </w:tcPr>
          <w:p>
            <w:pPr>
              <w:spacing w:after="0"/>
              <w:rPr>
                <w:sz w:val="1"/>
                <w:szCs w:val="1"/>
                <w:color w:val="auto"/>
              </w:rPr>
            </w:pPr>
          </w:p>
        </w:tc>
      </w:tr>
      <w:tr>
        <w:trPr>
          <w:trHeight w:val="137"/>
        </w:trPr>
        <w:tc>
          <w:tcPr>
            <w:tcW w:w="94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5"/>
                <w:szCs w:val="15"/>
                <w:b w:val="1"/>
                <w:bCs w:val="1"/>
                <w:color w:val="auto"/>
              </w:rPr>
              <w:t>Balance at</w:t>
            </w: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September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0"/>
              </w:rPr>
              <w:t>34,096,437</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1"/>
              </w:rPr>
              <w:t>288,342,303</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113,139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(126,482)</w:t>
            </w: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55</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(13,256)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(233,344)</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(246,600)</w:t>
            </w:r>
          </w:p>
        </w:tc>
        <w:tc>
          <w:tcPr>
            <w:tcW w:w="0" w:type="dxa"/>
            <w:vAlign w:val="bottom"/>
          </w:tcPr>
          <w:p>
            <w:pPr>
              <w:spacing w:after="0"/>
              <w:rPr>
                <w:sz w:val="1"/>
                <w:szCs w:val="1"/>
                <w:color w:val="auto"/>
              </w:rPr>
            </w:pPr>
          </w:p>
        </w:tc>
      </w:tr>
      <w:tr>
        <w:trPr>
          <w:trHeight w:val="199"/>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30, 2023</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20"/>
          </w:cols>
          <w:pgMar w:left="320" w:top="123" w:right="259" w:bottom="1440" w:gutter="0" w:footer="0" w:header="0"/>
        </w:sectPr>
      </w:pPr>
    </w:p>
    <w:bookmarkStart w:id="13" w:name="page14"/>
    <w:bookmarkEnd w:id="13"/>
    <w:p>
      <w:pPr>
        <w:ind w:left="4800"/>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3240" w:type="dxa"/>
            <w:vAlign w:val="bottom"/>
            <w:gridSpan w:val="5"/>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80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05"/>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76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52,392</w:t>
            </w:r>
          </w:p>
        </w:tc>
        <w:tc>
          <w:tcPr>
            <w:tcW w:w="12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73,569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2,053</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Impairment and other charges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10,313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7,190</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warrant liabilities and other liabilities, noncurrent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(15,626)</w:t>
            </w: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Deferred taxes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3,649</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losses (gains) on foreign currency</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Noncash lease expense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1,616</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7"/>
        </w:trPr>
        <w:tc>
          <w:tcPr>
            <w:tcW w:w="800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3,241</w:t>
            </w:r>
          </w:p>
        </w:tc>
      </w:tr>
      <w:tr>
        <w:trPr>
          <w:trHeight w:val="218"/>
        </w:trPr>
        <w:tc>
          <w:tcPr>
            <w:tcW w:w="8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Related party receivables and payables, net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r>
      <w:tr>
        <w:trPr>
          <w:trHeight w:val="217"/>
        </w:trPr>
        <w:tc>
          <w:tcPr>
            <w:tcW w:w="8000" w:type="dxa"/>
            <w:vAlign w:val="bottom"/>
          </w:tcPr>
          <w:p>
            <w:pPr>
              <w:ind w:left="320"/>
              <w:spacing w:after="0"/>
              <w:rPr>
                <w:sz w:val="20"/>
                <w:szCs w:val="20"/>
                <w:color w:val="auto"/>
              </w:rPr>
            </w:pPr>
            <w:r>
              <w:rPr>
                <w:rFonts w:ascii="Arial" w:cs="Arial" w:eastAsia="Arial" w:hAnsi="Arial"/>
                <w:sz w:val="17"/>
                <w:szCs w:val="17"/>
                <w:color w:val="auto"/>
              </w:rPr>
              <w:t>Prepaid expenses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2,371</w:t>
            </w:r>
          </w:p>
        </w:tc>
      </w:tr>
      <w:tr>
        <w:trPr>
          <w:trHeight w:val="218"/>
        </w:trPr>
        <w:tc>
          <w:tcPr>
            <w:tcW w:w="8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assets and other 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17"/>
        </w:trPr>
        <w:tc>
          <w:tcPr>
            <w:tcW w:w="8000" w:type="dxa"/>
            <w:vAlign w:val="bottom"/>
          </w:tcPr>
          <w:p>
            <w:pPr>
              <w:ind w:left="320"/>
              <w:spacing w:after="0"/>
              <w:rPr>
                <w:sz w:val="20"/>
                <w:szCs w:val="20"/>
                <w:color w:val="auto"/>
              </w:rPr>
            </w:pPr>
            <w:r>
              <w:rPr>
                <w:rFonts w:ascii="Arial" w:cs="Arial" w:eastAsia="Arial" w:hAnsi="Arial"/>
                <w:sz w:val="17"/>
                <w:szCs w:val="17"/>
                <w:color w:val="auto"/>
              </w:rPr>
              <w:t>Deferred contract acquisition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23,566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486</w:t>
            </w:r>
          </w:p>
        </w:tc>
      </w:tr>
      <w:tr>
        <w:trPr>
          <w:trHeight w:val="218"/>
        </w:trPr>
        <w:tc>
          <w:tcPr>
            <w:tcW w:w="8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Trade and other payables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w:t>
            </w:r>
          </w:p>
        </w:tc>
      </w:tr>
      <w:tr>
        <w:trPr>
          <w:trHeight w:val="217"/>
        </w:trPr>
        <w:tc>
          <w:tcPr>
            <w:tcW w:w="800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(7,151)</w:t>
            </w:r>
          </w:p>
        </w:tc>
      </w:tr>
      <w:tr>
        <w:trPr>
          <w:trHeight w:val="218"/>
        </w:trPr>
        <w:tc>
          <w:tcPr>
            <w:tcW w:w="8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(44,288)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(24,759)</w:t>
            </w:r>
          </w:p>
        </w:tc>
      </w:tr>
      <w:tr>
        <w:trPr>
          <w:trHeight w:val="217"/>
        </w:trPr>
        <w:tc>
          <w:tcPr>
            <w:tcW w:w="8000" w:type="dxa"/>
            <w:vAlign w:val="bottom"/>
          </w:tcPr>
          <w:p>
            <w:pPr>
              <w:ind w:left="320"/>
              <w:spacing w:after="0"/>
              <w:rPr>
                <w:sz w:val="20"/>
                <w:szCs w:val="20"/>
                <w:color w:val="auto"/>
              </w:rPr>
            </w:pPr>
            <w:r>
              <w:rPr>
                <w:rFonts w:ascii="Arial" w:cs="Arial" w:eastAsia="Arial" w:hAnsi="Arial"/>
                <w:sz w:val="17"/>
                <w:szCs w:val="17"/>
                <w:color w:val="auto"/>
              </w:rPr>
              <w:t>Operating lease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(1,486)</w:t>
            </w:r>
          </w:p>
        </w:tc>
      </w:tr>
      <w:tr>
        <w:trPr>
          <w:trHeight w:val="218"/>
        </w:trPr>
        <w:tc>
          <w:tcPr>
            <w:tcW w:w="8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and long-term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(4,156)</w:t>
            </w:r>
          </w:p>
        </w:tc>
      </w:tr>
      <w:tr>
        <w:trPr>
          <w:trHeight w:val="210"/>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Net cash provided by operating activities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37,763</w:t>
            </w:r>
          </w:p>
        </w:tc>
      </w:tr>
      <w:tr>
        <w:trPr>
          <w:trHeight w:val="198"/>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Cash paid for acquisitions, net of cash acquired</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(12,770)</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noncontrolling interests, including transaction costs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Purchases of property and equipment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Capitalized software development costs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10"/>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(13,238)</w:t>
            </w:r>
          </w:p>
        </w:tc>
      </w:tr>
      <w:tr>
        <w:trPr>
          <w:trHeight w:val="198"/>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Proceeds from related party notes receivable, net</w:t>
            </w: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737</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Repurchases of stock</w:t>
            </w: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(13,054)</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stock units withheld to pay taxes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r>
      <w:tr>
        <w:trPr>
          <w:trHeight w:val="217"/>
        </w:trPr>
        <w:tc>
          <w:tcPr>
            <w:tcW w:w="8000" w:type="dxa"/>
            <w:vAlign w:val="bottom"/>
          </w:tcPr>
          <w:p>
            <w:pPr>
              <w:ind w:left="180"/>
              <w:spacing w:after="0"/>
              <w:rPr>
                <w:sz w:val="20"/>
                <w:szCs w:val="20"/>
                <w:color w:val="auto"/>
              </w:rPr>
            </w:pPr>
            <w:r>
              <w:rPr>
                <w:rFonts w:ascii="Arial" w:cs="Arial" w:eastAsia="Arial" w:hAnsi="Arial"/>
                <w:sz w:val="17"/>
                <w:szCs w:val="17"/>
                <w:color w:val="auto"/>
              </w:rPr>
              <w:t>Dividends paid</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Distributions to noncontrolling interests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(4,476)</w:t>
            </w:r>
          </w:p>
        </w:tc>
      </w:tr>
      <w:tr>
        <w:trPr>
          <w:trHeight w:val="210"/>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Net cash used in financing activities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(16,787)</w:t>
            </w:r>
          </w:p>
        </w:tc>
      </w:tr>
      <w:tr>
        <w:trPr>
          <w:trHeight w:val="211"/>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0"/>
        </w:trPr>
        <w:tc>
          <w:tcPr>
            <w:tcW w:w="800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35,448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7,638</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158,575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139,578</w:t>
            </w:r>
          </w:p>
        </w:tc>
      </w:tr>
      <w:tr>
        <w:trPr>
          <w:trHeight w:val="211"/>
        </w:trPr>
        <w:tc>
          <w:tcPr>
            <w:tcW w:w="80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 end of period</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194,023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147,216</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0" w:hanging="298"/>
        <w:spacing w:after="0"/>
        <w:tabs>
          <w:tab w:leader="none" w:pos="3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w:t>
      </w:r>
    </w:p>
    <w:p>
      <w:pPr>
        <w:spacing w:after="0" w:line="167"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While our headquarters are in Baltimore, Maryland, we operate multiple subsidiaries in the United States.</w:t>
      </w:r>
    </w:p>
    <w:p>
      <w:pPr>
        <w:spacing w:after="0" w:line="163"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color w:val="auto"/>
        </w:rPr>
        <w:t>On July 21, 2021, MarketWise, Inc. became a publicly traded company as a result of completing the business combination, recapitalization and other transactions with Ascendant Digital Acquisition Corp. (“ADAC” or “Sponsor”), a special purpose acquisition company, MarketWise, LLC, all of the members of MarketWise, LLC (the “MarketWise Members”), and Shareholder Representative Services LLC (collectively, the “Transactions”).</w:t>
      </w:r>
    </w:p>
    <w:p>
      <w:pPr>
        <w:spacing w:after="0" w:line="200" w:lineRule="exact"/>
        <w:rPr>
          <w:sz w:val="20"/>
          <w:szCs w:val="20"/>
          <w:color w:val="auto"/>
        </w:rPr>
      </w:pPr>
    </w:p>
    <w:p>
      <w:pPr>
        <w:spacing w:after="0" w:line="303" w:lineRule="exact"/>
        <w:rPr>
          <w:sz w:val="20"/>
          <w:szCs w:val="20"/>
          <w:color w:val="auto"/>
        </w:rPr>
      </w:pPr>
    </w:p>
    <w:p>
      <w:pPr>
        <w:ind w:left="300" w:hanging="298"/>
        <w:spacing w:after="0"/>
        <w:tabs>
          <w:tab w:leader="none" w:pos="3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w:t>
      </w:r>
    </w:p>
    <w:p>
      <w:pPr>
        <w:spacing w:after="0" w:line="16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accompanying condensed consolidated financial statements include the accounts of MarketWise, Inc. and its subsidiary, MarketWise, LLC, a variable interest entity (“VIE”) for which MarketWise, Inc. is deemed to be the primary beneficiary.</w:t>
      </w:r>
    </w:p>
    <w:p>
      <w:pPr>
        <w:spacing w:after="0" w:line="114"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condensed consolidated financial statements. As of September 30, 2023, MarketWise, Inc. had a 10.6% ownership interest in MarketWise, LLC.</w:t>
      </w:r>
    </w:p>
    <w:p>
      <w:pPr>
        <w:spacing w:after="0" w:line="10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determined that MarketWise, LLC is the primary beneficiary of a VIE, and therefore, the assets, liabilities, and results of operations of that VIE are included in the Company’s condensed consolidated financial statements.</w:t>
      </w:r>
    </w:p>
    <w:p>
      <w:pPr>
        <w:spacing w:after="0" w:line="1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condensed consolidated financial statements have been prepared in accordance with accounting principles generally accepted in the United States of America (“GAAP”). All intercompany balances and transactions have been eliminated in consolidation.</w:t>
      </w:r>
    </w:p>
    <w:p>
      <w:pPr>
        <w:spacing w:after="0" w:line="11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The accompanying statements of operations include certain expenses incurred by, and charged to us by, a related party for general corporate services. These expenses are based primarily on direct usage when identifiable, direct capital expenditures, or other relevant allocations during the respective periods. We believe the assumptions underlying the accompanying condensed consolidated financial statements, including the assumptions regarding these expenses from this related party, are reasonable. Actual results may differ from these expenses, assumptions and estimates. The amounts recorded in the accompanying condensed consolidated financial statements are not necessarily indicative of the actual amount of such indirect expenses that would have been recorded had we been a separate independent entity.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accompanying unaudited condensed consolidated financial statements and the related footnote disclosures have been prepared by us in accordance with GAAP for interim financial reporting and as required by Rule 10-01 of Regulation S-X. Accordingly, the unaudited condensed consolidated financial statements may not include all of the information and notes required by GAAP for audited financial statements. The year-end December 31, 2022 consolidated balance sheet data included herein was derived from audited financial statements but does not include all disclosures required by GAAP for complete financial statements. In the opinion of management,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accompanying unaudited condensed consolidated financial statements contain all adjustments, consisting of items of a normal and recurring nature, necessary to present fairly our financial position as of September 30, 2023, the results of operations, comprehensive income, stockholders’ deficit, and cash flows for the three and nine months ended September 30, 2023 and 2022. The results of operations for the three and nine months ended September 30, 2023 and 2022 are not necessarily indicative of the results to be expected for the full year. The information contained herein should be read in conjunction with the audited financial statements included in our Annual Report on Form 10-K for the year ended December 31, 2022 filed with the Securities and Exchange Commission (“SEC”). Management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condensed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3"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The preparation of condensed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condensed consolidated financial statements include, but are not limited to, the fair value of common units, derivatives, warrants,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16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unaudited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w:t>
      </w:r>
    </w:p>
    <w:p>
      <w:pPr>
        <w:spacing w:after="0" w:line="163"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color w:val="auto"/>
        </w:rPr>
        <w:t>Noncontrolling interest represents the Company’s noncontrolling interest in consolidated subsidiaries which are not attributable, directly or indirectly, to the controlling Class A common stock ownership of the Company.</w:t>
      </w:r>
    </w:p>
    <w:p>
      <w:pPr>
        <w:spacing w:after="0" w:line="11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Net income for the three and nine months ended September 30, 2023 and 2022 was attributable to consolidated MarketWise, Inc. and its respective noncontrolling interests.</w:t>
      </w:r>
    </w:p>
    <w:p>
      <w:pPr>
        <w:spacing w:after="0" w:line="11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September 30, 2023, MarketWise, Inc.’s controlling interest in MarketWise, LLC was 10.6% and the noncontrolling interest was 89.4%. For the three months ended September 30, 2023, net income attributable to controlling interests included a $691 tax provision, and for the nine months ended September 30, 2023, net income attributable to controlling interests included a $2,046 tax provision, both of which were solely attributable to the controlling interest.</w:t>
      </w:r>
    </w:p>
    <w:p>
      <w:pPr>
        <w:spacing w:after="0" w:line="106"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As of September 30, 2022, MarketWise, Inc.’s controlling interest in MarketWise, LLC was 9.0% and the noncontrolling interest was 91.0%. For the three months ended September 30, 2022 net income attributable to controlling interests included a $3,868 loss on warrant liabilities and a $1,383 tax provision, and for the nine months ended September 30, 2022 net income attributable to controlling interests included a $14,931 gain on warrant liabilities and a $3,945 tax provision, both of which were solely attributable to the controlling interest.</w:t>
      </w:r>
    </w:p>
    <w:p>
      <w:pPr>
        <w:spacing w:after="0" w:line="200" w:lineRule="exact"/>
        <w:rPr>
          <w:sz w:val="20"/>
          <w:szCs w:val="20"/>
          <w:color w:val="auto"/>
        </w:rPr>
      </w:pPr>
    </w:p>
    <w:p>
      <w:pPr>
        <w:spacing w:after="0" w:line="310" w:lineRule="exact"/>
        <w:rPr>
          <w:sz w:val="20"/>
          <w:szCs w:val="20"/>
          <w:color w:val="auto"/>
        </w:rPr>
      </w:pPr>
    </w:p>
    <w:p>
      <w:pPr>
        <w:ind w:left="300" w:hanging="298"/>
        <w:spacing w:after="0"/>
        <w:tabs>
          <w:tab w:leader="none" w:pos="3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revenues</w:t>
      </w:r>
    </w:p>
    <w:p>
      <w:pPr>
        <w:spacing w:after="0" w:line="16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Timing of transfer: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Transferred over time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Transferred at a point in time</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Timing of transfer: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Transferred over time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Transferred at a point in time</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Timing of transfer: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Transferred over time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Transferred at a point in time</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Three Months Ended September 30,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Subscriptions</w:t>
            </w: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Advertising</w:t>
            </w:r>
          </w:p>
        </w:tc>
        <w:tc>
          <w:tcPr>
            <w:tcW w:w="1540" w:type="dxa"/>
            <w:vAlign w:val="bottom"/>
            <w:tcBorders>
              <w:top w:val="single" w:sz="8" w:color="auto"/>
            </w:tcBorders>
            <w:gridSpan w:val="3"/>
          </w:tcPr>
          <w:p>
            <w:pPr>
              <w:spacing w:after="0" w:line="146" w:lineRule="exact"/>
              <w:rPr>
                <w:sz w:val="20"/>
                <w:szCs w:val="20"/>
                <w:color w:val="auto"/>
              </w:rPr>
            </w:pPr>
            <w:r>
              <w:rPr>
                <w:rFonts w:ascii="Arial" w:cs="Arial" w:eastAsia="Arial" w:hAnsi="Arial"/>
                <w:sz w:val="14"/>
                <w:szCs w:val="14"/>
                <w:b w:val="1"/>
                <w:bCs w:val="1"/>
                <w:color w:val="auto"/>
                <w:w w:val="94"/>
              </w:rPr>
              <w:t>Revenue Share (Related</w:t>
            </w:r>
          </w:p>
        </w:tc>
        <w:tc>
          <w:tcPr>
            <w:tcW w:w="1560" w:type="dxa"/>
            <w:vAlign w:val="bottom"/>
            <w:tcBorders>
              <w:top w:val="single" w:sz="8" w:color="auto"/>
            </w:tcBorders>
            <w:gridSpan w:val="3"/>
          </w:tcPr>
          <w:p>
            <w:pPr>
              <w:jc w:val="center"/>
              <w:ind w:right="140"/>
              <w:spacing w:after="0" w:line="146" w:lineRule="exact"/>
              <w:rPr>
                <w:sz w:val="20"/>
                <w:szCs w:val="20"/>
                <w:color w:val="auto"/>
              </w:rPr>
            </w:pPr>
            <w:r>
              <w:rPr>
                <w:rFonts w:ascii="Arial" w:cs="Arial" w:eastAsia="Arial" w:hAnsi="Arial"/>
                <w:sz w:val="14"/>
                <w:szCs w:val="14"/>
                <w:b w:val="1"/>
                <w:bCs w:val="1"/>
                <w:color w:val="auto"/>
                <w:w w:val="89"/>
              </w:rPr>
              <w:t>Revenue Share (Third-</w:t>
            </w: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5"/>
              </w:rPr>
              <w:t>Party)</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2"/>
              </w:rPr>
              <w:t>party)</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105,581</w:t>
            </w:r>
          </w:p>
        </w:tc>
        <w:tc>
          <w:tcPr>
            <w:tcW w:w="12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105,581</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105,581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192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106,150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6"/>
          </w:tcPr>
          <w:p>
            <w:pPr>
              <w:jc w:val="center"/>
              <w:ind w:left="661"/>
              <w:spacing w:after="0"/>
              <w:rPr>
                <w:sz w:val="20"/>
                <w:szCs w:val="20"/>
                <w:color w:val="auto"/>
              </w:rPr>
            </w:pPr>
            <w:r>
              <w:rPr>
                <w:rFonts w:ascii="Arial" w:cs="Arial" w:eastAsia="Arial" w:hAnsi="Arial"/>
                <w:sz w:val="14"/>
                <w:szCs w:val="14"/>
                <w:b w:val="1"/>
                <w:bCs w:val="1"/>
                <w:color w:val="auto"/>
                <w:w w:val="88"/>
              </w:rPr>
              <w:t>Three Months Ended September 30, 2022</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Subscriptions</w:t>
            </w:r>
          </w:p>
        </w:tc>
        <w:tc>
          <w:tcPr>
            <w:tcW w:w="240" w:type="dxa"/>
            <w:vAlign w:val="bottom"/>
          </w:tcPr>
          <w:p>
            <w:pPr>
              <w:spacing w:after="0"/>
              <w:rPr>
                <w:sz w:val="10"/>
                <w:szCs w:val="10"/>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Advertising</w:t>
            </w:r>
          </w:p>
        </w:tc>
        <w:tc>
          <w:tcPr>
            <w:tcW w:w="1540" w:type="dxa"/>
            <w:vAlign w:val="bottom"/>
            <w:gridSpan w:val="3"/>
          </w:tcPr>
          <w:p>
            <w:pPr>
              <w:spacing w:after="0" w:line="121" w:lineRule="exact"/>
              <w:rPr>
                <w:sz w:val="20"/>
                <w:szCs w:val="20"/>
                <w:color w:val="auto"/>
              </w:rPr>
            </w:pPr>
            <w:r>
              <w:rPr>
                <w:rFonts w:ascii="Arial" w:cs="Arial" w:eastAsia="Arial" w:hAnsi="Arial"/>
                <w:sz w:val="14"/>
                <w:szCs w:val="14"/>
                <w:b w:val="1"/>
                <w:bCs w:val="1"/>
                <w:color w:val="auto"/>
                <w:w w:val="94"/>
              </w:rPr>
              <w:t>Revenue Share (Related</w:t>
            </w:r>
          </w:p>
        </w:tc>
        <w:tc>
          <w:tcPr>
            <w:tcW w:w="1560" w:type="dxa"/>
            <w:vAlign w:val="bottom"/>
            <w:gridSpan w:val="3"/>
          </w:tcPr>
          <w:p>
            <w:pPr>
              <w:jc w:val="center"/>
              <w:ind w:right="140"/>
              <w:spacing w:after="0" w:line="121" w:lineRule="exact"/>
              <w:rPr>
                <w:sz w:val="20"/>
                <w:szCs w:val="20"/>
                <w:color w:val="auto"/>
              </w:rPr>
            </w:pPr>
            <w:r>
              <w:rPr>
                <w:rFonts w:ascii="Arial" w:cs="Arial" w:eastAsia="Arial" w:hAnsi="Arial"/>
                <w:sz w:val="14"/>
                <w:szCs w:val="14"/>
                <w:b w:val="1"/>
                <w:bCs w:val="1"/>
                <w:color w:val="auto"/>
                <w:w w:val="89"/>
              </w:rPr>
              <w:t>Revenue Share (Third-</w:t>
            </w:r>
          </w:p>
        </w:tc>
        <w:tc>
          <w:tcPr>
            <w:tcW w:w="320" w:type="dxa"/>
            <w:vAlign w:val="bottom"/>
          </w:tcPr>
          <w:p>
            <w:pPr>
              <w:spacing w:after="0"/>
              <w:rPr>
                <w:sz w:val="10"/>
                <w:szCs w:val="10"/>
                <w:color w:val="auto"/>
              </w:rPr>
            </w:pPr>
          </w:p>
        </w:tc>
        <w:tc>
          <w:tcPr>
            <w:tcW w:w="110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5"/>
              </w:rPr>
              <w:t>Party)</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2"/>
              </w:rPr>
              <w:t>party)</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118,990</w:t>
            </w:r>
          </w:p>
        </w:tc>
        <w:tc>
          <w:tcPr>
            <w:tcW w:w="12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118,990</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944</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118,990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119,934</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6"/>
          </w:tcPr>
          <w:p>
            <w:pPr>
              <w:jc w:val="center"/>
              <w:ind w:left="661"/>
              <w:spacing w:after="0"/>
              <w:rPr>
                <w:sz w:val="20"/>
                <w:szCs w:val="20"/>
                <w:color w:val="auto"/>
              </w:rPr>
            </w:pPr>
            <w:r>
              <w:rPr>
                <w:rFonts w:ascii="Arial" w:cs="Arial" w:eastAsia="Arial" w:hAnsi="Arial"/>
                <w:sz w:val="14"/>
                <w:szCs w:val="14"/>
                <w:b w:val="1"/>
                <w:bCs w:val="1"/>
                <w:color w:val="auto"/>
                <w:w w:val="88"/>
              </w:rPr>
              <w:t>Nine Months Ended September 30, 2023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Subscriptions</w:t>
            </w:r>
          </w:p>
        </w:tc>
        <w:tc>
          <w:tcPr>
            <w:tcW w:w="240" w:type="dxa"/>
            <w:vAlign w:val="bottom"/>
          </w:tcPr>
          <w:p>
            <w:pPr>
              <w:spacing w:after="0"/>
              <w:rPr>
                <w:sz w:val="10"/>
                <w:szCs w:val="10"/>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Advertising</w:t>
            </w:r>
          </w:p>
        </w:tc>
        <w:tc>
          <w:tcPr>
            <w:tcW w:w="15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4"/>
              </w:rPr>
              <w:t>Revenue Share (Related</w:t>
            </w:r>
          </w:p>
        </w:tc>
        <w:tc>
          <w:tcPr>
            <w:tcW w:w="156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89"/>
              </w:rPr>
              <w:t>Revenue Share (Third-</w:t>
            </w:r>
          </w:p>
        </w:tc>
        <w:tc>
          <w:tcPr>
            <w:tcW w:w="320" w:type="dxa"/>
            <w:vAlign w:val="bottom"/>
          </w:tcPr>
          <w:p>
            <w:pPr>
              <w:spacing w:after="0"/>
              <w:rPr>
                <w:sz w:val="10"/>
                <w:szCs w:val="10"/>
                <w:color w:val="auto"/>
              </w:rPr>
            </w:pPr>
          </w:p>
        </w:tc>
        <w:tc>
          <w:tcPr>
            <w:tcW w:w="110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5"/>
              </w:rPr>
              <w:t>Party)</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2"/>
              </w:rPr>
              <w:t>party)</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334,141</w:t>
            </w:r>
          </w:p>
        </w:tc>
        <w:tc>
          <w:tcPr>
            <w:tcW w:w="12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334,141</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1,886</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334,141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336,027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-2780030</wp:posOffset>
            </wp:positionV>
            <wp:extent cx="7139305" cy="138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-2503805</wp:posOffset>
            </wp:positionV>
            <wp:extent cx="7139305" cy="138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-1682750</wp:posOffset>
            </wp:positionV>
            <wp:extent cx="7139305" cy="138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-1405890</wp:posOffset>
            </wp:positionV>
            <wp:extent cx="7139305" cy="138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-593090</wp:posOffset>
            </wp:positionV>
            <wp:extent cx="7139305" cy="138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-316230</wp:posOffset>
            </wp:positionV>
            <wp:extent cx="7139305" cy="138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305" cy="138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2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185420</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10"/>
          </w:tcPr>
          <w:p>
            <w:pPr>
              <w:jc w:val="center"/>
              <w:ind w:right="540"/>
              <w:spacing w:after="0"/>
              <w:rPr>
                <w:sz w:val="20"/>
                <w:szCs w:val="20"/>
                <w:color w:val="auto"/>
              </w:rPr>
            </w:pPr>
            <w:r>
              <w:rPr>
                <w:rFonts w:ascii="Arial" w:cs="Arial" w:eastAsia="Arial" w:hAnsi="Arial"/>
                <w:sz w:val="14"/>
                <w:szCs w:val="14"/>
                <w:b w:val="1"/>
                <w:bCs w:val="1"/>
                <w:color w:val="auto"/>
                <w:w w:val="88"/>
              </w:rPr>
              <w:t>Nine Months Ended September 30, 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Subscriptions</w:t>
            </w:r>
          </w:p>
        </w:tc>
        <w:tc>
          <w:tcPr>
            <w:tcW w:w="140" w:type="dxa"/>
            <w:vAlign w:val="bottom"/>
          </w:tcPr>
          <w:p>
            <w:pPr>
              <w:spacing w:after="0"/>
              <w:rPr>
                <w:sz w:val="10"/>
                <w:szCs w:val="10"/>
                <w:color w:val="auto"/>
              </w:rPr>
            </w:pPr>
          </w:p>
        </w:tc>
        <w:tc>
          <w:tcPr>
            <w:tcW w:w="14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Advertising</w:t>
            </w:r>
          </w:p>
        </w:tc>
        <w:tc>
          <w:tcPr>
            <w:tcW w:w="1540" w:type="dxa"/>
            <w:vAlign w:val="bottom"/>
            <w:gridSpan w:val="6"/>
          </w:tcPr>
          <w:p>
            <w:pPr>
              <w:jc w:val="center"/>
              <w:ind w:right="140"/>
              <w:spacing w:after="0" w:line="126" w:lineRule="exact"/>
              <w:rPr>
                <w:sz w:val="20"/>
                <w:szCs w:val="20"/>
                <w:color w:val="auto"/>
              </w:rPr>
            </w:pPr>
            <w:r>
              <w:rPr>
                <w:rFonts w:ascii="Arial" w:cs="Arial" w:eastAsia="Arial" w:hAnsi="Arial"/>
                <w:sz w:val="14"/>
                <w:szCs w:val="14"/>
                <w:b w:val="1"/>
                <w:bCs w:val="1"/>
                <w:color w:val="auto"/>
                <w:w w:val="87"/>
              </w:rPr>
              <w:t>Revenue Share (Related</w:t>
            </w:r>
          </w:p>
        </w:tc>
        <w:tc>
          <w:tcPr>
            <w:tcW w:w="1560" w:type="dxa"/>
            <w:vAlign w:val="bottom"/>
            <w:gridSpan w:val="6"/>
          </w:tcPr>
          <w:p>
            <w:pPr>
              <w:ind w:left="40"/>
              <w:spacing w:after="0" w:line="126" w:lineRule="exact"/>
              <w:rPr>
                <w:sz w:val="20"/>
                <w:szCs w:val="20"/>
                <w:color w:val="auto"/>
              </w:rPr>
            </w:pPr>
            <w:r>
              <w:rPr>
                <w:rFonts w:ascii="Arial" w:cs="Arial" w:eastAsia="Arial" w:hAnsi="Arial"/>
                <w:sz w:val="14"/>
                <w:szCs w:val="14"/>
                <w:b w:val="1"/>
                <w:bCs w:val="1"/>
                <w:color w:val="auto"/>
              </w:rPr>
              <w:t>Revenue Share (Third-</w:t>
            </w:r>
          </w:p>
        </w:tc>
        <w:tc>
          <w:tcPr>
            <w:tcW w:w="280" w:type="dxa"/>
            <w:vAlign w:val="bottom"/>
          </w:tcPr>
          <w:p>
            <w:pPr>
              <w:spacing w:after="0"/>
              <w:rPr>
                <w:sz w:val="10"/>
                <w:szCs w:val="10"/>
                <w:color w:val="auto"/>
              </w:rPr>
            </w:pPr>
          </w:p>
        </w:tc>
        <w:tc>
          <w:tcPr>
            <w:tcW w:w="114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3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5"/>
              </w:rPr>
              <w:t>Party)</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party)</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Timing of transfer:</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180"/>
              <w:spacing w:after="0"/>
              <w:rPr>
                <w:sz w:val="20"/>
                <w:szCs w:val="20"/>
                <w:color w:val="auto"/>
              </w:rPr>
            </w:pPr>
            <w:r>
              <w:rPr>
                <w:rFonts w:ascii="Arial" w:cs="Arial" w:eastAsia="Arial" w:hAnsi="Arial"/>
                <w:sz w:val="17"/>
                <w:szCs w:val="17"/>
                <w:color w:val="auto"/>
              </w:rPr>
              <w:t>Transferred over time</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382,321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spacing w:after="0"/>
              <w:rPr>
                <w:sz w:val="18"/>
                <w:szCs w:val="18"/>
                <w:color w:val="auto"/>
              </w:rPr>
            </w:pPr>
          </w:p>
        </w:tc>
        <w:tc>
          <w:tcPr>
            <w:tcW w:w="380" w:type="dxa"/>
            <w:vAlign w:val="bottom"/>
            <w:gridSpan w:val="4"/>
          </w:tcPr>
          <w:p>
            <w:pPr>
              <w:jc w:val="right"/>
              <w:ind w:right="200"/>
              <w:spacing w:after="0"/>
              <w:rPr>
                <w:sz w:val="20"/>
                <w:szCs w:val="20"/>
                <w:color w:val="auto"/>
              </w:rPr>
            </w:pPr>
            <w:r>
              <w:rPr>
                <w:rFonts w:ascii="Arial" w:cs="Arial" w:eastAsia="Arial" w:hAnsi="Arial"/>
                <w:sz w:val="17"/>
                <w:szCs w:val="17"/>
                <w:color w:val="auto"/>
                <w:w w:val="93"/>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382,321</w:t>
            </w:r>
          </w:p>
        </w:tc>
        <w:tc>
          <w:tcPr>
            <w:tcW w:w="0" w:type="dxa"/>
            <w:vAlign w:val="bottom"/>
          </w:tcPr>
          <w:p>
            <w:pPr>
              <w:spacing w:after="0"/>
              <w:rPr>
                <w:sz w:val="1"/>
                <w:szCs w:val="1"/>
                <w:color w:val="auto"/>
              </w:rPr>
            </w:pPr>
          </w:p>
        </w:tc>
      </w:tr>
      <w:tr>
        <w:trPr>
          <w:trHeight w:val="218"/>
        </w:trPr>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Transferred at a point in time</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1,363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0" w:type="dxa"/>
            <w:vAlign w:val="bottom"/>
          </w:tcPr>
          <w:p>
            <w:pPr>
              <w:spacing w:after="0"/>
              <w:rPr>
                <w:sz w:val="1"/>
                <w:szCs w:val="1"/>
                <w:color w:val="auto"/>
              </w:rPr>
            </w:pPr>
          </w:p>
        </w:tc>
      </w:tr>
      <w:tr>
        <w:trPr>
          <w:trHeight w:val="211"/>
        </w:trPr>
        <w:tc>
          <w:tcPr>
            <w:tcW w:w="3620" w:type="dxa"/>
            <w:vAlign w:val="bottom"/>
          </w:tcPr>
          <w:p>
            <w:pPr>
              <w:ind w:left="3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382,321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w w:val="93"/>
              </w:rPr>
              <w:t>1,363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456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384,746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160" w:type="dxa"/>
            <w:vAlign w:val="bottom"/>
            <w:gridSpan w:val="5"/>
          </w:tcPr>
          <w:p>
            <w:pPr>
              <w:spacing w:after="0"/>
              <w:rPr>
                <w:sz w:val="20"/>
                <w:szCs w:val="20"/>
                <w:color w:val="auto"/>
              </w:rPr>
            </w:pPr>
            <w:r>
              <w:rPr>
                <w:rFonts w:ascii="Arial" w:cs="Arial" w:eastAsia="Arial" w:hAnsi="Arial"/>
                <w:sz w:val="17"/>
                <w:szCs w:val="17"/>
                <w:color w:val="auto"/>
              </w:rPr>
              <w:t>Revenue recognition by subscription type was as follows: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gridSpan w:val="8"/>
          </w:tcPr>
          <w:p>
            <w:pPr>
              <w:ind w:left="660"/>
              <w:spacing w:after="0"/>
              <w:rPr>
                <w:sz w:val="20"/>
                <w:szCs w:val="20"/>
                <w:color w:val="auto"/>
              </w:rPr>
            </w:pPr>
            <w:r>
              <w:rPr>
                <w:rFonts w:ascii="Arial" w:cs="Arial" w:eastAsia="Arial" w:hAnsi="Arial"/>
                <w:sz w:val="14"/>
                <w:szCs w:val="14"/>
                <w:b w:val="1"/>
                <w:bCs w:val="1"/>
                <w:color w:val="auto"/>
                <w:w w:val="89"/>
              </w:rPr>
              <w:t>Three Months Ended September 30,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7"/>
          </w:tcPr>
          <w:p>
            <w:pPr>
              <w:jc w:val="right"/>
              <w:ind w:right="618"/>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6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Membership subscriptions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8"/>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46,915</w:t>
            </w:r>
          </w:p>
        </w:tc>
        <w:tc>
          <w:tcPr>
            <w:tcW w:w="480" w:type="dxa"/>
            <w:vAlign w:val="bottom"/>
            <w:gridSpan w:val="3"/>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137,988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148,219</w:t>
            </w:r>
          </w:p>
        </w:tc>
        <w:tc>
          <w:tcPr>
            <w:tcW w:w="0" w:type="dxa"/>
            <w:vAlign w:val="bottom"/>
          </w:tcPr>
          <w:p>
            <w:pPr>
              <w:spacing w:after="0"/>
              <w:rPr>
                <w:sz w:val="1"/>
                <w:szCs w:val="1"/>
                <w:color w:val="auto"/>
              </w:rPr>
            </w:pPr>
          </w:p>
        </w:tc>
      </w:tr>
      <w:tr>
        <w:trPr>
          <w:trHeight w:val="217"/>
        </w:trPr>
        <w:tc>
          <w:tcPr>
            <w:tcW w:w="3620" w:type="dxa"/>
            <w:vAlign w:val="bottom"/>
          </w:tcPr>
          <w:p>
            <w:pPr>
              <w:ind w:left="20"/>
              <w:spacing w:after="0"/>
              <w:rPr>
                <w:sz w:val="20"/>
                <w:szCs w:val="20"/>
                <w:color w:val="auto"/>
              </w:rPr>
            </w:pPr>
            <w:r>
              <w:rPr>
                <w:rFonts w:ascii="Arial" w:cs="Arial" w:eastAsia="Arial" w:hAnsi="Arial"/>
                <w:sz w:val="17"/>
                <w:szCs w:val="17"/>
                <w:color w:val="auto"/>
              </w:rPr>
              <w:t>Term subscriptions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57,404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72,075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196,153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234,102</w:t>
            </w:r>
          </w:p>
        </w:tc>
        <w:tc>
          <w:tcPr>
            <w:tcW w:w="0" w:type="dxa"/>
            <w:vAlign w:val="bottom"/>
          </w:tcPr>
          <w:p>
            <w:pPr>
              <w:spacing w:after="0"/>
              <w:rPr>
                <w:sz w:val="1"/>
                <w:szCs w:val="1"/>
                <w:color w:val="auto"/>
              </w:rPr>
            </w:pPr>
          </w:p>
        </w:tc>
      </w:tr>
      <w:tr>
        <w:trPr>
          <w:trHeight w:val="218"/>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Non-subscription revenue</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0" w:type="dxa"/>
            <w:vAlign w:val="bottom"/>
          </w:tcPr>
          <w:p>
            <w:pPr>
              <w:spacing w:after="0"/>
              <w:rPr>
                <w:sz w:val="1"/>
                <w:szCs w:val="1"/>
                <w:color w:val="auto"/>
              </w:rPr>
            </w:pPr>
          </w:p>
        </w:tc>
      </w:tr>
      <w:tr>
        <w:trPr>
          <w:trHeight w:val="211"/>
        </w:trPr>
        <w:tc>
          <w:tcPr>
            <w:tcW w:w="3620" w:type="dxa"/>
            <w:vAlign w:val="bottom"/>
          </w:tcPr>
          <w:p>
            <w:pPr>
              <w:ind w:left="180"/>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8"/>
                <w:szCs w:val="18"/>
                <w:color w:val="auto"/>
              </w:rPr>
            </w:pPr>
          </w:p>
        </w:tc>
        <w:tc>
          <w:tcPr>
            <w:tcW w:w="1220" w:type="dxa"/>
            <w:vAlign w:val="bottom"/>
            <w:gridSpan w:val="2"/>
          </w:tcPr>
          <w:p>
            <w:pPr>
              <w:jc w:val="right"/>
              <w:ind w:right="58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106,150</w:t>
            </w:r>
          </w:p>
        </w:tc>
        <w:tc>
          <w:tcPr>
            <w:tcW w:w="100" w:type="dxa"/>
            <w:vAlign w:val="bottom"/>
          </w:tcPr>
          <w:p>
            <w:pPr>
              <w:spacing w:after="0"/>
              <w:rPr>
                <w:sz w:val="18"/>
                <w:szCs w:val="18"/>
                <w:color w:val="auto"/>
              </w:rPr>
            </w:pPr>
          </w:p>
        </w:tc>
        <w:tc>
          <w:tcPr>
            <w:tcW w:w="560" w:type="dxa"/>
            <w:vAlign w:val="bottom"/>
          </w:tcPr>
          <w:p>
            <w:pPr>
              <w:jc w:val="right"/>
              <w:ind w:right="37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119,934</w:t>
            </w:r>
          </w:p>
        </w:tc>
        <w:tc>
          <w:tcPr>
            <w:tcW w:w="480" w:type="dxa"/>
            <w:vAlign w:val="bottom"/>
            <w:gridSpan w:val="3"/>
          </w:tcPr>
          <w:p>
            <w:pPr>
              <w:jc w:val="right"/>
              <w:ind w:right="15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336,027</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384,746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200"/>
        <w:spacing w:after="0" w:line="345" w:lineRule="auto"/>
        <w:rPr>
          <w:sz w:val="20"/>
          <w:szCs w:val="20"/>
          <w:color w:val="auto"/>
        </w:rPr>
      </w:pPr>
      <w:r>
        <w:rPr>
          <w:rFonts w:ascii="Arial" w:cs="Arial" w:eastAsia="Arial" w:hAnsi="Arial"/>
          <w:sz w:val="15"/>
          <w:szCs w:val="15"/>
          <w:color w:val="auto"/>
        </w:rPr>
        <w:t>Revenue for the membership and term subscription types are determined based on the terms of the subscription agreements. Non-subscription revenue consists of revenue from advertising and other revenue from revenue share arrangements and the sale of print products and events, such as webinars and conferences.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Net revenue by principal geographic areas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8"/>
        </w:trPr>
        <w:tc>
          <w:tcPr>
            <w:tcW w:w="42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r>
      <w:tr>
        <w:trPr>
          <w:trHeight w:val="218"/>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106,150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119,707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335,936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384,419</w:t>
            </w:r>
          </w:p>
        </w:tc>
      </w:tr>
      <w:tr>
        <w:trPr>
          <w:trHeight w:val="217"/>
        </w:trPr>
        <w:tc>
          <w:tcPr>
            <w:tcW w:w="428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327</w:t>
            </w:r>
          </w:p>
        </w:tc>
      </w:tr>
      <w:tr>
        <w:trPr>
          <w:trHeight w:val="236"/>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0" w:type="dxa"/>
            <w:vAlign w:val="bottom"/>
            <w:tcBorders>
              <w:top w:val="single" w:sz="8" w:color="auto"/>
              <w:bottom w:val="single" w:sz="8" w:color="auto"/>
            </w:tcBorders>
            <w:shd w:val="clear" w:color="auto" w:fill="CCEEFF"/>
          </w:tcPr>
          <w:p>
            <w:pPr>
              <w:jc w:val="right"/>
              <w:ind w:right="823"/>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106,150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119,934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336,027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384,746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Revenue by location is determined by the billing entity for the customer.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63"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The timing of revenue recognition, Billings, cash collections and refunds affects the recognition of accounts receivable, contract assets and deferred revenue. Our current deferred revenue balance in the condensed consolidated balance sheets includes an obligation for refunds for contracts where the provision for refund has not lapsed. Accounts receivable, deferred revenue and obligation for refunds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15"/>
                <w:szCs w:val="15"/>
                <w:color w:val="auto"/>
              </w:rPr>
            </w:pPr>
          </w:p>
        </w:tc>
      </w:tr>
      <w:tr>
        <w:trPr>
          <w:trHeight w:val="24"/>
        </w:trPr>
        <w:tc>
          <w:tcPr>
            <w:tcW w:w="7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8"/>
        </w:trPr>
        <w:tc>
          <w:tcPr>
            <w:tcW w:w="7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1580" w:type="dxa"/>
            <w:vAlign w:val="bottom"/>
          </w:tcPr>
          <w:p>
            <w:pPr>
              <w:jc w:val="right"/>
              <w:ind w:right="278"/>
              <w:spacing w:after="0"/>
              <w:rPr>
                <w:sz w:val="20"/>
                <w:szCs w:val="20"/>
                <w:color w:val="auto"/>
              </w:rPr>
            </w:pPr>
            <w:r>
              <w:rPr>
                <w:rFonts w:ascii="Arial" w:cs="Arial" w:eastAsia="Arial" w:hAnsi="Arial"/>
                <w:sz w:val="14"/>
                <w:szCs w:val="14"/>
                <w:b w:val="1"/>
                <w:bCs w:val="1"/>
                <w:color w:val="auto"/>
                <w:w w:val="95"/>
              </w:rPr>
              <w:t>December 31, 2022</w:t>
            </w:r>
          </w:p>
        </w:tc>
      </w:tr>
      <w:tr>
        <w:trPr>
          <w:trHeight w:val="205"/>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Contract balances</w:t>
            </w:r>
          </w:p>
        </w:tc>
        <w:tc>
          <w:tcPr>
            <w:tcW w:w="2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5,958</w:t>
            </w:r>
          </w:p>
        </w:tc>
        <w:tc>
          <w:tcPr>
            <w:tcW w:w="8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4,040</w:t>
            </w:r>
          </w:p>
        </w:tc>
      </w:tr>
      <w:tr>
        <w:trPr>
          <w:trHeight w:val="218"/>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for refunds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4,676</w:t>
            </w:r>
          </w:p>
        </w:tc>
      </w:tr>
      <w:tr>
        <w:trPr>
          <w:trHeight w:val="217"/>
        </w:trPr>
        <w:tc>
          <w:tcPr>
            <w:tcW w:w="7180" w:type="dxa"/>
            <w:vAlign w:val="bottom"/>
          </w:tcPr>
          <w:p>
            <w:pPr>
              <w:ind w:left="20"/>
              <w:spacing w:after="0"/>
              <w:rPr>
                <w:sz w:val="20"/>
                <w:szCs w:val="20"/>
                <w:color w:val="auto"/>
              </w:rPr>
            </w:pPr>
            <w:r>
              <w:rPr>
                <w:rFonts w:ascii="Arial" w:cs="Arial" w:eastAsia="Arial" w:hAnsi="Arial"/>
                <w:sz w:val="17"/>
                <w:szCs w:val="17"/>
                <w:color w:val="auto"/>
              </w:rPr>
              <w:t>Deferred revenue – current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290,226</w:t>
            </w:r>
          </w:p>
        </w:tc>
        <w:tc>
          <w:tcPr>
            <w:tcW w:w="8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310,555</w:t>
            </w:r>
          </w:p>
        </w:tc>
      </w:tr>
      <w:tr>
        <w:trPr>
          <w:trHeight w:val="218"/>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 non-current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348,273</w:t>
            </w:r>
          </w:p>
        </w:tc>
      </w:tr>
    </w:tbl>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recognized $69,978 and $72,852 of revenue during the three months ended September 30, 2023 and 2022, respectively, and $256,627 and $266,246 during the nine months ended September 30, 2023 and 2022, respectively, that was included within the beginning contract liability balance of the respective periods. The Company has collected all amounts included in deferred revenue other than $5,958 and $4,040 as of September 30, 2023 and December 31, 2022, respectively, related to the timing of cash settlement with our credit card processors.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20"/>
                <w:szCs w:val="20"/>
                <w:color w:val="auto"/>
              </w:rPr>
            </w:pPr>
            <w:r>
              <w:rPr>
                <w:rFonts w:ascii="Arial" w:cs="Arial" w:eastAsia="Arial" w:hAnsi="Arial"/>
                <w:sz w:val="17"/>
                <w:szCs w:val="17"/>
                <w:b w:val="1"/>
                <w:bCs w:val="1"/>
                <w:i w:val="1"/>
                <w:iCs w:val="1"/>
                <w:color w:val="auto"/>
              </w:rPr>
              <w:t>Assets Recognized from Costs to Obtain a Contract with a Customer</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59"/>
        </w:trPr>
        <w:tc>
          <w:tcPr>
            <w:tcW w:w="9680" w:type="dxa"/>
            <w:vAlign w:val="bottom"/>
          </w:tcPr>
          <w:p>
            <w:pPr>
              <w:spacing w:after="0"/>
              <w:rPr>
                <w:sz w:val="20"/>
                <w:szCs w:val="20"/>
                <w:color w:val="auto"/>
              </w:rPr>
            </w:pPr>
            <w:r>
              <w:rPr>
                <w:rFonts w:ascii="Arial" w:cs="Arial" w:eastAsia="Arial" w:hAnsi="Arial"/>
                <w:sz w:val="17"/>
                <w:szCs w:val="17"/>
                <w:color w:val="auto"/>
              </w:rPr>
              <w:t>The following table presents the opening and closing balances of our capitalized costs associated with contracts with customers: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9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2023</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197,618</w:t>
            </w:r>
          </w:p>
        </w:tc>
      </w:tr>
      <w:tr>
        <w:trPr>
          <w:trHeight w:val="217"/>
        </w:trPr>
        <w:tc>
          <w:tcPr>
            <w:tcW w:w="9680" w:type="dxa"/>
            <w:vAlign w:val="bottom"/>
          </w:tcPr>
          <w:p>
            <w:pPr>
              <w:ind w:left="180"/>
              <w:spacing w:after="0"/>
              <w:rPr>
                <w:sz w:val="20"/>
                <w:szCs w:val="20"/>
                <w:color w:val="auto"/>
              </w:rPr>
            </w:pPr>
            <w:r>
              <w:rPr>
                <w:rFonts w:ascii="Arial" w:cs="Arial" w:eastAsia="Arial" w:hAnsi="Arial"/>
                <w:sz w:val="17"/>
                <w:szCs w:val="17"/>
                <w:color w:val="auto"/>
              </w:rPr>
              <w:t>Royalties and sales commissions – additions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22,989</w:t>
            </w:r>
          </w:p>
        </w:tc>
      </w:tr>
      <w:tr>
        <w:trPr>
          <w:trHeight w:val="218"/>
        </w:trPr>
        <w:tc>
          <w:tcPr>
            <w:tcW w:w="9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Revenue share and cost per acquisition fees – additions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36,526</w:t>
            </w:r>
          </w:p>
        </w:tc>
      </w:tr>
      <w:tr>
        <w:trPr>
          <w:trHeight w:val="217"/>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Amortization of capitalized costs</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(83,081)</w:t>
            </w:r>
          </w:p>
        </w:tc>
      </w:tr>
      <w:tr>
        <w:trPr>
          <w:trHeight w:val="236"/>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2023</w:t>
            </w: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We did not recognize any impairment on capitalized costs associated with contracts with customers for the three and nine months ended September 30, 2023 and 2022.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63" w:lineRule="exact"/>
        <w:rPr>
          <w:sz w:val="20"/>
          <w:szCs w:val="20"/>
          <w:color w:val="auto"/>
        </w:rPr>
      </w:pPr>
    </w:p>
    <w:p>
      <w:pPr>
        <w:ind w:right="120"/>
        <w:spacing w:after="0" w:line="345" w:lineRule="auto"/>
        <w:rPr>
          <w:sz w:val="20"/>
          <w:szCs w:val="20"/>
          <w:color w:val="auto"/>
        </w:rPr>
      </w:pPr>
      <w:r>
        <w:rPr>
          <w:rFonts w:ascii="Arial" w:cs="Arial" w:eastAsia="Arial" w:hAnsi="Arial"/>
          <w:sz w:val="15"/>
          <w:szCs w:val="15"/>
          <w:color w:val="auto"/>
        </w:rPr>
        <w:t>As of September 30, 2023, the Company had $619,216 of remaining performance obligations presented as deferred revenue in the condensed consolidated balance sheets. We expect to recognize approximately 47% of that amount as revenues over the next twelve months, with the remainder recognized thereafter.</w:t>
      </w:r>
    </w:p>
    <w:p>
      <w:pPr>
        <w:spacing w:after="0" w:line="200" w:lineRule="exact"/>
        <w:rPr>
          <w:sz w:val="20"/>
          <w:szCs w:val="20"/>
          <w:color w:val="auto"/>
        </w:rPr>
      </w:pPr>
    </w:p>
    <w:p>
      <w:pPr>
        <w:spacing w:after="0" w:line="248" w:lineRule="exact"/>
        <w:rPr>
          <w:sz w:val="20"/>
          <w:szCs w:val="20"/>
          <w:color w:val="auto"/>
        </w:rPr>
      </w:pPr>
    </w:p>
    <w:p>
      <w:pPr>
        <w:ind w:left="300" w:hanging="298"/>
        <w:spacing w:after="0"/>
        <w:tabs>
          <w:tab w:leader="none" w:pos="3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2023 Acquisition</w:t>
      </w:r>
    </w:p>
    <w:p>
      <w:pPr>
        <w:spacing w:after="0" w:line="163"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 xml:space="preserve">In July 2023, the Company acquired a business for cash of $170 and the transaction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does not consider this acquisition to be material.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Buttonwood Publishing</w:t>
      </w:r>
    </w:p>
    <w:p>
      <w:pPr>
        <w:spacing w:after="0" w:line="16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During third quarter 2022, we acquired 100% ownership of certain assets and liabilities from Crowdability, Inc. (“Buttonwood Publishing transaction”), a provider of financial newsletters, for cash of $12,770. The Buttonwood Publishing transaction was accounted for using the acquisition method of accounting for business combinations. The following table summarizes the fair value of assets acquired and liabilities assumed as of the acquisition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w:t>
            </w: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7"/>
        </w:trPr>
        <w:tc>
          <w:tcPr>
            <w:tcW w:w="9680" w:type="dxa"/>
            <w:vAlign w:val="bottom"/>
          </w:tcPr>
          <w:p>
            <w:pPr>
              <w:ind w:left="20"/>
              <w:spacing w:after="0"/>
              <w:rPr>
                <w:sz w:val="20"/>
                <w:szCs w:val="20"/>
                <w:color w:val="auto"/>
              </w:rPr>
            </w:pPr>
            <w:r>
              <w:rPr>
                <w:rFonts w:ascii="Arial" w:cs="Arial" w:eastAsia="Arial" w:hAnsi="Arial"/>
                <w:sz w:val="17"/>
                <w:szCs w:val="17"/>
                <w:color w:val="auto"/>
              </w:rPr>
              <w:t>Goodwill</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8,019</w:t>
            </w: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Tradenames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r>
      <w:tr>
        <w:trPr>
          <w:trHeight w:val="21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9,350</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18,128</w:t>
            </w:r>
          </w:p>
        </w:tc>
      </w:tr>
      <w:tr>
        <w:trPr>
          <w:trHeight w:val="217"/>
        </w:trPr>
        <w:tc>
          <w:tcPr>
            <w:tcW w:w="9680" w:type="dxa"/>
            <w:vAlign w:val="bottom"/>
          </w:tcPr>
          <w:p>
            <w:pPr>
              <w:ind w:left="20"/>
              <w:spacing w:after="0"/>
              <w:rPr>
                <w:sz w:val="20"/>
                <w:szCs w:val="20"/>
                <w:color w:val="auto"/>
              </w:rPr>
            </w:pPr>
            <w:r>
              <w:rPr>
                <w:rFonts w:ascii="Arial" w:cs="Arial" w:eastAsia="Arial" w:hAnsi="Arial"/>
                <w:sz w:val="17"/>
                <w:szCs w:val="17"/>
                <w:color w:val="auto"/>
              </w:rPr>
              <w:t>Deferred revenue, current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(2,648)</w:t>
            </w: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current</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7"/>
        </w:trPr>
        <w:tc>
          <w:tcPr>
            <w:tcW w:w="968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noncurrent</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(2,660)</w:t>
            </w:r>
          </w:p>
        </w:tc>
      </w:tr>
      <w:tr>
        <w:trPr>
          <w:trHeight w:val="21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Liabilities assumed</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(5,358)</w:t>
            </w:r>
          </w:p>
        </w:tc>
      </w:tr>
      <w:tr>
        <w:trPr>
          <w:trHeight w:val="236"/>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assets acquired</w:t>
            </w: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excess purchase consideration over the fair values of assets acquired and liabilities assumed was recorded as goodwill. The acquired intangible assets related to the Buttonwood Publishing transaction are amortized over their estimated useful lives. Accordingly, the tradenames are amortized over 9.0 years and customer relationships are amortized over 6.5 years. Amortization for the acquired intangible assets was $382 and $217 for the three months ended September 30, 2023 and 2022, respectively, and $1,135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Revenue from Buttonwood Publishing was $987 and $788 for the three months ended September 30, 2023 and 2022, respectively, and $3,233 for the nine months ended September 30, 2023.</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00" w:hanging="298"/>
        <w:spacing w:after="0"/>
        <w:tabs>
          <w:tab w:leader="none" w:pos="3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 Net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goodwill are as follows: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Acquisition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September 30, 2023</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net consisted of the following as of the dates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4280" w:type="dxa"/>
        <w:tblCellMar>
          <w:top w:w="0" w:type="dxa"/>
          <w:left w:w="0" w:type="dxa"/>
          <w:bottom w:w="0" w:type="dxa"/>
          <w:right w:w="0" w:type="dxa"/>
        </w:tblCellMar>
      </w:tblPr>
      <w:tr>
        <w:trPr>
          <w:trHeight w:val="216"/>
        </w:trPr>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31,307</w:t>
            </w:r>
          </w:p>
        </w:tc>
      </w:tr>
      <w:tr>
        <w:trPr>
          <w:trHeight w:val="218"/>
        </w:trPr>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r>
      <w:tr>
        <w:trPr>
          <w:trHeight w:val="210"/>
        </w:trPr>
        <w:tc>
          <w:tcPr>
            <w:tcW w:w="5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31,392</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-454660</wp:posOffset>
            </wp:positionV>
            <wp:extent cx="7139305" cy="138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-178435</wp:posOffset>
            </wp:positionV>
            <wp:extent cx="713930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24765</wp:posOffset>
            </wp:positionV>
            <wp:extent cx="3943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439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1540" w:type="dxa"/>
            <w:vAlign w:val="bottom"/>
          </w:tcPr>
          <w:p>
            <w:pPr>
              <w:ind w:left="460"/>
              <w:spacing w:after="0"/>
              <w:rPr>
                <w:sz w:val="20"/>
                <w:szCs w:val="20"/>
                <w:color w:val="auto"/>
              </w:rPr>
            </w:pPr>
            <w:r>
              <w:rPr>
                <w:rFonts w:ascii="Arial" w:cs="Arial" w:eastAsia="Arial" w:hAnsi="Arial"/>
                <w:sz w:val="14"/>
                <w:szCs w:val="14"/>
                <w:b w:val="1"/>
                <w:bCs w:val="1"/>
                <w:color w:val="auto"/>
              </w:rPr>
              <w:t>Accumulated</w:t>
            </w:r>
          </w:p>
        </w:tc>
        <w:tc>
          <w:tcPr>
            <w:tcW w:w="1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Net Book Value</w:t>
            </w:r>
          </w:p>
        </w:tc>
        <w:tc>
          <w:tcPr>
            <w:tcW w:w="1960" w:type="dxa"/>
            <w:vAlign w:val="bottom"/>
          </w:tcPr>
          <w:p>
            <w:pPr>
              <w:jc w:val="center"/>
              <w:ind w:left="132"/>
              <w:spacing w:after="0"/>
              <w:rPr>
                <w:sz w:val="20"/>
                <w:szCs w:val="20"/>
                <w:color w:val="auto"/>
              </w:rPr>
            </w:pPr>
            <w:r>
              <w:rPr>
                <w:rFonts w:ascii="Arial" w:cs="Arial" w:eastAsia="Arial" w:hAnsi="Arial"/>
                <w:sz w:val="14"/>
                <w:szCs w:val="14"/>
                <w:b w:val="1"/>
                <w:bCs w:val="1"/>
                <w:color w:val="auto"/>
                <w:w w:val="88"/>
              </w:rPr>
              <w:t>Weighted-Average Remaining</w:t>
            </w: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1540" w:type="dxa"/>
            <w:vAlign w:val="bottom"/>
          </w:tcPr>
          <w:p>
            <w:pPr>
              <w:ind w:left="460"/>
              <w:spacing w:after="0"/>
              <w:rPr>
                <w:sz w:val="20"/>
                <w:szCs w:val="20"/>
                <w:color w:val="auto"/>
              </w:rPr>
            </w:pPr>
            <w:r>
              <w:rPr>
                <w:rFonts w:ascii="Arial" w:cs="Arial" w:eastAsia="Arial" w:hAnsi="Arial"/>
                <w:sz w:val="14"/>
                <w:szCs w:val="14"/>
                <w:b w:val="1"/>
                <w:bCs w:val="1"/>
                <w:color w:val="auto"/>
              </w:rPr>
              <w:t>Amortization</w:t>
            </w:r>
          </w:p>
        </w:tc>
        <w:tc>
          <w:tcPr>
            <w:tcW w:w="1400" w:type="dxa"/>
            <w:vAlign w:val="bottom"/>
            <w:vMerge w:val="continue"/>
          </w:tcPr>
          <w:p>
            <w:pPr>
              <w:spacing w:after="0"/>
              <w:rPr>
                <w:sz w:val="15"/>
                <w:szCs w:val="15"/>
                <w:color w:val="auto"/>
              </w:rPr>
            </w:pPr>
          </w:p>
        </w:tc>
        <w:tc>
          <w:tcPr>
            <w:tcW w:w="1960" w:type="dxa"/>
            <w:vAlign w:val="bottom"/>
          </w:tcPr>
          <w:p>
            <w:pPr>
              <w:jc w:val="center"/>
              <w:ind w:left="132"/>
              <w:spacing w:after="0"/>
              <w:rPr>
                <w:sz w:val="20"/>
                <w:szCs w:val="20"/>
                <w:color w:val="auto"/>
              </w:rPr>
            </w:pPr>
            <w:r>
              <w:rPr>
                <w:rFonts w:ascii="Arial" w:cs="Arial" w:eastAsia="Arial" w:hAnsi="Arial"/>
                <w:sz w:val="14"/>
                <w:szCs w:val="14"/>
                <w:b w:val="1"/>
                <w:bCs w:val="1"/>
                <w:color w:val="auto"/>
                <w:w w:val="90"/>
              </w:rPr>
              <w:t>Useful Life (in years)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980" w:space="420"/>
            <w:col w:w="584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Finite-lived intangible assets:</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80" w:type="dxa"/>
            <w:vAlign w:val="bottom"/>
          </w:tcPr>
          <w:p>
            <w:pPr>
              <w:ind w:left="180"/>
              <w:spacing w:after="0"/>
              <w:rPr>
                <w:sz w:val="20"/>
                <w:szCs w:val="20"/>
                <w:color w:val="auto"/>
              </w:rPr>
            </w:pPr>
            <w:r>
              <w:rPr>
                <w:rFonts w:ascii="Arial" w:cs="Arial" w:eastAsia="Arial" w:hAnsi="Arial"/>
                <w:sz w:val="17"/>
                <w:szCs w:val="17"/>
                <w:color w:val="auto"/>
              </w:rPr>
              <w:t>Customer relationships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21,793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(12,410)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9,383</w:t>
            </w:r>
          </w:p>
        </w:tc>
        <w:tc>
          <w:tcPr>
            <w:tcW w:w="204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4.8</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Tradenames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20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Capitalized software development costs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2,166</w:t>
            </w:r>
          </w:p>
        </w:tc>
        <w:tc>
          <w:tcPr>
            <w:tcW w:w="2040" w:type="dxa"/>
            <w:vAlign w:val="bottom"/>
            <w:tcBorders>
              <w:bottom w:val="single" w:sz="8" w:color="CCEEFF"/>
            </w:tcBorders>
            <w:gridSpan w:val="2"/>
          </w:tcPr>
          <w:p>
            <w:pPr>
              <w:jc w:val="center"/>
              <w:ind w:left="35"/>
              <w:spacing w:after="0"/>
              <w:rPr>
                <w:sz w:val="20"/>
                <w:szCs w:val="20"/>
                <w:color w:val="auto"/>
              </w:rPr>
            </w:pPr>
            <w:r>
              <w:rPr>
                <w:rFonts w:ascii="Arial" w:cs="Arial" w:eastAsia="Arial" w:hAnsi="Arial"/>
                <w:sz w:val="17"/>
                <w:szCs w:val="17"/>
                <w:color w:val="auto"/>
                <w:w w:val="84"/>
              </w:rPr>
              <w:t>3.8</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Finite-lived intangible assets,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13,184</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Indefinite-lived intangible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Internet domain names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w:t>
            </w: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Indefinite-lived intangible assets,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31,677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(17,406)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14,271</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0"/>
                <w:szCs w:val="10"/>
                <w:color w:val="auto"/>
              </w:rPr>
            </w:pPr>
          </w:p>
        </w:tc>
        <w:tc>
          <w:tcPr>
            <w:tcW w:w="124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1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Net Book Value</w:t>
            </w:r>
          </w:p>
        </w:tc>
        <w:tc>
          <w:tcPr>
            <w:tcW w:w="120" w:type="dxa"/>
            <w:vAlign w:val="bottom"/>
          </w:tcPr>
          <w:p>
            <w:pPr>
              <w:spacing w:after="0"/>
              <w:rPr>
                <w:sz w:val="10"/>
                <w:szCs w:val="10"/>
                <w:color w:val="auto"/>
              </w:rPr>
            </w:pPr>
          </w:p>
        </w:tc>
        <w:tc>
          <w:tcPr>
            <w:tcW w:w="19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Weighted-Average Remaining</w:t>
            </w:r>
          </w:p>
        </w:tc>
        <w:tc>
          <w:tcPr>
            <w:tcW w:w="0" w:type="dxa"/>
            <w:vAlign w:val="bottom"/>
          </w:tcPr>
          <w:p>
            <w:pPr>
              <w:spacing w:after="0"/>
              <w:rPr>
                <w:sz w:val="1"/>
                <w:szCs w:val="1"/>
                <w:color w:val="auto"/>
              </w:rPr>
            </w:pPr>
          </w:p>
        </w:tc>
      </w:tr>
      <w:tr>
        <w:trPr>
          <w:trHeight w:val="181"/>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Useful Life (in years)</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Finite-lived intangible assets:</w:t>
            </w: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8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21,718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(9,924)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11,794</w:t>
            </w:r>
          </w:p>
        </w:tc>
        <w:tc>
          <w:tcPr>
            <w:tcW w:w="204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Tradenames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20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5.8</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Capitalized software development costs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w:t>
            </w:r>
          </w:p>
        </w:tc>
        <w:tc>
          <w:tcPr>
            <w:tcW w:w="2040" w:type="dxa"/>
            <w:vAlign w:val="bottom"/>
            <w:tcBorders>
              <w:bottom w:val="single" w:sz="8" w:color="CCEEFF"/>
            </w:tcBorders>
            <w:gridSpan w:val="2"/>
          </w:tcPr>
          <w:p>
            <w:pPr>
              <w:jc w:val="center"/>
              <w:ind w:left="35"/>
              <w:spacing w:after="0"/>
              <w:rPr>
                <w:sz w:val="20"/>
                <w:szCs w:val="20"/>
                <w:color w:val="auto"/>
              </w:rPr>
            </w:pPr>
            <w:r>
              <w:rPr>
                <w:rFonts w:ascii="Arial" w:cs="Arial" w:eastAsia="Arial" w:hAnsi="Arial"/>
                <w:sz w:val="17"/>
                <w:szCs w:val="17"/>
                <w:color w:val="auto"/>
                <w:w w:val="84"/>
              </w:rPr>
              <w:t>2.0</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Finite-lived intangible assets,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Indefinite-lived intangible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Internet domain names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w:t>
            </w: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Indefinite-lived intangible assets,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30,094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(14,047)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16,047</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During the three months ended September 30, 2023, the Company determined that impairment indicators were present due to continuing losses with respect to its Buttonwood Publishing business which it had acquired during 2022. As a result, the Company recorded an impairment loss on Buttonwood Publishing’s intangible assets totaling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$584. The Company used a with and without method to determine the fair value of the customer relationships and a relief from royalty method to determine the fair value of the tradenames.</w:t>
      </w:r>
    </w:p>
    <w:p>
      <w:pPr>
        <w:spacing w:after="0" w:line="11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We recorded amortization expense related to finite-lived intangible assets of $936 and $760 for the three months ended September 30, 2023 and 2022, respectively, and $2,775 and $1,793 for the nine months ended September 30, 2023 and 2022, respectively, within depreciation and amortization in the accompanying condensed consolidated statement of operations. These amounts include amortization of capitalized software development costs of $187 and $133 for the three months ended September 30, 2023 and 2022, respectively, and $476 and $368 for the nine months ended September 30, 2023 and 2022, respectively.</w:t>
      </w:r>
    </w:p>
    <w:p>
      <w:pPr>
        <w:spacing w:after="0" w:line="96" w:lineRule="exact"/>
        <w:rPr>
          <w:sz w:val="20"/>
          <w:szCs w:val="20"/>
          <w:color w:val="auto"/>
        </w:rPr>
      </w:pPr>
    </w:p>
    <w:p>
      <w:pPr>
        <w:ind w:right="320"/>
        <w:spacing w:after="0" w:line="345" w:lineRule="auto"/>
        <w:rPr>
          <w:sz w:val="20"/>
          <w:szCs w:val="20"/>
          <w:color w:val="auto"/>
        </w:rPr>
      </w:pPr>
      <w:r>
        <w:rPr>
          <w:rFonts w:ascii="Arial" w:cs="Arial" w:eastAsia="Arial" w:hAnsi="Arial"/>
          <w:sz w:val="15"/>
          <w:szCs w:val="15"/>
          <w:color w:val="auto"/>
        </w:rPr>
        <w:t>We recorded additions to capitalized software development costs of $526 and $1,498 for the three and nine months ended September 30, 2023, respectively. We recorded additions to capitalized software development costs of $55 and $136 for the three and nine months ended September 30, 2022,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20"/>
                <w:szCs w:val="20"/>
                <w:color w:val="auto"/>
              </w:rPr>
            </w:pPr>
            <w:r>
              <w:rPr>
                <w:rFonts w:ascii="Arial" w:cs="Arial" w:eastAsia="Arial" w:hAnsi="Arial"/>
                <w:sz w:val="17"/>
                <w:szCs w:val="17"/>
                <w:color w:val="auto"/>
              </w:rPr>
              <w:t>As of September 30, 2023, the total expected future amortization expense for finite-lived intangible assets is as follows: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0"/>
        </w:trPr>
        <w:tc>
          <w:tcPr>
            <w:tcW w:w="9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r>
      <w:tr>
        <w:trPr>
          <w:trHeight w:val="217"/>
        </w:trPr>
        <w:tc>
          <w:tcPr>
            <w:tcW w:w="9680" w:type="dxa"/>
            <w:vAlign w:val="bottom"/>
          </w:tcPr>
          <w:p>
            <w:pPr>
              <w:ind w:left="20"/>
              <w:spacing w:after="0"/>
              <w:rPr>
                <w:sz w:val="20"/>
                <w:szCs w:val="20"/>
                <w:color w:val="auto"/>
              </w:rPr>
            </w:pPr>
            <w:r>
              <w:rPr>
                <w:rFonts w:ascii="Arial" w:cs="Arial" w:eastAsia="Arial" w:hAnsi="Arial"/>
                <w:sz w:val="17"/>
                <w:szCs w:val="17"/>
                <w:color w:val="auto"/>
              </w:rPr>
              <w:t>2024</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3,442</w:t>
            </w: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w:t>
            </w:r>
          </w:p>
        </w:tc>
      </w:tr>
      <w:tr>
        <w:trPr>
          <w:trHeight w:val="217"/>
        </w:trPr>
        <w:tc>
          <w:tcPr>
            <w:tcW w:w="9680" w:type="dxa"/>
            <w:vAlign w:val="bottom"/>
          </w:tcPr>
          <w:p>
            <w:pPr>
              <w:ind w:left="20"/>
              <w:spacing w:after="0"/>
              <w:rPr>
                <w:sz w:val="20"/>
                <w:szCs w:val="20"/>
                <w:color w:val="auto"/>
              </w:rPr>
            </w:pPr>
            <w:r>
              <w:rPr>
                <w:rFonts w:ascii="Arial" w:cs="Arial" w:eastAsia="Arial" w:hAnsi="Arial"/>
                <w:sz w:val="17"/>
                <w:szCs w:val="17"/>
                <w:color w:val="auto"/>
              </w:rPr>
              <w:t>2026</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2,462</w:t>
            </w: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w:t>
            </w:r>
          </w:p>
        </w:tc>
      </w:tr>
      <w:tr>
        <w:trPr>
          <w:trHeight w:val="21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1,855</w:t>
            </w:r>
          </w:p>
        </w:tc>
      </w:tr>
      <w:tr>
        <w:trPr>
          <w:trHeight w:val="236"/>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Finite-lived intangible assets, net</w:t>
            </w: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hanging="298"/>
        <w:spacing w:after="0"/>
        <w:tabs>
          <w:tab w:leader="none" w:pos="3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following tables summarize our financial assets and liabilities measured at fair value on a recurring basis by level within the fair value hierarchy as of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3"/>
          </w:tcPr>
          <w:p>
            <w:pPr>
              <w:ind w:left="620"/>
              <w:spacing w:after="0"/>
              <w:rPr>
                <w:sz w:val="20"/>
                <w:szCs w:val="20"/>
                <w:color w:val="auto"/>
              </w:rPr>
            </w:pPr>
            <w:r>
              <w:rPr>
                <w:rFonts w:ascii="Arial" w:cs="Arial" w:eastAsia="Arial" w:hAnsi="Arial"/>
                <w:sz w:val="14"/>
                <w:szCs w:val="14"/>
                <w:b w:val="1"/>
                <w:bCs w:val="1"/>
                <w:color w:val="auto"/>
              </w:rPr>
              <w:t>September 30, 2023</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Aggregate Fair Value</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125,311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125,311</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125,311</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125,311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Profits interests, noncurrent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Derivative liabilities, noncurrent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2,954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w:t>
            </w: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3,597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3"/>
          </w:tcPr>
          <w:p>
            <w:pPr>
              <w:ind w:left="640"/>
              <w:spacing w:after="0"/>
              <w:rPr>
                <w:sz w:val="20"/>
                <w:szCs w:val="20"/>
                <w:color w:val="auto"/>
              </w:rPr>
            </w:pPr>
            <w:r>
              <w:rPr>
                <w:rFonts w:ascii="Arial" w:cs="Arial" w:eastAsia="Arial" w:hAnsi="Arial"/>
                <w:sz w:val="14"/>
                <w:szCs w:val="14"/>
                <w:b w:val="1"/>
                <w:bCs w:val="1"/>
                <w:color w:val="auto"/>
              </w:rPr>
              <w:t>December 31, 2022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Aggregate Fair Value</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80,327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80,327</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80,327</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80,327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Derivative liabilities, noncurrent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1,281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r>
        <w:trPr>
          <w:trHeight w:val="211"/>
        </w:trPr>
        <w:tc>
          <w:tcPr>
            <w:tcW w:w="516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8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1,281</w:t>
            </w:r>
          </w:p>
        </w:tc>
        <w:tc>
          <w:tcPr>
            <w:tcW w:w="120" w:type="dxa"/>
            <w:vAlign w:val="bottom"/>
          </w:tcPr>
          <w:p>
            <w:pPr>
              <w:spacing w:after="0"/>
              <w:rPr>
                <w:sz w:val="18"/>
                <w:szCs w:val="18"/>
                <w:color w:val="auto"/>
              </w:rPr>
            </w:pP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right="520"/>
        <w:spacing w:after="0" w:line="276" w:lineRule="auto"/>
        <w:rPr>
          <w:sz w:val="20"/>
          <w:szCs w:val="20"/>
          <w:color w:val="auto"/>
        </w:rPr>
      </w:pPr>
      <w:r>
        <w:rPr>
          <w:rFonts w:ascii="Arial" w:cs="Arial" w:eastAsia="Arial" w:hAnsi="Arial"/>
          <w:sz w:val="17"/>
          <w:szCs w:val="17"/>
          <w:color w:val="auto"/>
        </w:rPr>
        <w:t xml:space="preserve">The level 3 liabilities relate to certain employee contracts with embedded derivatives and profits interests, see </w:t>
      </w:r>
      <w:r>
        <w:rPr>
          <w:rFonts w:ascii="Arial" w:cs="Arial" w:eastAsia="Arial" w:hAnsi="Arial"/>
          <w:sz w:val="17"/>
          <w:szCs w:val="17"/>
          <w:i w:val="1"/>
          <w:iCs w:val="1"/>
          <w:color w:val="auto"/>
        </w:rPr>
        <w:t>Note 8 – Derivative Financial Instruments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9 – Stock-Based Compensation</w:t>
      </w:r>
      <w:r>
        <w:rPr>
          <w:rFonts w:ascii="Arial" w:cs="Arial" w:eastAsia="Arial" w:hAnsi="Arial"/>
          <w:sz w:val="17"/>
          <w:szCs w:val="17"/>
          <w:color w:val="auto"/>
        </w:rPr>
        <w:t>,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inputs for the derivative liabilities at their measurement dates: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2260" w:type="dxa"/>
            <w:vAlign w:val="bottom"/>
            <w:gridSpan w:val="3"/>
          </w:tcPr>
          <w:p>
            <w:pPr>
              <w:ind w:left="1820"/>
              <w:spacing w:after="0"/>
              <w:rPr>
                <w:sz w:val="20"/>
                <w:szCs w:val="20"/>
                <w:color w:val="auto"/>
              </w:rPr>
            </w:pPr>
            <w:r>
              <w:rPr>
                <w:rFonts w:ascii="Arial" w:cs="Arial" w:eastAsia="Arial" w:hAnsi="Arial"/>
                <w:sz w:val="14"/>
                <w:szCs w:val="14"/>
                <w:b w:val="1"/>
                <w:bCs w:val="1"/>
                <w:color w:val="auto"/>
              </w:rPr>
              <w:t>As of</w:t>
            </w:r>
          </w:p>
        </w:tc>
        <w:tc>
          <w:tcPr>
            <w:tcW w:w="1660" w:type="dxa"/>
            <w:vAlign w:val="bottom"/>
          </w:tcPr>
          <w:p>
            <w:pPr>
              <w:spacing w:after="0"/>
              <w:rPr>
                <w:sz w:val="15"/>
                <w:szCs w:val="15"/>
                <w:color w:val="auto"/>
              </w:rPr>
            </w:pPr>
          </w:p>
        </w:tc>
      </w:tr>
      <w:tr>
        <w:trPr>
          <w:trHeight w:val="24"/>
        </w:trPr>
        <w:tc>
          <w:tcPr>
            <w:tcW w:w="7320" w:type="dxa"/>
            <w:vAlign w:val="bottom"/>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78"/>
        </w:trPr>
        <w:tc>
          <w:tcPr>
            <w:tcW w:w="7320" w:type="dxa"/>
            <w:vAlign w:val="bottom"/>
          </w:tcPr>
          <w:p>
            <w:pPr>
              <w:spacing w:after="0"/>
              <w:rPr>
                <w:sz w:val="15"/>
                <w:szCs w:val="15"/>
                <w:color w:val="auto"/>
              </w:rPr>
            </w:pPr>
          </w:p>
        </w:tc>
        <w:tc>
          <w:tcPr>
            <w:tcW w:w="2260" w:type="dxa"/>
            <w:vAlign w:val="bottom"/>
            <w:gridSpan w:val="3"/>
          </w:tcPr>
          <w:p>
            <w:pPr>
              <w:ind w:left="380"/>
              <w:spacing w:after="0"/>
              <w:rPr>
                <w:sz w:val="20"/>
                <w:szCs w:val="20"/>
                <w:color w:val="auto"/>
              </w:rPr>
            </w:pPr>
            <w:r>
              <w:rPr>
                <w:rFonts w:ascii="Arial" w:cs="Arial" w:eastAsia="Arial" w:hAnsi="Arial"/>
                <w:sz w:val="14"/>
                <w:szCs w:val="14"/>
                <w:b w:val="1"/>
                <w:bCs w:val="1"/>
                <w:color w:val="auto"/>
              </w:rPr>
              <w:t>September 30, 2023</w:t>
            </w:r>
          </w:p>
        </w:tc>
        <w:tc>
          <w:tcPr>
            <w:tcW w:w="1660" w:type="dxa"/>
            <w:vAlign w:val="bottom"/>
          </w:tcPr>
          <w:p>
            <w:pPr>
              <w:jc w:val="right"/>
              <w:ind w:right="318"/>
              <w:spacing w:after="0"/>
              <w:rPr>
                <w:sz w:val="20"/>
                <w:szCs w:val="20"/>
                <w:color w:val="auto"/>
              </w:rPr>
            </w:pPr>
            <w:r>
              <w:rPr>
                <w:rFonts w:ascii="Arial" w:cs="Arial" w:eastAsia="Arial" w:hAnsi="Arial"/>
                <w:sz w:val="14"/>
                <w:szCs w:val="14"/>
                <w:b w:val="1"/>
                <w:bCs w:val="1"/>
                <w:color w:val="auto"/>
                <w:w w:val="98"/>
              </w:rPr>
              <w:t>December 31, 2022</w:t>
            </w:r>
          </w:p>
        </w:tc>
      </w:tr>
      <w:tr>
        <w:trPr>
          <w:trHeight w:val="218"/>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39.80 %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37.30 %</w:t>
            </w:r>
          </w:p>
        </w:tc>
      </w:tr>
      <w:tr>
        <w:trPr>
          <w:trHeight w:val="217"/>
        </w:trPr>
        <w:tc>
          <w:tcPr>
            <w:tcW w:w="732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1920" w:type="dxa"/>
            <w:vAlign w:val="bottom"/>
          </w:tcPr>
          <w:p>
            <w:pPr>
              <w:jc w:val="right"/>
              <w:spacing w:after="0"/>
              <w:rPr>
                <w:sz w:val="20"/>
                <w:szCs w:val="20"/>
                <w:color w:val="auto"/>
              </w:rPr>
            </w:pPr>
            <w:r>
              <w:rPr>
                <w:rFonts w:ascii="Arial" w:cs="Arial" w:eastAsia="Arial" w:hAnsi="Arial"/>
                <w:sz w:val="17"/>
                <w:szCs w:val="17"/>
                <w:color w:val="auto"/>
              </w:rPr>
              <w:t>22.40 %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21.80 %</w:t>
            </w:r>
          </w:p>
        </w:tc>
      </w:tr>
      <w:tr>
        <w:trPr>
          <w:trHeight w:val="218"/>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spread</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0.20 %</w:t>
            </w: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Risk-free rate</w:t>
            </w:r>
          </w:p>
        </w:tc>
        <w:tc>
          <w:tcPr>
            <w:tcW w:w="1920" w:type="dxa"/>
            <w:vAlign w:val="bottom"/>
          </w:tcPr>
          <w:p>
            <w:pPr>
              <w:jc w:val="right"/>
              <w:spacing w:after="0"/>
              <w:rPr>
                <w:sz w:val="20"/>
                <w:szCs w:val="20"/>
                <w:color w:val="auto"/>
              </w:rPr>
            </w:pPr>
            <w:r>
              <w:rPr>
                <w:rFonts w:ascii="Arial" w:cs="Arial" w:eastAsia="Arial" w:hAnsi="Arial"/>
                <w:sz w:val="17"/>
                <w:szCs w:val="17"/>
                <w:color w:val="auto"/>
              </w:rPr>
              <w:t>3.50 %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3.50 %</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inputs for the profits interests at the measurement date: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736"/>
              <w:spacing w:after="0"/>
              <w:rPr>
                <w:sz w:val="20"/>
                <w:szCs w:val="20"/>
                <w:color w:val="auto"/>
              </w:rPr>
            </w:pPr>
            <w:r>
              <w:rPr>
                <w:rFonts w:ascii="Arial" w:cs="Arial" w:eastAsia="Arial" w:hAnsi="Arial"/>
                <w:sz w:val="14"/>
                <w:szCs w:val="14"/>
                <w:b w:val="1"/>
                <w:bCs w:val="1"/>
                <w:color w:val="auto"/>
              </w:rPr>
              <w:t>As of</w:t>
            </w:r>
          </w:p>
        </w:tc>
      </w:tr>
      <w:tr>
        <w:trPr>
          <w:trHeight w:val="192"/>
        </w:trPr>
        <w:tc>
          <w:tcPr>
            <w:tcW w:w="9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r>
      <w:tr>
        <w:trPr>
          <w:trHeight w:val="24"/>
        </w:trPr>
        <w:tc>
          <w:tcPr>
            <w:tcW w:w="9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22.80 %</w:t>
            </w:r>
          </w:p>
        </w:tc>
      </w:tr>
      <w:tr>
        <w:trPr>
          <w:trHeight w:val="216"/>
        </w:trPr>
        <w:tc>
          <w:tcPr>
            <w:tcW w:w="9320" w:type="dxa"/>
            <w:vAlign w:val="bottom"/>
          </w:tcPr>
          <w:p>
            <w:pPr>
              <w:ind w:left="20"/>
              <w:spacing w:after="0"/>
              <w:rPr>
                <w:sz w:val="20"/>
                <w:szCs w:val="20"/>
                <w:color w:val="auto"/>
              </w:rPr>
            </w:pPr>
            <w:r>
              <w:rPr>
                <w:rFonts w:ascii="Arial" w:cs="Arial" w:eastAsia="Arial" w:hAnsi="Arial"/>
                <w:sz w:val="17"/>
                <w:szCs w:val="17"/>
                <w:color w:val="auto"/>
              </w:rPr>
              <w:t>Discount for lack of marketability</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30.50 %</w:t>
            </w:r>
          </w:p>
        </w:tc>
      </w:tr>
      <w:tr>
        <w:trPr>
          <w:trHeight w:val="435"/>
        </w:trPr>
        <w:tc>
          <w:tcPr>
            <w:tcW w:w="9320" w:type="dxa"/>
            <w:vAlign w:val="bottom"/>
          </w:tcPr>
          <w:p>
            <w:pPr>
              <w:spacing w:after="0"/>
              <w:rPr>
                <w:sz w:val="20"/>
                <w:szCs w:val="20"/>
                <w:color w:val="auto"/>
              </w:rPr>
            </w:pPr>
            <w:r>
              <w:rPr>
                <w:rFonts w:ascii="Arial" w:cs="Arial" w:eastAsia="Arial" w:hAnsi="Arial"/>
                <w:sz w:val="17"/>
                <w:szCs w:val="17"/>
                <w:color w:val="auto"/>
                <w:w w:val="92"/>
              </w:rPr>
              <w:t>The following table summarizes the change in fair value of the liabilities during the nine months ended September 30, 2023 and 2022: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0"/>
        </w:trPr>
        <w:tc>
          <w:tcPr>
            <w:tcW w:w="9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8"/>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2023</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r>
      <w:tr>
        <w:trPr>
          <w:trHeight w:val="217"/>
        </w:trPr>
        <w:tc>
          <w:tcPr>
            <w:tcW w:w="9320" w:type="dxa"/>
            <w:vAlign w:val="bottom"/>
          </w:tcPr>
          <w:p>
            <w:pPr>
              <w:ind w:left="180"/>
              <w:spacing w:after="0"/>
              <w:rPr>
                <w:sz w:val="20"/>
                <w:szCs w:val="20"/>
                <w:color w:val="auto"/>
              </w:rPr>
            </w:pPr>
            <w:r>
              <w:rPr>
                <w:rFonts w:ascii="Arial" w:cs="Arial" w:eastAsia="Arial" w:hAnsi="Arial"/>
                <w:sz w:val="17"/>
                <w:szCs w:val="17"/>
                <w:color w:val="auto"/>
              </w:rPr>
              <w:t xml:space="preserve">Establishment of profits interests liability (see </w:t>
            </w:r>
            <w:r>
              <w:rPr>
                <w:rFonts w:ascii="Arial" w:cs="Arial" w:eastAsia="Arial" w:hAnsi="Arial"/>
                <w:sz w:val="17"/>
                <w:szCs w:val="17"/>
                <w:i w:val="1"/>
                <w:iCs w:val="1"/>
                <w:color w:val="auto"/>
              </w:rPr>
              <w:t>Note 9 – Stock-Based Compensation</w:t>
            </w: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1,010</w:t>
            </w:r>
          </w:p>
        </w:tc>
      </w:tr>
      <w:tr>
        <w:trPr>
          <w:trHeight w:val="218"/>
        </w:trPr>
        <w:tc>
          <w:tcPr>
            <w:tcW w:w="9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profits interests liability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17"/>
        </w:trPr>
        <w:tc>
          <w:tcPr>
            <w:tcW w:w="93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Change in fair value of derivative instruments</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1,673</w:t>
            </w:r>
          </w:p>
        </w:tc>
      </w:tr>
      <w:tr>
        <w:trPr>
          <w:trHeight w:val="231"/>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September 30, 2023</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3,597</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9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2022</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31,347</w:t>
            </w:r>
          </w:p>
        </w:tc>
      </w:tr>
      <w:tr>
        <w:trPr>
          <w:trHeight w:val="217"/>
        </w:trPr>
        <w:tc>
          <w:tcPr>
            <w:tcW w:w="9320" w:type="dxa"/>
            <w:vAlign w:val="bottom"/>
          </w:tcPr>
          <w:p>
            <w:pPr>
              <w:ind w:left="180"/>
              <w:spacing w:after="0"/>
              <w:rPr>
                <w:sz w:val="20"/>
                <w:szCs w:val="20"/>
                <w:color w:val="auto"/>
              </w:rPr>
            </w:pPr>
            <w:r>
              <w:rPr>
                <w:rFonts w:ascii="Arial" w:cs="Arial" w:eastAsia="Arial" w:hAnsi="Arial"/>
                <w:sz w:val="17"/>
                <w:szCs w:val="17"/>
                <w:color w:val="auto"/>
              </w:rPr>
              <w:t>Change in fair value of derivative instruments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(15,626)</w:t>
            </w:r>
          </w:p>
        </w:tc>
      </w:tr>
      <w:tr>
        <w:trPr>
          <w:trHeight w:val="218"/>
        </w:trPr>
        <w:tc>
          <w:tcPr>
            <w:tcW w:w="9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xml:space="preserve">Warrants exchanged for Class A common stock (see </w:t>
            </w:r>
            <w:r>
              <w:rPr>
                <w:rFonts w:ascii="Arial" w:cs="Arial" w:eastAsia="Arial" w:hAnsi="Arial"/>
                <w:sz w:val="17"/>
                <w:szCs w:val="17"/>
                <w:i w:val="1"/>
                <w:iCs w:val="1"/>
                <w:color w:val="auto"/>
              </w:rPr>
              <w:t>Note 15 – Warrant Exchange</w:t>
            </w: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(14,401)</w:t>
            </w:r>
          </w:p>
        </w:tc>
      </w:tr>
      <w:tr>
        <w:trPr>
          <w:trHeight w:val="211"/>
        </w:trPr>
        <w:tc>
          <w:tcPr>
            <w:tcW w:w="9320" w:type="dxa"/>
            <w:vAlign w:val="bottom"/>
          </w:tcPr>
          <w:p>
            <w:pPr>
              <w:ind w:left="20"/>
              <w:spacing w:after="0"/>
              <w:rPr>
                <w:sz w:val="20"/>
                <w:szCs w:val="20"/>
                <w:color w:val="auto"/>
              </w:rPr>
            </w:pPr>
            <w:r>
              <w:rPr>
                <w:rFonts w:ascii="Arial" w:cs="Arial" w:eastAsia="Arial" w:hAnsi="Arial"/>
                <w:sz w:val="17"/>
                <w:szCs w:val="17"/>
                <w:color w:val="auto"/>
              </w:rPr>
              <w:t>Balance at September 30, 2022</w:t>
            </w:r>
          </w:p>
        </w:tc>
        <w:tc>
          <w:tcPr>
            <w:tcW w:w="64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1,320</w:t>
            </w:r>
          </w:p>
        </w:tc>
      </w:tr>
      <w:tr>
        <w:trPr>
          <w:trHeight w:val="20"/>
        </w:trPr>
        <w:tc>
          <w:tcPr>
            <w:tcW w:w="9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hanging="298"/>
        <w:spacing w:after="0"/>
        <w:tabs>
          <w:tab w:leader="none" w:pos="3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Implementation Costs</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capitalized cloud computing implementation costs for customer-relationship management, revenue management, and enterprise resource planning systems of $0 and $360 for the three months ended September 30, 2023 and 2022, respectively, and $71 and $1,392 for the nine months ended September 30, 2023 and 2022, respectively. The capitalized implementation costs are capitalized within other current assets and other assets on the condensed consolidated balance sheets. Amortization expense related to capitalized cloud computing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implementation costs was $238 and $133, for the three months ended September 30, 2023 and 2022, respectively, and $689 and $145 for the nine months ended September 30, 2023 and 2022,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2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Estimated Useful Lives</w:t>
            </w:r>
          </w:p>
        </w:tc>
        <w:tc>
          <w:tcPr>
            <w:tcW w:w="1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400" w:type="dxa"/>
            <w:vAlign w:val="bottom"/>
            <w:tcBorders>
              <w:bottom w:val="single" w:sz="8" w:color="CCEEFF"/>
            </w:tcBorders>
          </w:tcPr>
          <w:p>
            <w:pPr>
              <w:spacing w:after="0"/>
              <w:rPr>
                <w:sz w:val="15"/>
                <w:szCs w:val="15"/>
                <w:color w:val="auto"/>
              </w:rPr>
            </w:pPr>
          </w:p>
        </w:tc>
        <w:tc>
          <w:tcPr>
            <w:tcW w:w="2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4"/>
              </w:rPr>
              <w:t>September 30, 2023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6"/>
              </w:rPr>
              <w:t>5 years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17"/>
        </w:trPr>
        <w:tc>
          <w:tcPr>
            <w:tcW w:w="4400" w:type="dxa"/>
            <w:vAlign w:val="bottom"/>
          </w:tcPr>
          <w:p>
            <w:pPr>
              <w:ind w:left="20"/>
              <w:spacing w:after="0"/>
              <w:rPr>
                <w:sz w:val="20"/>
                <w:szCs w:val="20"/>
                <w:color w:val="auto"/>
              </w:rPr>
            </w:pPr>
            <w:r>
              <w:rPr>
                <w:rFonts w:ascii="Arial" w:cs="Arial" w:eastAsia="Arial" w:hAnsi="Arial"/>
                <w:sz w:val="17"/>
                <w:szCs w:val="17"/>
                <w:color w:val="auto"/>
              </w:rPr>
              <w:t>Computers, software and equipment</w:t>
            </w:r>
          </w:p>
        </w:tc>
        <w:tc>
          <w:tcPr>
            <w:tcW w:w="300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3 years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1,518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167"/>
        </w:trPr>
        <w:tc>
          <w:tcPr>
            <w:tcW w:w="440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jc w:val="center"/>
              <w:ind w:right="100"/>
              <w:spacing w:after="0" w:line="167" w:lineRule="exact"/>
              <w:rPr>
                <w:sz w:val="20"/>
                <w:szCs w:val="20"/>
                <w:color w:val="auto"/>
              </w:rPr>
            </w:pPr>
            <w:r>
              <w:rPr>
                <w:rFonts w:ascii="Arial" w:cs="Arial" w:eastAsia="Arial" w:hAnsi="Arial"/>
                <w:sz w:val="17"/>
                <w:szCs w:val="17"/>
                <w:color w:val="auto"/>
                <w:w w:val="92"/>
              </w:rPr>
              <w:t>Shorter of estimated useful life or</w:t>
            </w: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remaining term of lease</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3,749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3,696</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(2,804)</w:t>
            </w:r>
          </w:p>
        </w:tc>
        <w:tc>
          <w:tcPr>
            <w:tcW w:w="0" w:type="dxa"/>
            <w:vAlign w:val="bottom"/>
          </w:tcPr>
          <w:p>
            <w:pPr>
              <w:spacing w:after="0"/>
              <w:rPr>
                <w:sz w:val="1"/>
                <w:szCs w:val="1"/>
                <w:color w:val="auto"/>
              </w:rPr>
            </w:pPr>
          </w:p>
        </w:tc>
      </w:tr>
      <w:tr>
        <w:trPr>
          <w:trHeight w:val="211"/>
        </w:trPr>
        <w:tc>
          <w:tcPr>
            <w:tcW w:w="4400" w:type="dxa"/>
            <w:vAlign w:val="bottom"/>
          </w:tcPr>
          <w:p>
            <w:pPr>
              <w:ind w:left="180"/>
              <w:spacing w:after="0"/>
              <w:rPr>
                <w:sz w:val="20"/>
                <w:szCs w:val="20"/>
                <w:color w:val="auto"/>
              </w:rPr>
            </w:pPr>
            <w:r>
              <w:rPr>
                <w:rFonts w:ascii="Arial" w:cs="Arial" w:eastAsia="Arial" w:hAnsi="Arial"/>
                <w:sz w:val="17"/>
                <w:szCs w:val="17"/>
                <w:color w:val="auto"/>
              </w:rPr>
              <w:t>Total property and equipment, net</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Depreciation and amortization expense for property and equipment was $65 and $76 for the three months ended September 30, 2023 and 2022, respectively, and $204 and $260 for the nine months ended September 30, 2023 and 2022,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15"/>
                <w:szCs w:val="15"/>
                <w:color w:val="auto"/>
              </w:rPr>
            </w:pPr>
          </w:p>
        </w:tc>
      </w:tr>
      <w:tr>
        <w:trPr>
          <w:trHeight w:val="24"/>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8"/>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1580" w:type="dxa"/>
            <w:vAlign w:val="bottom"/>
          </w:tcPr>
          <w:p>
            <w:pPr>
              <w:jc w:val="right"/>
              <w:ind w:right="258"/>
              <w:spacing w:after="0"/>
              <w:rPr>
                <w:sz w:val="20"/>
                <w:szCs w:val="20"/>
                <w:color w:val="auto"/>
              </w:rPr>
            </w:pPr>
            <w:r>
              <w:rPr>
                <w:rFonts w:ascii="Arial" w:cs="Arial" w:eastAsia="Arial" w:hAnsi="Arial"/>
                <w:sz w:val="14"/>
                <w:szCs w:val="14"/>
                <w:b w:val="1"/>
                <w:bCs w:val="1"/>
                <w:color w:val="auto"/>
                <w:w w:val="96"/>
              </w:rPr>
              <w:t>December 31, 2022</w:t>
            </w:r>
          </w:p>
        </w:tc>
      </w:tr>
      <w:tr>
        <w:trPr>
          <w:trHeight w:val="218"/>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Commission and variable compensation</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22,510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24,207</w:t>
            </w:r>
          </w:p>
        </w:tc>
      </w:tr>
      <w:tr>
        <w:trPr>
          <w:trHeight w:val="217"/>
        </w:trPr>
        <w:tc>
          <w:tcPr>
            <w:tcW w:w="7540" w:type="dxa"/>
            <w:vAlign w:val="bottom"/>
          </w:tcPr>
          <w:p>
            <w:pPr>
              <w:ind w:left="20"/>
              <w:spacing w:after="0"/>
              <w:rPr>
                <w:sz w:val="20"/>
                <w:szCs w:val="20"/>
                <w:color w:val="auto"/>
              </w:rPr>
            </w:pPr>
            <w:r>
              <w:rPr>
                <w:rFonts w:ascii="Arial" w:cs="Arial" w:eastAsia="Arial" w:hAnsi="Arial"/>
                <w:sz w:val="17"/>
                <w:szCs w:val="17"/>
                <w:color w:val="auto"/>
              </w:rPr>
              <w:t>Payroll and benefits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4,357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5,258</w:t>
            </w:r>
          </w:p>
        </w:tc>
      </w:tr>
      <w:tr>
        <w:trPr>
          <w:trHeight w:val="218"/>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16,511</w:t>
            </w:r>
          </w:p>
        </w:tc>
      </w:tr>
      <w:tr>
        <w:trPr>
          <w:trHeight w:val="211"/>
        </w:trPr>
        <w:tc>
          <w:tcPr>
            <w:tcW w:w="7540" w:type="dxa"/>
            <w:vAlign w:val="bottom"/>
          </w:tcPr>
          <w:p>
            <w:pPr>
              <w:ind w:left="180"/>
              <w:spacing w:after="0"/>
              <w:rPr>
                <w:sz w:val="20"/>
                <w:szCs w:val="20"/>
                <w:color w:val="auto"/>
              </w:rPr>
            </w:pPr>
            <w:r>
              <w:rPr>
                <w:rFonts w:ascii="Arial" w:cs="Arial" w:eastAsia="Arial" w:hAnsi="Arial"/>
                <w:sz w:val="17"/>
                <w:szCs w:val="17"/>
                <w:color w:val="auto"/>
              </w:rPr>
              <w:t>Total accrued expenses</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42,711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45,976</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300" w:hanging="298"/>
        <w:spacing w:after="0"/>
        <w:tabs>
          <w:tab w:leader="none" w:pos="3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 Financial Instruments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Prior to the closing of the Transactions, as part of our compensation and employee retention strategy, we entered into contracts with key employees and independent contractors which contain embedded derivatives. These contracts are intended to compensate the employees or independent contractors for services provided and retain their future services. These embedded derivative instruments are issued in the form of phantom interests in Net Income, as defined by our board of directors (the “Board”), that grant the holder value equal to a percentage of Net Income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a price multiple. All derivative instruments are recorded at fair value as derivative liabilities on our condensed consolidated balance sheets.</w:t>
      </w:r>
    </w:p>
    <w:p>
      <w:pPr>
        <w:spacing w:after="0" w:line="131"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As of September 30, 2023, there is one embedded derivative instrument outstanding. The following table presents information on the location and amounts of derivative instrument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8"/>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r>
      <w:tr>
        <w:trPr>
          <w:trHeight w:val="120"/>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95"/>
              </w:rPr>
              <w:t>Location of Gain (Loss)</w:t>
            </w: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6"/>
        </w:trPr>
        <w:tc>
          <w:tcPr>
            <w:tcW w:w="2740" w:type="dxa"/>
            <w:vAlign w:val="bottom"/>
            <w:gridSpan w:val="2"/>
          </w:tcPr>
          <w:p>
            <w:pPr>
              <w:jc w:val="center"/>
              <w:ind w:right="80"/>
              <w:spacing w:after="0" w:line="136" w:lineRule="exact"/>
              <w:rPr>
                <w:sz w:val="20"/>
                <w:szCs w:val="20"/>
                <w:color w:val="auto"/>
              </w:rPr>
            </w:pPr>
            <w:r>
              <w:rPr>
                <w:rFonts w:ascii="Arial" w:cs="Arial" w:eastAsia="Arial" w:hAnsi="Arial"/>
                <w:sz w:val="14"/>
                <w:szCs w:val="14"/>
                <w:b w:val="1"/>
                <w:bCs w:val="1"/>
                <w:color w:val="auto"/>
                <w:w w:val="86"/>
              </w:rPr>
              <w:t>Derivatives Not Designated as</w:t>
            </w:r>
          </w:p>
        </w:tc>
        <w:tc>
          <w:tcPr>
            <w:tcW w:w="1840" w:type="dxa"/>
            <w:vAlign w:val="bottom"/>
            <w:gridSpan w:val="2"/>
          </w:tcPr>
          <w:p>
            <w:pPr>
              <w:jc w:val="center"/>
              <w:ind w:right="80"/>
              <w:spacing w:after="0" w:line="136" w:lineRule="exact"/>
              <w:rPr>
                <w:sz w:val="20"/>
                <w:szCs w:val="20"/>
                <w:color w:val="auto"/>
              </w:rPr>
            </w:pPr>
            <w:r>
              <w:rPr>
                <w:rFonts w:ascii="Arial" w:cs="Arial" w:eastAsia="Arial" w:hAnsi="Arial"/>
                <w:sz w:val="14"/>
                <w:szCs w:val="14"/>
                <w:b w:val="1"/>
                <w:bCs w:val="1"/>
                <w:color w:val="auto"/>
                <w:w w:val="86"/>
              </w:rPr>
              <w:t>Recognized in Income</w:t>
            </w: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86"/>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Hedging Instruments</w:t>
            </w: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Statement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r>
      <w:tr>
        <w:trPr>
          <w:trHeight w:val="216"/>
        </w:trPr>
        <w:tc>
          <w:tcPr>
            <w:tcW w:w="2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Warrants</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(3,868)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14,931</w:t>
            </w:r>
          </w:p>
        </w:tc>
      </w:tr>
      <w:tr>
        <w:trPr>
          <w:trHeight w:val="167"/>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General and</w:t>
            </w:r>
          </w:p>
        </w:tc>
        <w:tc>
          <w:tcPr>
            <w:tcW w:w="1060" w:type="dxa"/>
            <w:vAlign w:val="bottom"/>
          </w:tcPr>
          <w:p>
            <w:pPr>
              <w:spacing w:after="0"/>
              <w:rPr>
                <w:sz w:val="14"/>
                <w:szCs w:val="14"/>
                <w:color w:val="auto"/>
              </w:rPr>
            </w:pPr>
          </w:p>
        </w:tc>
        <w:tc>
          <w:tcPr>
            <w:tcW w:w="540" w:type="dxa"/>
            <w:vAlign w:val="bottom"/>
          </w:tcPr>
          <w:p>
            <w:pPr>
              <w:jc w:val="right"/>
              <w:spacing w:after="0" w:line="167" w:lineRule="exact"/>
              <w:rPr>
                <w:sz w:val="20"/>
                <w:szCs w:val="20"/>
                <w:color w:val="auto"/>
              </w:rPr>
            </w:pPr>
            <w:r>
              <w:rPr>
                <w:rFonts w:ascii="Arial" w:cs="Arial" w:eastAsia="Arial" w:hAnsi="Arial"/>
                <w:sz w:val="17"/>
                <w:szCs w:val="17"/>
                <w:color w:val="auto"/>
              </w:rPr>
              <w:t>(972)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line="167" w:lineRule="exact"/>
              <w:rPr>
                <w:sz w:val="20"/>
                <w:szCs w:val="20"/>
                <w:color w:val="auto"/>
              </w:rPr>
            </w:pPr>
            <w:r>
              <w:rPr>
                <w:rFonts w:ascii="Arial" w:cs="Arial" w:eastAsia="Arial" w:hAnsi="Arial"/>
                <w:sz w:val="17"/>
                <w:szCs w:val="17"/>
                <w:color w:val="auto"/>
              </w:rPr>
              <w:t>(160)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line="167" w:lineRule="exact"/>
              <w:rPr>
                <w:sz w:val="20"/>
                <w:szCs w:val="20"/>
                <w:color w:val="auto"/>
              </w:rPr>
            </w:pPr>
            <w:r>
              <w:rPr>
                <w:rFonts w:ascii="Arial" w:cs="Arial" w:eastAsia="Arial" w:hAnsi="Arial"/>
                <w:sz w:val="17"/>
                <w:szCs w:val="17"/>
                <w:color w:val="auto"/>
              </w:rPr>
              <w:t>(1,673)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line="167" w:lineRule="exact"/>
              <w:rPr>
                <w:sz w:val="20"/>
                <w:szCs w:val="20"/>
                <w:color w:val="auto"/>
              </w:rPr>
            </w:pPr>
            <w:r>
              <w:rPr>
                <w:rFonts w:ascii="Arial" w:cs="Arial" w:eastAsia="Arial" w:hAnsi="Arial"/>
                <w:sz w:val="17"/>
                <w:szCs w:val="17"/>
                <w:color w:val="auto"/>
              </w:rPr>
              <w:t>695</w:t>
            </w:r>
          </w:p>
        </w:tc>
      </w:tr>
      <w:tr>
        <w:trPr>
          <w:trHeight w:val="230"/>
        </w:trPr>
        <w:tc>
          <w:tcPr>
            <w:tcW w:w="27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Phantom Interests in Net Income</w:t>
            </w:r>
          </w:p>
        </w:tc>
        <w:tc>
          <w:tcPr>
            <w:tcW w:w="18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administrative</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36"/>
        </w:trPr>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(4,028)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6 – Fair Value Measurements</w:t>
      </w:r>
      <w:r>
        <w:rPr>
          <w:rFonts w:ascii="Arial" w:cs="Arial" w:eastAsia="Arial" w:hAnsi="Arial"/>
          <w:sz w:val="17"/>
          <w:szCs w:val="17"/>
          <w:color w:val="auto"/>
        </w:rPr>
        <w:t xml:space="preserve"> for more information regarding the valuation of our derivative instruments.</w:t>
      </w:r>
    </w:p>
    <w:p>
      <w:pPr>
        <w:spacing w:after="0" w:line="200" w:lineRule="exact"/>
        <w:rPr>
          <w:sz w:val="20"/>
          <w:szCs w:val="20"/>
          <w:color w:val="auto"/>
        </w:rPr>
      </w:pPr>
    </w:p>
    <w:p>
      <w:pPr>
        <w:spacing w:after="0" w:line="343"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cost of revenue, sales and marketing, and general and administrative expenses are total stock-based compensation expenses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Pr>
          <w:p>
            <w:pPr>
              <w:spacing w:after="0"/>
              <w:rPr>
                <w:sz w:val="15"/>
                <w:szCs w:val="15"/>
                <w:color w:val="auto"/>
              </w:rPr>
            </w:pPr>
          </w:p>
        </w:tc>
        <w:tc>
          <w:tcPr>
            <w:tcW w:w="2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8"/>
        </w:trPr>
        <w:tc>
          <w:tcPr>
            <w:tcW w:w="43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2022</w:t>
            </w:r>
          </w:p>
        </w:tc>
      </w:tr>
      <w:tr>
        <w:trPr>
          <w:trHeight w:val="218"/>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r>
      <w:tr>
        <w:trPr>
          <w:trHeight w:val="217"/>
        </w:trPr>
        <w:tc>
          <w:tcPr>
            <w:tcW w:w="430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1,655</w:t>
            </w:r>
          </w:p>
        </w:tc>
      </w:tr>
      <w:tr>
        <w:trPr>
          <w:trHeight w:val="218"/>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4,039</w:t>
            </w:r>
          </w:p>
        </w:tc>
      </w:tr>
      <w:tr>
        <w:trPr>
          <w:trHeight w:val="210"/>
        </w:trPr>
        <w:tc>
          <w:tcPr>
            <w:tcW w:w="4300" w:type="dxa"/>
            <w:vAlign w:val="bottom"/>
          </w:tcPr>
          <w:p>
            <w:pPr>
              <w:ind w:left="20"/>
              <w:spacing w:after="0"/>
              <w:rPr>
                <w:sz w:val="20"/>
                <w:szCs w:val="20"/>
                <w:color w:val="auto"/>
              </w:rPr>
            </w:pPr>
            <w:r>
              <w:rPr>
                <w:rFonts w:ascii="Arial" w:cs="Arial" w:eastAsia="Arial" w:hAnsi="Arial"/>
                <w:sz w:val="17"/>
                <w:szCs w:val="17"/>
                <w:color w:val="auto"/>
              </w:rPr>
              <w:t>Total stock based-compensation expense</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3,575</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10,956</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7,190</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 expense for the three and nine months ended September 30, 2023 and 2022 includes expenses related to our MarketWise, Inc. 2021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Incentive Award Plan (the “2021 Incentive Award Plan”) our 2021 Employee Stock Purchase Plan (“ESPP”), and profits interests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Pr>
          <w:p>
            <w:pPr>
              <w:spacing w:after="0"/>
              <w:rPr>
                <w:sz w:val="15"/>
                <w:szCs w:val="15"/>
                <w:color w:val="auto"/>
              </w:rPr>
            </w:pPr>
          </w:p>
        </w:tc>
        <w:tc>
          <w:tcPr>
            <w:tcW w:w="2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8"/>
        </w:trPr>
        <w:tc>
          <w:tcPr>
            <w:tcW w:w="43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2022</w:t>
            </w:r>
          </w:p>
        </w:tc>
      </w:tr>
      <w:tr>
        <w:trPr>
          <w:trHeight w:val="218"/>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Incentive Award Plan</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6,828</w:t>
            </w:r>
          </w:p>
        </w:tc>
      </w:tr>
      <w:tr>
        <w:trPr>
          <w:trHeight w:val="217"/>
        </w:trPr>
        <w:tc>
          <w:tcPr>
            <w:tcW w:w="430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362</w:t>
            </w:r>
          </w:p>
        </w:tc>
      </w:tr>
      <w:tr>
        <w:trPr>
          <w:trHeight w:val="218"/>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Profits interests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430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3,575</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2,153</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10,956</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7,190</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Incentive Award Plan</w:t>
      </w:r>
    </w:p>
    <w:p>
      <w:pPr>
        <w:spacing w:after="0" w:line="163"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color w:val="auto"/>
        </w:rPr>
        <w:t>As of September 30, 2023, The Company has reserved a total of 33,960,802 shares of MarketWise Class A common stock for issuance pursuant to the 2021 Incentive Award Plan.</w:t>
      </w:r>
    </w:p>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nine months ended September 30, 2023, we granted 5,098,818 restricted stock units (“RSUs”) and 715,000 fully vested shares of Class A common stock to certain employees and service providers in aggregate under our 2021 Incentive Award Plan.</w:t>
      </w:r>
    </w:p>
    <w:p>
      <w:pPr>
        <w:spacing w:after="0" w:line="114" w:lineRule="exact"/>
        <w:rPr>
          <w:sz w:val="20"/>
          <w:szCs w:val="20"/>
          <w:color w:val="auto"/>
        </w:rPr>
      </w:pPr>
    </w:p>
    <w:p>
      <w:pPr>
        <w:ind w:right="20" w:firstLine="231"/>
        <w:spacing w:after="0" w:line="257" w:lineRule="auto"/>
        <w:rPr>
          <w:sz w:val="20"/>
          <w:szCs w:val="20"/>
          <w:color w:val="auto"/>
        </w:rPr>
      </w:pPr>
      <w:r>
        <w:rPr>
          <w:rFonts w:ascii="Arial" w:cs="Arial" w:eastAsia="Arial" w:hAnsi="Arial"/>
          <w:sz w:val="17"/>
          <w:szCs w:val="17"/>
          <w:color w:val="auto"/>
        </w:rPr>
        <w:t>For employees and service providers, both RSUs and stock appreciation rights (“SARs”) are primarily time-based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a corresponding number of the Company’s Class A common stock. The SARs will be settled in the Company’s Class A common stock upon exercise. The shares to be issued upon exercise of a SAR will have a total market value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SAR value calculated as (x) number of shares underlying such SAR, multiplied by (y) any excess of the Company’s share value on the date of exercise over the exercise price set in each individual grant notice.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RSU is the same as the Company’s share price on the date of grant. The fair value of the SARs was determined using a Black-Scholes model.</w:t>
      </w:r>
    </w:p>
    <w:p>
      <w:pPr>
        <w:spacing w:after="0" w:line="186"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color w:val="auto"/>
        </w:rPr>
        <w:t>The activities of the RSUs and SARs and the related weighted average grant-date fair value of the respective share classes, including granted, exercised and forfeited, from January 1, 2023 to September 30, 2023, are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3"/>
          </w:tcPr>
          <w:p>
            <w:pPr>
              <w:ind w:left="1700"/>
              <w:spacing w:after="0"/>
              <w:rPr>
                <w:sz w:val="20"/>
                <w:szCs w:val="20"/>
                <w:color w:val="auto"/>
              </w:rPr>
            </w:pPr>
            <w:r>
              <w:rPr>
                <w:rFonts w:ascii="Arial" w:cs="Arial" w:eastAsia="Arial" w:hAnsi="Arial"/>
                <w:sz w:val="14"/>
                <w:szCs w:val="14"/>
                <w:b w:val="1"/>
                <w:bCs w:val="1"/>
                <w:color w:val="auto"/>
              </w:rPr>
              <w:t>SARs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80" w:type="dxa"/>
            <w:vAlign w:val="bottom"/>
          </w:tcPr>
          <w:p>
            <w:pPr>
              <w:spacing w:after="0"/>
              <w:rPr>
                <w:sz w:val="10"/>
                <w:szCs w:val="10"/>
                <w:color w:val="auto"/>
              </w:rPr>
            </w:pPr>
          </w:p>
        </w:tc>
        <w:tc>
          <w:tcPr>
            <w:tcW w:w="1880" w:type="dxa"/>
            <w:vAlign w:val="bottom"/>
            <w:tcBorders>
              <w:top w:val="single" w:sz="8" w:color="auto"/>
            </w:tcBorders>
            <w:gridSpan w:val="2"/>
            <w:vMerge w:val="restart"/>
          </w:tcPr>
          <w:p>
            <w:pPr>
              <w:ind w:left="74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jc w:val="center"/>
              <w:ind w:right="59"/>
              <w:spacing w:after="0" w:line="126" w:lineRule="exact"/>
              <w:rPr>
                <w:sz w:val="20"/>
                <w:szCs w:val="20"/>
                <w:color w:val="auto"/>
              </w:rPr>
            </w:pPr>
            <w:r>
              <w:rPr>
                <w:rFonts w:ascii="Arial" w:cs="Arial" w:eastAsia="Arial" w:hAnsi="Arial"/>
                <w:sz w:val="14"/>
                <w:szCs w:val="14"/>
                <w:b w:val="1"/>
                <w:bCs w:val="1"/>
                <w:color w:val="auto"/>
                <w:w w:val="90"/>
              </w:rPr>
              <w:t>Weighted-Average Grant</w:t>
            </w:r>
          </w:p>
        </w:tc>
        <w:tc>
          <w:tcPr>
            <w:tcW w:w="80" w:type="dxa"/>
            <w:vAlign w:val="bottom"/>
          </w:tcPr>
          <w:p>
            <w:pPr>
              <w:spacing w:after="0"/>
              <w:rPr>
                <w:sz w:val="10"/>
                <w:szCs w:val="10"/>
                <w:color w:val="auto"/>
              </w:rPr>
            </w:pPr>
          </w:p>
        </w:tc>
        <w:tc>
          <w:tcPr>
            <w:tcW w:w="1900" w:type="dxa"/>
            <w:vAlign w:val="bottom"/>
            <w:tcBorders>
              <w:top w:val="single" w:sz="8" w:color="auto"/>
            </w:tcBorders>
            <w:gridSpan w:val="2"/>
            <w:vMerge w:val="restart"/>
          </w:tcPr>
          <w:p>
            <w:pPr>
              <w:ind w:left="760"/>
              <w:spacing w:after="0"/>
              <w:rPr>
                <w:sz w:val="20"/>
                <w:szCs w:val="20"/>
                <w:color w:val="auto"/>
              </w:rPr>
            </w:pPr>
            <w:r>
              <w:rPr>
                <w:rFonts w:ascii="Arial" w:cs="Arial" w:eastAsia="Arial" w:hAnsi="Arial"/>
                <w:sz w:val="14"/>
                <w:szCs w:val="14"/>
                <w:b w:val="1"/>
                <w:bCs w:val="1"/>
                <w:color w:val="auto"/>
              </w:rPr>
              <w:t>Units</w:t>
            </w:r>
          </w:p>
        </w:tc>
        <w:tc>
          <w:tcPr>
            <w:tcW w:w="180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88"/>
              </w:rPr>
              <w:t>Weighted-Average Grant Date</w:t>
            </w: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Date Fair Value</w:t>
            </w:r>
          </w:p>
        </w:tc>
        <w:tc>
          <w:tcPr>
            <w:tcW w:w="1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ind w:right="51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at January 1, 2023</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6,261,543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1,747,473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Arial" w:cs="Arial" w:eastAsia="Arial" w:hAnsi="Arial"/>
                <w:sz w:val="17"/>
                <w:szCs w:val="17"/>
                <w:color w:val="auto"/>
              </w:rPr>
              <w:t>Granted</w:t>
            </w:r>
          </w:p>
        </w:tc>
        <w:tc>
          <w:tcPr>
            <w:tcW w:w="1800" w:type="dxa"/>
            <w:vAlign w:val="bottom"/>
          </w:tcPr>
          <w:p>
            <w:pPr>
              <w:jc w:val="right"/>
              <w:spacing w:after="0"/>
              <w:rPr>
                <w:sz w:val="20"/>
                <w:szCs w:val="20"/>
                <w:color w:val="auto"/>
              </w:rPr>
            </w:pPr>
            <w:r>
              <w:rPr>
                <w:rFonts w:ascii="Arial" w:cs="Arial" w:eastAsia="Arial" w:hAnsi="Arial"/>
                <w:sz w:val="17"/>
                <w:szCs w:val="17"/>
                <w:color w:val="auto"/>
              </w:rPr>
              <w:t>5,098,818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 or 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(2,259,892)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(604,232)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8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(92,885)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at September 30,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8,496,237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1,654,588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Exercisable at September 30, 2023</w:t>
            </w: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88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8"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w:t>
            </w:r>
          </w:p>
        </w:tc>
        <w:tc>
          <w:tcPr>
            <w:tcW w:w="1820" w:type="dxa"/>
            <w:vAlign w:val="bottom"/>
          </w:tcPr>
          <w:p>
            <w:pPr>
              <w:jc w:val="right"/>
              <w:spacing w:after="0" w:line="188" w:lineRule="exact"/>
              <w:rPr>
                <w:sz w:val="20"/>
                <w:szCs w:val="20"/>
                <w:color w:val="auto"/>
              </w:rPr>
            </w:pPr>
            <w:r>
              <w:rPr>
                <w:rFonts w:ascii="Arial" w:cs="Arial" w:eastAsia="Arial" w:hAnsi="Arial"/>
                <w:sz w:val="17"/>
                <w:szCs w:val="17"/>
                <w:color w:val="auto"/>
              </w:rPr>
              <w:t>829,619</w:t>
            </w:r>
          </w:p>
        </w:tc>
        <w:tc>
          <w:tcPr>
            <w:tcW w:w="80" w:type="dxa"/>
            <w:vAlign w:val="bottom"/>
          </w:tcPr>
          <w:p>
            <w:pPr>
              <w:spacing w:after="0"/>
              <w:rPr>
                <w:sz w:val="16"/>
                <w:szCs w:val="16"/>
                <w:color w:val="auto"/>
              </w:rPr>
            </w:pPr>
          </w:p>
        </w:tc>
        <w:tc>
          <w:tcPr>
            <w:tcW w:w="360" w:type="dxa"/>
            <w:vAlign w:val="bottom"/>
          </w:tcPr>
          <w:p>
            <w:pPr>
              <w:ind w:left="20"/>
              <w:spacing w:after="0" w:line="188" w:lineRule="exact"/>
              <w:rPr>
                <w:sz w:val="20"/>
                <w:szCs w:val="20"/>
                <w:color w:val="auto"/>
              </w:rPr>
            </w:pPr>
            <w:r>
              <w:rPr>
                <w:rFonts w:ascii="Arial" w:cs="Arial" w:eastAsia="Arial" w:hAnsi="Arial"/>
                <w:sz w:val="17"/>
                <w:szCs w:val="17"/>
                <w:color w:val="auto"/>
              </w:rPr>
              <w:t>$</w:t>
            </w:r>
          </w:p>
        </w:tc>
        <w:tc>
          <w:tcPr>
            <w:tcW w:w="1440" w:type="dxa"/>
            <w:vAlign w:val="bottom"/>
          </w:tcPr>
          <w:p>
            <w:pPr>
              <w:jc w:val="right"/>
              <w:spacing w:after="0" w:line="188" w:lineRule="exact"/>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stock compensation expense related to the RSU and SAR grants was $2,848 and $2,086 for the three months ended September 30, 2023 and 2022, respectively, and $8,893 and $6,828 for the nine months ended September 30, 2023 and 2022, respectively. As of September 30, 2023, 829,619 of the SARs were exercisable and they have a remaining contractual term of 8.0 years. For the fully vested shares, during the nine months ended September 30, 2023, we issued 417,684 shares of Class A common stock after withholding for taxes, resulting in compensation expense of $1,144.</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63" w:lineRule="exact"/>
        <w:rPr>
          <w:sz w:val="20"/>
          <w:szCs w:val="20"/>
          <w:color w:val="auto"/>
        </w:rPr>
      </w:pPr>
    </w:p>
    <w:p>
      <w:pPr>
        <w:jc w:val="both"/>
        <w:ind w:right="300"/>
        <w:spacing w:after="0" w:line="264" w:lineRule="auto"/>
        <w:rPr>
          <w:sz w:val="20"/>
          <w:szCs w:val="20"/>
          <w:color w:val="auto"/>
        </w:rPr>
      </w:pPr>
      <w:r>
        <w:rPr>
          <w:rFonts w:ascii="Arial" w:cs="Arial" w:eastAsia="Arial" w:hAnsi="Arial"/>
          <w:sz w:val="17"/>
          <w:szCs w:val="17"/>
          <w:color w:val="auto"/>
        </w:rPr>
        <w:t>As of September 30, 2023, The Company has reserved for issuance a total of 6,728,300 shares of Class A common stock for the ESPP. The most recent offering period began on July 1, 2023 and ends on December 31, 2023. As of September 30, 2023, $230 has been withheld on behalf of employees for the December 31, 2023 purchase date.</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recognized $84 and $67 of stock-based compensation expense related to the ESPP during the three months ended September 30, 2023 and 2022, respectively, and $276 and $362 for the nine months ended September 30, 2023 and 2022, respectively. On each purchase date, eligible employees may purchase the shares at a price per share equal to 85% of the lesser of the fair market value of the Company’s Class A common stock on (1) the first trading day of the offering period, or (2) the last trading day of the offering period. The Company issued 231,165 shares of Class A common stock for $332,184 related to employee purchases under the ESPP during the nine months ended September 30, 2023.</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Profits Interests</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 xml:space="preserve">During the three months ended September 30, 2023, the Company granted fully vested profits interests in a subsidiary of the Company to an employee. The profits interests are accounted for under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are classified as liability awards</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that the awards be remeasured to fair value at the end of each reporting period until the liability is settled. The Company recognized $643 of stock-based compensation expense related to the profits interests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Earnings Per Share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computation of basic and diluted earnings per share for the three and nine months ended September 30,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4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4"/>
        </w:trPr>
        <w:tc>
          <w:tcPr>
            <w:tcW w:w="5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8"/>
        </w:trPr>
        <w:tc>
          <w:tcPr>
            <w:tcW w:w="58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r>
      <w:tr>
        <w:trPr>
          <w:trHeight w:val="205"/>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per share:</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Numerator:</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5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73,569</w:t>
            </w:r>
          </w:p>
        </w:tc>
      </w:tr>
      <w:tr>
        <w:trPr>
          <w:trHeight w:val="217"/>
        </w:trPr>
        <w:tc>
          <w:tcPr>
            <w:tcW w:w="58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Less: 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20,521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59,875</w:t>
            </w:r>
          </w:p>
        </w:tc>
      </w:tr>
      <w:tr>
        <w:trPr>
          <w:trHeight w:val="23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income attributable to Class A common stockholders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8"/>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7"/>
        </w:trPr>
        <w:tc>
          <w:tcPr>
            <w:tcW w:w="5800" w:type="dxa"/>
            <w:vAlign w:val="bottom"/>
          </w:tcPr>
          <w:p>
            <w:pPr>
              <w:ind w:left="120"/>
              <w:spacing w:after="0"/>
              <w:rPr>
                <w:sz w:val="20"/>
                <w:szCs w:val="20"/>
                <w:color w:val="auto"/>
              </w:rPr>
            </w:pPr>
            <w:r>
              <w:rPr>
                <w:rFonts w:ascii="Arial" w:cs="Arial" w:eastAsia="Arial" w:hAnsi="Arial"/>
                <w:sz w:val="17"/>
                <w:szCs w:val="17"/>
                <w:color w:val="auto"/>
              </w:rPr>
              <w:t>Weighted average shares outstanding (in thousands)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32,910</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23,533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23,233</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2"/>
        </w:trPr>
        <w:tc>
          <w:tcPr>
            <w:tcW w:w="5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7"/>
        </w:trPr>
        <w:tc>
          <w:tcPr>
            <w:tcW w:w="5800" w:type="dxa"/>
            <w:vAlign w:val="bottom"/>
          </w:tcPr>
          <w:p>
            <w:pPr>
              <w:ind w:left="120"/>
              <w:spacing w:after="0"/>
              <w:rPr>
                <w:sz w:val="20"/>
                <w:szCs w:val="20"/>
                <w:color w:val="auto"/>
              </w:rPr>
            </w:pPr>
            <w:r>
              <w:rPr>
                <w:rFonts w:ascii="Arial" w:cs="Arial" w:eastAsia="Arial" w:hAnsi="Arial"/>
                <w:sz w:val="17"/>
                <w:szCs w:val="17"/>
                <w:color w:val="auto"/>
              </w:rPr>
              <w:t>Basic earnings per share</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0.59</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2"/>
        </w:trPr>
        <w:tc>
          <w:tcPr>
            <w:tcW w:w="5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7"/>
        </w:trPr>
        <w:tc>
          <w:tcPr>
            <w:tcW w:w="580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12,044</w:t>
            </w:r>
          </w:p>
        </w:tc>
        <w:tc>
          <w:tcPr>
            <w:tcW w:w="8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16,509</w:t>
            </w:r>
          </w:p>
        </w:tc>
        <w:tc>
          <w:tcPr>
            <w:tcW w:w="8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52,392</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73,569</w:t>
            </w:r>
          </w:p>
        </w:tc>
      </w:tr>
      <w:tr>
        <w:trPr>
          <w:trHeight w:val="218"/>
        </w:trPr>
        <w:tc>
          <w:tcPr>
            <w:tcW w:w="5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20,521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59,875</w:t>
            </w:r>
          </w:p>
        </w:tc>
      </w:tr>
      <w:tr>
        <w:trPr>
          <w:trHeight w:val="210"/>
        </w:trPr>
        <w:tc>
          <w:tcPr>
            <w:tcW w:w="5800" w:type="dxa"/>
            <w:vAlign w:val="bottom"/>
          </w:tcPr>
          <w:p>
            <w:pPr>
              <w:ind w:left="120"/>
              <w:spacing w:after="0"/>
              <w:rPr>
                <w:sz w:val="20"/>
                <w:szCs w:val="20"/>
                <w:color w:val="auto"/>
              </w:rPr>
            </w:pPr>
            <w:r>
              <w:rPr>
                <w:rFonts w:ascii="Arial" w:cs="Arial" w:eastAsia="Arial" w:hAnsi="Arial"/>
                <w:sz w:val="17"/>
                <w:szCs w:val="17"/>
                <w:color w:val="auto"/>
              </w:rPr>
              <w:t>Net income attributable to Class A common stockholders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13,694</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2"/>
        </w:trPr>
        <w:tc>
          <w:tcPr>
            <w:tcW w:w="5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2"/>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Weighted average shares outstanding (in thousands)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23,267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2"/>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Diluted earnings per share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Company’s potentially dilutive securities and their impact on the computation of diluted earnings per share is as follows:</w:t>
      </w:r>
    </w:p>
    <w:p>
      <w:pPr>
        <w:spacing w:after="0" w:line="163" w:lineRule="exact"/>
        <w:rPr>
          <w:sz w:val="20"/>
          <w:szCs w:val="20"/>
          <w:color w:val="auto"/>
        </w:rPr>
      </w:pPr>
    </w:p>
    <w:p>
      <w:pPr>
        <w:ind w:left="620" w:right="240" w:hanging="310"/>
        <w:spacing w:after="0" w:line="288" w:lineRule="auto"/>
        <w:tabs>
          <w:tab w:leader="none" w:pos="6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Public and private placement warrants: the public and private placement warrants were "out of the money" during the three and nine months ended September 30, 2022, therefore, net income per share excludes any impact of the 20,699,993 public warrants and 10,280,000 private placement warrants. The warrants were exchanged in September 2022 and there are no warrants outstanding as of September 30, 2023.</w:t>
      </w:r>
    </w:p>
    <w:p>
      <w:pPr>
        <w:spacing w:after="0" w:line="105" w:lineRule="exact"/>
        <w:rPr>
          <w:rFonts w:ascii="Arial" w:cs="Arial" w:eastAsia="Arial" w:hAnsi="Arial"/>
          <w:sz w:val="16"/>
          <w:szCs w:val="16"/>
          <w:color w:val="auto"/>
        </w:rPr>
      </w:pPr>
    </w:p>
    <w:p>
      <w:pPr>
        <w:ind w:left="620" w:right="40" w:hanging="310"/>
        <w:spacing w:after="0" w:line="264"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Sponsor and MarketWise management member earnout shares: the 3,051,000 Sponsor earnout shares and the 2,000,000 MarketWise management member earnout shares granted in connection with the closing of the Transactions held in escrow are excluded from the earnings per share computation in both periods since the earnout contingency has not been met.</w:t>
      </w:r>
    </w:p>
    <w:p>
      <w:pPr>
        <w:spacing w:after="0" w:line="123" w:lineRule="exact"/>
        <w:rPr>
          <w:rFonts w:ascii="Arial" w:cs="Arial" w:eastAsia="Arial" w:hAnsi="Arial"/>
          <w:sz w:val="17"/>
          <w:szCs w:val="17"/>
          <w:color w:val="auto"/>
        </w:rPr>
      </w:pPr>
    </w:p>
    <w:p>
      <w:pPr>
        <w:ind w:left="620" w:right="60" w:hanging="310"/>
        <w:spacing w:after="0" w:line="264"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Restricted stock units: The basic earnings per share calculation includes the impact of vested RSUs. The diluted earnings per share calculation includes the impact of unvested RSUs where the impact is dilutive, unless the Company has a net loss. The diluted earnings per share calculations above exclude certain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performance conditions, since the performance conditions were not met, and such RSUs were forfeited as of June 30, 2023.</w:t>
      </w:r>
    </w:p>
    <w:p>
      <w:pPr>
        <w:spacing w:after="0" w:line="163" w:lineRule="exact"/>
        <w:rPr>
          <w:sz w:val="20"/>
          <w:szCs w:val="20"/>
          <w:color w:val="auto"/>
        </w:rPr>
      </w:pPr>
    </w:p>
    <w:p>
      <w:pPr>
        <w:ind w:left="620" w:right="480" w:hanging="310"/>
        <w:spacing w:after="0" w:line="276"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Stock appreciation rights: The diluted earnings per share calculation for the three and nine months ended September 30, 2023 and 2022 excludes the impact of SARs since the effect was antidilutive.</w:t>
      </w:r>
    </w:p>
    <w:p>
      <w:pPr>
        <w:spacing w:after="0" w:line="113" w:lineRule="exact"/>
        <w:rPr>
          <w:rFonts w:ascii="Arial" w:cs="Arial" w:eastAsia="Arial" w:hAnsi="Arial"/>
          <w:sz w:val="17"/>
          <w:szCs w:val="17"/>
          <w:color w:val="auto"/>
        </w:rPr>
      </w:pPr>
    </w:p>
    <w:p>
      <w:pPr>
        <w:ind w:left="620" w:right="40" w:hanging="310"/>
        <w:spacing w:after="0" w:line="264"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ESPP: The basic earnings per share calculation includes the impact of the shares that were issued under the ESPP as of June 30, 2023 and 2022. The diluted earnings per share calculation includes the impact of dilutive shares and excludes the impact of antidilutive shares under the ESPP as of September 30, 2023 and 2022.</w:t>
      </w:r>
    </w:p>
    <w:p>
      <w:pPr>
        <w:spacing w:after="0" w:line="349" w:lineRule="exact"/>
        <w:rPr>
          <w:rFonts w:ascii="Arial" w:cs="Arial" w:eastAsia="Arial" w:hAnsi="Arial"/>
          <w:sz w:val="17"/>
          <w:szCs w:val="17"/>
          <w:color w:val="auto"/>
        </w:rPr>
      </w:pPr>
    </w:p>
    <w:p>
      <w:pPr>
        <w:ind w:left="380" w:hanging="378"/>
        <w:spacing w:after="0"/>
        <w:tabs>
          <w:tab w:leader="none" w:pos="38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67"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w:t>
      </w:r>
    </w:p>
    <w:p>
      <w:pPr>
        <w:spacing w:after="0" w:line="89"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Our effective income tax rate was 5.4% and 3.8% for the three and nine months ended September 30, 2023, respectively, and 7.7% and 5.1% for the three and nine months ended September 30, 2022, respectively. The main driver of the effective income tax rate for the three and nine months ended September 30, 2022 was the income allocation to the non-controlling interest. The main driver of the decrease in the effective tax rate from the three months ended September 30, 2022 is the change in the income allocation to the non-controlling interest. Our effective tax rate for the three and nine months ended September 30, 2023 differs from the U.S. federal statutory rate primarily because we generally do not record income taxes for the noncontrolling portion of pre-tax income.</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29"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$29,088 for certain deferred tax assets that are not more likely than not to be realized.</w:t>
      </w:r>
    </w:p>
    <w:p>
      <w:pPr>
        <w:spacing w:after="0" w:line="123"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As part of the reverse capitalization in 2021, we entered into a Tax Receivable Agreement (“TRA”) with certain stockholders. Pursuant to our election under Section 754 of the Internal Revenue Code of 1986,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represents approximately 85% of the calculated tax savings based on basis adjustments and other carryforward attributes assumed that we anticipate being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three and nine months ended September 30, 2023, Members of MarketWise, LLC exchanged an aggregate of 1,500,000 and 2,750,000 common units of MarketWise, LLC (“LLC Units”) together with an equal number of shares of Class B common stock for 1,500,000 and 2,750,000 newly-issued shares of Class A common stock, respectively. As a result, we have recorded a liability of $2,096 under the TRA as of September 30, 2023. No payments have been made under the TRA and no payments are expected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we had no unrecognized tax positions and believe there will be no changes to uncertain tax positions within the next 12 months.</w:t>
      </w:r>
    </w:p>
    <w:p>
      <w:pPr>
        <w:spacing w:after="0" w:line="200" w:lineRule="exact"/>
        <w:rPr>
          <w:sz w:val="20"/>
          <w:szCs w:val="20"/>
          <w:color w:val="auto"/>
        </w:rPr>
      </w:pPr>
    </w:p>
    <w:p>
      <w:pPr>
        <w:spacing w:after="0" w:line="35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Related Party Transactions</w:t>
      </w:r>
    </w:p>
    <w:p>
      <w:pPr>
        <w:spacing w:after="0" w:line="167" w:lineRule="exact"/>
        <w:rPr>
          <w:sz w:val="20"/>
          <w:szCs w:val="20"/>
          <w:color w:val="auto"/>
        </w:rPr>
      </w:pPr>
    </w:p>
    <w:p>
      <w:pPr>
        <w:ind w:right="340"/>
        <w:spacing w:after="0" w:line="345" w:lineRule="auto"/>
        <w:rPr>
          <w:sz w:val="20"/>
          <w:szCs w:val="20"/>
          <w:color w:val="auto"/>
        </w:rPr>
      </w:pPr>
      <w:r>
        <w:rPr>
          <w:rFonts w:ascii="Arial" w:cs="Arial" w:eastAsia="Arial" w:hAnsi="Arial"/>
          <w:sz w:val="15"/>
          <w:szCs w:val="15"/>
          <w:color w:val="auto"/>
        </w:rPr>
        <w:t>We have certain revenue share agreements with related parties. Accordingly, we recognized revenue from related parties of $351 and $637 for the three months ended September 30, 2023 and 2022, respectively, and $1,250 and $1,363 for the nine months ended September 30, 2023 and 2022, respectively.</w:t>
      </w:r>
    </w:p>
    <w:p>
      <w:pPr>
        <w:spacing w:after="0" w:line="68"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We incurred costs related to revenue share agreements with related parties which are capitalized within deferred contract acquisition costs. We capitalized $1,952 and $397 for the three months ended September 30, 2023 and 2022, respectively, and $4,039 and $2,167 for the nine months ended September 30, 2023 and 2022, respectively.</w:t>
      </w:r>
    </w:p>
    <w:p>
      <w:pPr>
        <w:spacing w:after="0" w:line="123"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Additionally, a related party provided call center support and other services to the Company for which we recorded an expense within cost of revenue of $80 and $186 for the three months ended September 30, 2023 and 2022, respectively, and $433 and $680 for the nine months ended September 30, 2023 and 2022, respectively.</w:t>
      </w:r>
    </w:p>
    <w:p>
      <w:pPr>
        <w:spacing w:after="0" w:line="12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related party provided marketing and copywriting services to the Company for which we recorded an expense within cost of revenue of $644 and $1,229 for the three and nine months ended September 30, 2023, respectively, and $86 for the three months ended September 30, 2022.</w:t>
      </w:r>
    </w:p>
    <w:p>
      <w:pPr>
        <w:spacing w:after="0" w:line="114"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A related party also provided certain corporate functions to the Company and the costs of these services are charged to us. We recorded $24 and $21 for the three months ended September 30, 2023 and 2022, respectively, and $78 and $64 for the nine months ended September 30, 2023 and 2022, respectively, within related party expense in the accompanying condensed consolidated statement of operations. We held balances of $1,015 and $1,043 as of September 30, 2023 and December 31, 2022, respectively, of related party payables related to revenue share expenses, call center support, and the services noted above. The balances with our related party are presented net and are included in related party payables, net in the condensed consolidated balance sheet.</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earned fees and provided certain accounting and marketing services to companies owned by certain of MarketWise’s Class B stockholders. As a result, we recognized $97 and $225 in other income, net for the three months ended September 30, 2023 and 2022, respectively, and $604 and $478 for the nine months ended September 30, 2023 and 2022, respectively. Related party receivables related to these services were $97 and $403 as of September 30, 2023 and December 31, 2022, respectively.</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We lease offices from related parties. Lease payments made to related parties were $441 and $418 for the three months ended September 30, 2023 and 2022, respectively, and $1,309 and $1,337 for the nine months ended September 30, 2023 and 2022, respectively. Rent expense of $602 and $588 for the three months ended September 30, 2023 and 2022, respectively, and $1,802 and $1,729 for the nine months ended September 30, 2023 and 2022, respectively, related to leases with related parties, and was recognized in general and administrative expenses.</w:t>
      </w:r>
    </w:p>
    <w:p>
      <w:pPr>
        <w:spacing w:after="0" w:line="1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September 30, 2023 and December 31, 2022, ROU assets of $7,804 and $9,210 and lease liabilities of $6,124 and $7,041, respectively, are associated with leases with related parties.</w:t>
      </w:r>
    </w:p>
    <w:p>
      <w:pPr>
        <w:spacing w:after="0" w:line="114"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In April 2020 we provided a loan to a related party and recognized a related party note receivable from the unitholder of $1,148. We recognized $6 and $16 in interest income for the three and nine months ended September 30, 2022, respectively. This loan was repaid in October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Supplemental Cash Flow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disclosures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84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
        </w:trPr>
        <w:tc>
          <w:tcPr>
            <w:tcW w:w="7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78"/>
        </w:trPr>
        <w:tc>
          <w:tcPr>
            <w:tcW w:w="76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05"/>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7660" w:type="dxa"/>
            <w:vAlign w:val="bottom"/>
          </w:tcPr>
          <w:p>
            <w:pPr>
              <w:ind w:left="20"/>
              <w:spacing w:after="0"/>
              <w:rPr>
                <w:sz w:val="20"/>
                <w:szCs w:val="20"/>
                <w:color w:val="auto"/>
              </w:rPr>
            </w:pPr>
            <w:r>
              <w:rPr>
                <w:rFonts w:ascii="Arial" w:cs="Arial" w:eastAsia="Arial" w:hAnsi="Arial"/>
                <w:sz w:val="17"/>
                <w:szCs w:val="17"/>
                <w:color w:val="auto"/>
              </w:rPr>
              <w:t>Cash paid for interest</w:t>
            </w:r>
          </w:p>
        </w:tc>
        <w:tc>
          <w:tcPr>
            <w:tcW w:w="1040" w:type="dxa"/>
            <w:vAlign w:val="bottom"/>
          </w:tcPr>
          <w:p>
            <w:pPr>
              <w:jc w:val="right"/>
              <w:ind w:right="86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675</w:t>
            </w:r>
          </w:p>
        </w:tc>
        <w:tc>
          <w:tcPr>
            <w:tcW w:w="8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589</w:t>
            </w:r>
          </w:p>
        </w:tc>
        <w:tc>
          <w:tcPr>
            <w:tcW w:w="80" w:type="dxa"/>
            <w:vAlign w:val="bottom"/>
          </w:tcPr>
          <w:p>
            <w:pPr>
              <w:spacing w:after="0"/>
              <w:rPr>
                <w:sz w:val="18"/>
                <w:szCs w:val="18"/>
                <w:color w:val="auto"/>
              </w:rPr>
            </w:pPr>
          </w:p>
        </w:tc>
      </w:tr>
      <w:tr>
        <w:trPr>
          <w:trHeight w:val="21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7"/>
        </w:trPr>
        <w:tc>
          <w:tcPr>
            <w:tcW w:w="7660" w:type="dxa"/>
            <w:vAlign w:val="bottom"/>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(1,486)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(1,731)</w:t>
            </w:r>
          </w:p>
        </w:tc>
        <w:tc>
          <w:tcPr>
            <w:tcW w:w="80" w:type="dxa"/>
            <w:vAlign w:val="bottom"/>
          </w:tcPr>
          <w:p>
            <w:pPr>
              <w:spacing w:after="0"/>
              <w:rPr>
                <w:sz w:val="18"/>
                <w:szCs w:val="18"/>
                <w:color w:val="auto"/>
              </w:rPr>
            </w:pPr>
          </w:p>
        </w:tc>
      </w:tr>
      <w:tr>
        <w:trPr>
          <w:trHeight w:val="218"/>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right-of-use assets obtained in exchange for lease obligations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80" w:type="dxa"/>
            <w:vAlign w:val="bottom"/>
            <w:shd w:val="clear" w:color="auto" w:fill="CCEEFF"/>
          </w:tcPr>
          <w:p>
            <w:pPr>
              <w:spacing w:after="0"/>
              <w:rPr>
                <w:sz w:val="18"/>
                <w:szCs w:val="18"/>
                <w:color w:val="auto"/>
              </w:rPr>
            </w:pPr>
          </w:p>
        </w:tc>
      </w:tr>
      <w:tr>
        <w:trPr>
          <w:trHeight w:val="217"/>
        </w:trPr>
        <w:tc>
          <w:tcPr>
            <w:tcW w:w="7660" w:type="dxa"/>
            <w:vAlign w:val="bottom"/>
          </w:tcPr>
          <w:p>
            <w:pPr>
              <w:ind w:left="220"/>
              <w:spacing w:after="0"/>
              <w:rPr>
                <w:sz w:val="20"/>
                <w:szCs w:val="20"/>
                <w:color w:val="auto"/>
              </w:rPr>
            </w:pPr>
            <w:r>
              <w:rPr>
                <w:rFonts w:ascii="Arial" w:cs="Arial" w:eastAsia="Arial" w:hAnsi="Arial"/>
                <w:sz w:val="17"/>
                <w:szCs w:val="17"/>
                <w:color w:val="auto"/>
              </w:rPr>
              <w:t>Operating lease right-of-use assets obtained in exchange for lease obligations from acquisitions</w:t>
            </w:r>
          </w:p>
        </w:tc>
        <w:tc>
          <w:tcPr>
            <w:tcW w:w="10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8"/>
                <w:szCs w:val="18"/>
                <w:color w:val="auto"/>
              </w:rPr>
            </w:pPr>
          </w:p>
        </w:tc>
      </w:tr>
      <w:tr>
        <w:trPr>
          <w:trHeight w:val="193"/>
        </w:trPr>
        <w:tc>
          <w:tcPr>
            <w:tcW w:w="76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766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software included in accounts payable</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8"/>
                <w:szCs w:val="18"/>
                <w:color w:val="auto"/>
              </w:rPr>
            </w:pPr>
          </w:p>
        </w:tc>
      </w:tr>
      <w:tr>
        <w:trPr>
          <w:trHeight w:val="167"/>
        </w:trPr>
        <w:tc>
          <w:tcPr>
            <w:tcW w:w="7660" w:type="dxa"/>
            <w:vAlign w:val="bottom"/>
          </w:tcPr>
          <w:p>
            <w:pPr>
              <w:ind w:left="20"/>
              <w:spacing w:after="0" w:line="167" w:lineRule="exact"/>
              <w:rPr>
                <w:sz w:val="20"/>
                <w:szCs w:val="20"/>
                <w:color w:val="auto"/>
              </w:rPr>
            </w:pPr>
            <w:r>
              <w:rPr>
                <w:rFonts w:ascii="Arial" w:cs="Arial" w:eastAsia="Arial" w:hAnsi="Arial"/>
                <w:sz w:val="17"/>
                <w:szCs w:val="17"/>
                <w:color w:val="auto"/>
                <w:w w:val="94"/>
              </w:rPr>
              <w:t>Recording of deferred tax assets and capital contribution related to exchanges of Class B common stock to</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7"/>
                <w:szCs w:val="17"/>
                <w:color w:val="auto"/>
              </w:rPr>
              <w:t>Class A common stock</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2,466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44"/>
        </w:trPr>
        <w:tc>
          <w:tcPr>
            <w:tcW w:w="76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85"/>
        </w:trPr>
        <w:tc>
          <w:tcPr>
            <w:tcW w:w="76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w w:val="95"/>
              </w:rPr>
              <w:t>As of September 30,</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92"/>
        </w:trPr>
        <w:tc>
          <w:tcPr>
            <w:tcW w:w="76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7"/>
                <w:szCs w:val="17"/>
                <w:b w:val="1"/>
                <w:bCs w:val="1"/>
                <w:color w:val="auto"/>
              </w:rPr>
              <w:t>Reconciliation of Cash and Cash Equivalents and Restricted Cash:</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194,023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147,216</w:t>
            </w:r>
          </w:p>
        </w:tc>
        <w:tc>
          <w:tcPr>
            <w:tcW w:w="80" w:type="dxa"/>
            <w:vAlign w:val="bottom"/>
            <w:shd w:val="clear" w:color="auto" w:fill="CCEEFF"/>
          </w:tcPr>
          <w:p>
            <w:pPr>
              <w:spacing w:after="0"/>
              <w:rPr>
                <w:sz w:val="18"/>
                <w:szCs w:val="18"/>
                <w:color w:val="auto"/>
              </w:rPr>
            </w:pPr>
          </w:p>
        </w:tc>
      </w:tr>
      <w:tr>
        <w:trPr>
          <w:trHeight w:val="217"/>
        </w:trPr>
        <w:tc>
          <w:tcPr>
            <w:tcW w:w="766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0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36"/>
        </w:trPr>
        <w:tc>
          <w:tcPr>
            <w:tcW w:w="7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194,023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147,216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Stockholders’ Equity</w:t>
      </w:r>
    </w:p>
    <w:p>
      <w:pPr>
        <w:spacing w:after="0" w:line="16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capital stock consists of (i) issued and outstanding Class A common stock with a par value of $0.0001 per share, and (ii) issued and outstanding Class B common stock with a par value of $0.0001 per share.</w:t>
      </w:r>
    </w:p>
    <w:p>
      <w:pPr>
        <w:spacing w:after="0" w:line="114"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table set forth below reflects information about the Company’s equity, as of September 30, 2023. The 3,051,000 Sponsor earnout shares held in escrow and the 2,000,000 management member earnout shares are considered contingently issuable shares and therefore excluded from the number of Class A common stock issued and outstanding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1900" w:type="dxa"/>
            <w:vAlign w:val="bottom"/>
            <w:gridSpan w:val="2"/>
          </w:tcPr>
          <w:p>
            <w:pPr>
              <w:ind w:left="580"/>
              <w:spacing w:after="0"/>
              <w:rPr>
                <w:sz w:val="20"/>
                <w:szCs w:val="20"/>
                <w:color w:val="auto"/>
              </w:rPr>
            </w:pPr>
            <w:r>
              <w:rPr>
                <w:rFonts w:ascii="Arial" w:cs="Arial" w:eastAsia="Arial" w:hAnsi="Arial"/>
                <w:sz w:val="14"/>
                <w:szCs w:val="14"/>
                <w:b w:val="1"/>
                <w:bCs w:val="1"/>
                <w:color w:val="auto"/>
              </w:rPr>
              <w:t>Authorized</w:t>
            </w:r>
          </w:p>
        </w:tc>
        <w:tc>
          <w:tcPr>
            <w:tcW w:w="1900" w:type="dxa"/>
            <w:vAlign w:val="bottom"/>
            <w:gridSpan w:val="2"/>
          </w:tcPr>
          <w:p>
            <w:pPr>
              <w:ind w:left="720"/>
              <w:spacing w:after="0"/>
              <w:rPr>
                <w:sz w:val="20"/>
                <w:szCs w:val="20"/>
                <w:color w:val="auto"/>
              </w:rPr>
            </w:pPr>
            <w:r>
              <w:rPr>
                <w:rFonts w:ascii="Arial" w:cs="Arial" w:eastAsia="Arial" w:hAnsi="Arial"/>
                <w:sz w:val="14"/>
                <w:szCs w:val="14"/>
                <w:b w:val="1"/>
                <w:bCs w:val="1"/>
                <w:color w:val="auto"/>
              </w:rPr>
              <w:t>Issued</w:t>
            </w:r>
          </w:p>
        </w:tc>
        <w:tc>
          <w:tcPr>
            <w:tcW w:w="1800" w:type="dxa"/>
            <w:vAlign w:val="bottom"/>
          </w:tcPr>
          <w:p>
            <w:pPr>
              <w:jc w:val="right"/>
              <w:ind w:right="458"/>
              <w:spacing w:after="0"/>
              <w:rPr>
                <w:sz w:val="20"/>
                <w:szCs w:val="20"/>
                <w:color w:val="auto"/>
              </w:rPr>
            </w:pPr>
            <w:r>
              <w:rPr>
                <w:rFonts w:ascii="Arial" w:cs="Arial" w:eastAsia="Arial" w:hAnsi="Arial"/>
                <w:sz w:val="14"/>
                <w:szCs w:val="14"/>
                <w:b w:val="1"/>
                <w:bCs w:val="1"/>
                <w:color w:val="auto"/>
              </w:rPr>
              <w:t>Outstanding</w:t>
            </w:r>
          </w:p>
        </w:tc>
      </w:tr>
      <w:tr>
        <w:trPr>
          <w:trHeight w:val="24"/>
        </w:trPr>
        <w:tc>
          <w:tcPr>
            <w:tcW w:w="5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 Class A</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950,000,000</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34,096,437</w:t>
            </w: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34,096,437</w:t>
            </w:r>
          </w:p>
        </w:tc>
      </w:tr>
      <w:tr>
        <w:trPr>
          <w:trHeight w:val="217"/>
        </w:trPr>
        <w:tc>
          <w:tcPr>
            <w:tcW w:w="5640" w:type="dxa"/>
            <w:vAlign w:val="bottom"/>
          </w:tcPr>
          <w:p>
            <w:pPr>
              <w:ind w:left="20"/>
              <w:spacing w:after="0"/>
              <w:rPr>
                <w:sz w:val="20"/>
                <w:szCs w:val="20"/>
                <w:color w:val="auto"/>
              </w:rPr>
            </w:pPr>
            <w:r>
              <w:rPr>
                <w:rFonts w:ascii="Arial" w:cs="Arial" w:eastAsia="Arial" w:hAnsi="Arial"/>
                <w:sz w:val="17"/>
                <w:szCs w:val="17"/>
                <w:color w:val="auto"/>
              </w:rPr>
              <w:t>Common stock – Class B</w:t>
            </w:r>
          </w:p>
        </w:tc>
        <w:tc>
          <w:tcPr>
            <w:tcW w:w="1820" w:type="dxa"/>
            <w:vAlign w:val="bottom"/>
          </w:tcPr>
          <w:p>
            <w:pPr>
              <w:jc w:val="right"/>
              <w:spacing w:after="0"/>
              <w:rPr>
                <w:sz w:val="20"/>
                <w:szCs w:val="20"/>
                <w:color w:val="auto"/>
              </w:rPr>
            </w:pPr>
            <w:r>
              <w:rPr>
                <w:rFonts w:ascii="Arial" w:cs="Arial" w:eastAsia="Arial" w:hAnsi="Arial"/>
                <w:sz w:val="17"/>
                <w:szCs w:val="17"/>
                <w:color w:val="auto"/>
              </w:rPr>
              <w:t>300,000,000</w:t>
            </w:r>
          </w:p>
        </w:tc>
        <w:tc>
          <w:tcPr>
            <w:tcW w:w="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288,342,303</w:t>
            </w:r>
          </w:p>
        </w:tc>
        <w:tc>
          <w:tcPr>
            <w:tcW w:w="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288,342,303</w:t>
            </w:r>
          </w:p>
        </w:tc>
      </w:tr>
      <w:tr>
        <w:trPr>
          <w:trHeight w:val="218"/>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100,000,000</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640" w:type="dxa"/>
            <w:vAlign w:val="bottom"/>
          </w:tcPr>
          <w:p>
            <w:pPr>
              <w:ind w:left="20"/>
              <w:spacing w:after="0"/>
              <w:rPr>
                <w:sz w:val="20"/>
                <w:szCs w:val="20"/>
                <w:color w:val="auto"/>
              </w:rPr>
            </w:pPr>
            <w:r>
              <w:rPr>
                <w:rFonts w:ascii="Arial" w:cs="Arial" w:eastAsia="Arial" w:hAnsi="Arial"/>
                <w:sz w:val="17"/>
                <w:szCs w:val="17"/>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1,350,000,000</w:t>
            </w:r>
          </w:p>
        </w:tc>
        <w:tc>
          <w:tcPr>
            <w:tcW w:w="8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322,438,740</w:t>
            </w:r>
          </w:p>
        </w:tc>
        <w:tc>
          <w:tcPr>
            <w:tcW w:w="8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322,438,740</w:t>
            </w:r>
          </w:p>
        </w:tc>
      </w:tr>
      <w:tr>
        <w:trPr>
          <w:trHeight w:val="20"/>
        </w:trPr>
        <w:tc>
          <w:tcPr>
            <w:tcW w:w="5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Each share of Class A and Class B common stock entitles the holder to one vote per share. Only holders of Class A common stock have the right to receive dividends.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such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spacing w:after="0" w:line="118" w:lineRule="exact"/>
        <w:rPr>
          <w:sz w:val="20"/>
          <w:szCs w:val="20"/>
          <w:color w:val="auto"/>
        </w:rPr>
      </w:pPr>
    </w:p>
    <w:p>
      <w:pPr>
        <w:ind w:right="180"/>
        <w:spacing w:after="0" w:line="315" w:lineRule="auto"/>
        <w:rPr>
          <w:sz w:val="20"/>
          <w:szCs w:val="20"/>
          <w:color w:val="auto"/>
        </w:rPr>
      </w:pPr>
      <w:r>
        <w:rPr>
          <w:rFonts w:ascii="Arial" w:cs="Arial" w:eastAsia="Arial" w:hAnsi="Arial"/>
          <w:sz w:val="15"/>
          <w:szCs w:val="15"/>
          <w:color w:val="auto"/>
        </w:rPr>
        <w:t>On May 11, 2023, our Board declared a cash dividend to its Class A common stockholders in the amount of $0.01 per share, totaling $0.4 million, and a cash distribution to holders of LLC Units in the amount of $0.01 per unit, totaling $2.9 million, to stockholders and unitholders of record as of the close of business on June 1, 2023. On July 20, 2023, $0.3 million of the dividends and the full distribution of $2.9 million was paid to stockholders and unitholders, respectively.</w:t>
      </w:r>
    </w:p>
    <w:p>
      <w:pPr>
        <w:spacing w:after="0" w:line="8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On August 3, 2023, the Board declared a cash dividend to its Class A common stockholders in the amount of $0.01 per share, totaling $0.5 million, and a cash distribution to holders of LLC Units in the amount of $0.01 per unit, totaling $2.9 million, to stockholders and unitholders of record as of the close of business on September 5, 2023. On October 26, 2023, $0.3 million of the dividends and the full distribution of $2.9 million was paid to stockholders and unitholders, respectively.</w:t>
      </w:r>
    </w:p>
    <w:p>
      <w:pPr>
        <w:spacing w:after="0" w:line="129"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color w:val="auto"/>
        </w:rPr>
        <w:t>Certain of the dividends are attributable to earnout shares and dividend equivalents are attributable to unvested RSUs, and are therefore forfeitable. The Company recorded the full dividend payable as a charge to additional paid-in capital on the declaration date, and forfeitures are reversed as they occur.</w:t>
      </w:r>
    </w:p>
    <w:p>
      <w:pPr>
        <w:spacing w:after="0" w:line="9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 intends to pay dividends quarterly in the future, subject to Board approval of any such dividends. Dividends payable and distributions payable are included in other current liabilities in the condensed consolidated balance sheet.</w:t>
      </w:r>
    </w:p>
    <w:p>
      <w:pPr>
        <w:spacing w:after="0" w:line="114"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During the three and nine months ended September 30, 2023, pursuant to the terms of the MarketWise Operating Agreement, MarketWise Members exchanged an aggregate of 1,500,000 and 2,750,000 LLC Units, together with an equal number of shares of Class B common stock for 1,500,000 and 2,750,000 newly-issued shares of the Company’s Class A common stock, respectively. As a result of the exchanges, the Company recognized adjustments to non-controlling interests. As of September 30, 2023, MarketWise, Inc.’s controlling interest in MarketWise, LLC was 10.6% and the noncontrolling interest was 89.4%.</w:t>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On November 4, 2021, our Board authorized the repurchase of up to $35.0 million in aggregate of shares of the Company’s Class A common stock. We did not repurchase any shares during the three and nine months ended September 30, 2023. We did not repurchase any shares during the three months ended September 30, 2022, and we repurchased 2,484,717 shares totaling $13.1 million in aggregate, including fees and commissions of $25 for the nine months ended September 30, 2022. Since the inception of the program we have repurchased 2,984,987 total shares. The maximum dollar value of shares that may yet to be purchased under the plan was $18.6 million as of September 30, 2023. The share repurchase program expired by its terms on November 3, 2023.</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For each share of Class A common stock the Company repurchased under the share repurchase program, MarketWise, LLC, the Company’s direct subsidiary, redeemed one LLC Unit held by the Company, decreasing the percentage ownership of MarketWise, LLC by the Company and relatively increasing the ownership by the other unitholders.</w:t>
      </w:r>
    </w:p>
    <w:p>
      <w:pPr>
        <w:spacing w:after="0" w:line="200" w:lineRule="exact"/>
        <w:rPr>
          <w:sz w:val="20"/>
          <w:szCs w:val="20"/>
          <w:color w:val="auto"/>
        </w:rPr>
      </w:pPr>
    </w:p>
    <w:p>
      <w:pPr>
        <w:spacing w:after="0" w:line="30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Warrant Exchange</w:t>
      </w:r>
    </w:p>
    <w:p>
      <w:pPr>
        <w:spacing w:after="0" w:line="167" w:lineRule="exact"/>
        <w:rPr>
          <w:sz w:val="20"/>
          <w:szCs w:val="20"/>
          <w:color w:val="auto"/>
        </w:rPr>
      </w:pPr>
    </w:p>
    <w:p>
      <w:pPr>
        <w:ind w:right="400"/>
        <w:spacing w:after="0" w:line="264" w:lineRule="auto"/>
        <w:rPr>
          <w:sz w:val="20"/>
          <w:szCs w:val="20"/>
          <w:color w:val="auto"/>
        </w:rPr>
      </w:pPr>
      <w:r>
        <w:rPr>
          <w:rFonts w:ascii="Arial" w:cs="Arial" w:eastAsia="Arial" w:hAnsi="Arial"/>
          <w:sz w:val="17"/>
          <w:szCs w:val="17"/>
          <w:color w:val="auto"/>
        </w:rPr>
        <w:t>On August 17, 2022, we commenced an exchange offer (the “Offer”) and consent solicitation (the “Consent Solicitation”) relating to our outstanding Public Warrants and Private Placement Warrants to purchase shares of Class A common stock at $11.50 per share. Each holder was offered the opportunity to receive 0.1925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7"/>
          <w:szCs w:val="17"/>
          <w:b w:val="1"/>
          <w:bCs w:val="1"/>
          <w:color w:val="auto"/>
        </w:rPr>
        <w:t>MARKETWISE, INC.</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5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Class A common stock in exchange for each outstanding warrant tendered by the holder and exchanged pursuant to the Offer. Concurrently with the Offer, we solicited consents from holders of the warrants to amend the warrant agreement that governs all of the warrants (the “Warrant Agreement”) to permit us to require that each warrant outstanding upon the closing of the Offer be exchanged for 0.17325 shares of Class A common stock, which is a ratio 10% less than the exchange ratio applicable to the Offer (such amendment, the “Warrant Amendment”).</w:t>
      </w:r>
    </w:p>
    <w:p>
      <w:pPr>
        <w:spacing w:after="0" w:line="12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On September 14, 2022, we concluded the Offer and Consent Solicitation with approximately 96% of the outstanding warrants validly tendered and not withdrawn prior to the expiration of the Offer and Consent Solicitation. Accordingly, on September 19, 2022, we issued 5,725,681 shares of Class A common stock in exchange for the 29,743,932 warrants tendered in the Offer.</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Additionally, we received the requisite approval of warrant holders to enter into the Warrant Amendment. Accordingly, we and Continental Stock Transfer &amp; Trust Company entered into the Warrant Amendment, dated September 15, 2022, and we exercised our right, in accordance with the terms of the Warrant Amendment, to exchange each warrant that was outstanding upon the closing of the Offer for 0.17325 shares of Class A common stock per warrant. On September 30, 2022, we issued 214,058 shares of Class A common stock in exchange for the 1,236,061 outstanding warrants after closing of the Offering. As a result, there are no outstanding warrants as of September 30, 2022, and the warrants were delisted from trading on the Nasdaq. In connection with the warrant exchange, we paid out a de minimis amount of cash in lieu of fractional shares.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incurred $2.1 million of costs directly related to the warrant exchange, consisting primarily of dealer manager fees and professional, legal, printing, filing, regulatory, and other costs during the three months ended September 30, 2022. These costs were recorded in general and administrative expenses on the condensed consolidated statements of operations as the transactions did not generate any proceeds to us and therefore the costs did not qualify to be deferred or charged to additional paid-in-capital under ASC 340-10-S99-1.</w:t>
      </w:r>
    </w:p>
    <w:p>
      <w:pPr>
        <w:spacing w:after="0" w:line="200" w:lineRule="exact"/>
        <w:rPr>
          <w:sz w:val="20"/>
          <w:szCs w:val="20"/>
          <w:color w:val="auto"/>
        </w:rPr>
      </w:pPr>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4"/>
          <w:szCs w:val="14"/>
          <w:b w:val="1"/>
          <w:bCs w:val="1"/>
          <w:color w:val="auto"/>
        </w:rPr>
        <w:t>Subsequent Events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Subsequent events have been evaluated through November 9, 2023, which is the date that the financial statements were issued.</w:t>
      </w:r>
    </w:p>
    <w:p>
      <w:pPr>
        <w:spacing w:after="0" w:line="163"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On October 18, 2023, our Board declared a special cash dividend to the Company’s Class A common stockholders in the amount of $0.15 per share and a special cash distribution to holders of LLC Units in the amount of $0.15 per unit, totaling approximately $50 million in the aggregate, to stockholders and unitholders of record as of the close of business on November 10, 2023. The special dividend and distribution will be paid on December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1" w:name="page32"/>
    <w:bookmarkEnd w:id="31"/>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7"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of MarketWise, Inc., a Delaware corporation (“MarketWise,” “we,” “us,” and “our”), should be read together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2022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Palm Beach Research, Chaikin Analytics, and InvestorPlace. Our entire investment research product portfolio is 100% digital and channel agnostic, and we offer all of our research across a variety of platforms, including desktop, laptop, and mobile devices, including tablets and mobile phones.</w:t>
      </w:r>
    </w:p>
    <w:p>
      <w:pPr>
        <w:spacing w:after="0" w:line="13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Today, we benefit from the confluence of a leading editorial team, diverse portfolio of content and brands, and comprehensive suite of investor-centric tools that appeal to a broad subscriber base.</w:t>
      </w:r>
    </w:p>
    <w:p>
      <w:pPr>
        <w:spacing w:after="0" w:line="114"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color w:val="auto"/>
        </w:rPr>
        <w:t>In October 2023, the Company announced a number of board and leadership changes that included the Company’s founder returning as Chairman of the Board and CEO, and that it has initiated an internal review of current operations with the intent to enhance alignment, improve efficiency, and increase cash flow and intrinsic value of the business.</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As a result of continuing losses, the Company recorded an impairment loss on Buttonwood Publishing’s intangible assets totaling $584 during the third quarter of 2023. We will continue to evaluate our Buttonwood Publishing business for additional impairment (if any), which could have a material impact on our results of operations. The remaining intangible assets of Buttonwood Publishing comprised $7.7 million of our remaining $14.3 million balance of intangible assets, net as of September 30, 2023. See </w:t>
      </w:r>
      <w:r>
        <w:rPr>
          <w:rFonts w:ascii="Arial" w:cs="Arial" w:eastAsia="Arial" w:hAnsi="Arial"/>
          <w:sz w:val="17"/>
          <w:szCs w:val="17"/>
          <w:i w:val="1"/>
          <w:iCs w:val="1"/>
          <w:color w:val="auto"/>
        </w:rPr>
        <w:t>Note 5 – Goodwill and Intangible Assets, Net</w:t>
      </w:r>
      <w:r>
        <w:rPr>
          <w:rFonts w:ascii="Arial" w:cs="Arial" w:eastAsia="Arial" w:hAnsi="Arial"/>
          <w:sz w:val="17"/>
          <w:szCs w:val="17"/>
          <w:color w:val="auto"/>
        </w:rPr>
        <w:t xml:space="preserve"> to our unaudited condensed consolidated and combined financial statements included elsewhere in this Form 10-Q for further details.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spacing w:after="0" w:line="123" w:lineRule="exact"/>
        <w:rPr>
          <w:sz w:val="20"/>
          <w:szCs w:val="20"/>
          <w:color w:val="auto"/>
        </w:rPr>
      </w:pPr>
    </w:p>
    <w:p>
      <w:pPr>
        <w:ind w:left="300" w:right="440"/>
        <w:spacing w:after="0" w:line="276" w:lineRule="auto"/>
        <w:rPr>
          <w:sz w:val="20"/>
          <w:szCs w:val="20"/>
          <w:color w:val="auto"/>
        </w:rPr>
      </w:pPr>
      <w:r>
        <w:rPr>
          <w:rFonts w:ascii="Arial" w:cs="Arial" w:eastAsia="Arial" w:hAnsi="Arial"/>
          <w:sz w:val="17"/>
          <w:szCs w:val="17"/>
          <w:b w:val="1"/>
          <w:bCs w:val="1"/>
          <w:i w:val="1"/>
          <w:iCs w:val="1"/>
          <w:color w:val="auto"/>
        </w:rPr>
        <w:t xml:space="preserve">Growing our subscriber base with compelling unit economics. </w:t>
      </w:r>
      <w:r>
        <w:rPr>
          <w:rFonts w:ascii="Arial" w:cs="Arial" w:eastAsia="Arial" w:hAnsi="Arial"/>
          <w:sz w:val="17"/>
          <w:szCs w:val="17"/>
          <w:color w:val="auto"/>
        </w:rPr>
        <w:t>We are highly focused on continuing to acquire new subscribers to support our long-term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Our marketing spend is a large driver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7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subscriber growth. At the heart of our marketing strategy is our compelling unit economics that combine long-term subscriber relationships, highly scalable content delivery, cost-effective customer acquisition, and high-margin conversions.</w:t>
      </w:r>
    </w:p>
    <w:p>
      <w:pPr>
        <w:spacing w:after="0" w:line="11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Our Paid Subscribers as of December 31, 2022 generated average customer lifetime Billings of approximately $1,815, resulting in a LTV/CAC (as defined below) ratio of approximately 2.0x. On average, it takes us approximately 0.6 to 1.5 years for a Paid Subscriber’s cumulative net revenue to exceed the total cost of acquiring that subscriber (which includes fixed costs, such as marketing salaries). For more information on our LTV/CAC ratio and the components of this ratio, see “</w:t>
      </w:r>
      <w:r>
        <w:rPr>
          <w:rFonts w:ascii="Arial" w:cs="Arial" w:eastAsia="Arial" w:hAnsi="Arial"/>
          <w:sz w:val="17"/>
          <w:szCs w:val="17"/>
          <w:i w:val="1"/>
          <w:iCs w:val="1"/>
          <w:color w:val="auto"/>
        </w:rPr>
        <w:t>—Definitions of Metrics.</w:t>
      </w:r>
      <w:r>
        <w:rPr>
          <w:rFonts w:ascii="Arial" w:cs="Arial" w:eastAsia="Arial" w:hAnsi="Arial"/>
          <w:sz w:val="17"/>
          <w:szCs w:val="17"/>
          <w:color w:val="auto"/>
        </w:rPr>
        <w:t>”</w:t>
      </w:r>
    </w:p>
    <w:p>
      <w:pPr>
        <w:spacing w:after="0" w:line="129"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We adjust our marketing spend to drive efficient and profitable customer acquisition. We can adjust our marketing spend in near real-time, and we monitor costs per acquisition relative to the cart value of the initial subscription. We seek 90-day payback periods to cover this variable component of the direct marketing spend.</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of September 30, 2023, our Paid Subscriber base was 774 thousand, down 120 thousand, or 13.4% as compared to 894 thousand at September 30, 2022. Our Paid Subscriber base is comprised of subscribers obtained through both direct-to-paid acquisition and free-to-paid conversions. Since 2019, direct-to-paid acquisition has accounted for approximately two-thirds of our annual Paid Subscriber acquisition, and is largely driven by display ads and targeted email campaigns.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free subscription products also serve as a significant source of new Paid Subscribers, accounting for approximately one-third of our annual Paid Subscriber acquisition since 2019. Our free-to-paid and active free-to-paid conversion rate reflects the rate at which Free Subscribers and Active Free Subscribers purchase paid subscription products. Our annual free-to-paid and annual active free-to-paid conversion rates were approximately 1% to 2% and 2% to 4%, respectively, between 2020 and 2022. Over that same three year period, our cumulative free-to-paid and cumulative active free-to-paid conversion rates were 4% and 10%, respectively.</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 xml:space="preserve">Retaining and expanding relationships with existing subscribers. </w:t>
      </w:r>
      <w:r>
        <w:rPr>
          <w:rFonts w:ascii="Arial" w:cs="Arial" w:eastAsia="Arial" w:hAnsi="Arial"/>
          <w:sz w:val="17"/>
          <w:szCs w:val="17"/>
          <w:color w:val="auto"/>
        </w:rPr>
        <w:t>We believe that we have a significant opportunity to expand our relationships with our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of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September 30, 2023 was $496, which decreased 10.8% from $556 as of September 30, 2022. For more information on ARPU, see “</w:t>
      </w:r>
      <w:r>
        <w:rPr>
          <w:rFonts w:ascii="Arial" w:cs="Arial" w:eastAsia="Arial" w:hAnsi="Arial"/>
          <w:sz w:val="17"/>
          <w:szCs w:val="17"/>
          <w:i w:val="1"/>
          <w:iCs w:val="1"/>
          <w:color w:val="auto"/>
        </w:rPr>
        <w:t>Key Business Metrics—Average Revenue Per User.</w:t>
      </w:r>
      <w:r>
        <w:rPr>
          <w:rFonts w:ascii="Arial" w:cs="Arial" w:eastAsia="Arial" w:hAnsi="Arial"/>
          <w:sz w:val="17"/>
          <w:szCs w:val="17"/>
          <w:color w:val="auto"/>
        </w:rPr>
        <w:t>”</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Conversion rates are important to our business because they are an indicator of how engaged and how well we are connecting with our subscribers. The time it takes our customers to move from our free products to our lower-priced paid subscriptions and eventually to high-end products and membership “bundled” offerings impacts our growth in net revenue, Billings, and ARPU.</w:t>
      </w:r>
    </w:p>
    <w:p>
      <w:pPr>
        <w:spacing w:after="0" w:line="12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high-value composition rate reflects the portion of our Paid Subscribers that, over their lifetime, purchased more than $600 of our products. We believe our high-value composition rate reflects our ability to retain existing subscribers through renewals and our ability to expand our relationship with them when those subscribers purchase higher-value subscriptions. Our ultra high-value composition rate reflects the portion of our high-value subscribers that have purchased more than $5,000 of our products over their lifetime. We believe our ultra high-value composition rate reflects our ability to successfully build lifetime relationships with our subscribers, often across multiple products and brands. These high-value and ultra high-value subscribers are at the heart of our business model, and are particularly important in periods of time when we are bringing in fewer new subscribers. These high-value and ultra high-value subscribers continue to see the value in our products and are continuing to purchase products at rates similar to historic trends, which is currently driving the majority of our Billings. As of September 30, 2023, our high-value composition rate was 47%. Our ultra high-value composition rate – ultra high-value subscribers as a percent of high-value subscribers – was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163830</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40"/>
          </w:cols>
          <w:pgMar w:left="620" w:top="1440" w:right="339" w:bottom="1440" w:gutter="0" w:footer="0" w:header="0"/>
        </w:sectPr>
      </w:pPr>
    </w:p>
    <w:bookmarkStart w:id="33" w:name="page34"/>
    <w:bookmarkEnd w:id="33"/>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 of Metrics</w:t>
      </w:r>
    </w:p>
    <w:p>
      <w:pPr>
        <w:spacing w:after="0" w:line="16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14" w:lineRule="exact"/>
        <w:rPr>
          <w:sz w:val="20"/>
          <w:szCs w:val="20"/>
          <w:color w:val="auto"/>
        </w:rPr>
      </w:pPr>
    </w:p>
    <w:p>
      <w:pPr>
        <w:ind w:left="300" w:right="100"/>
        <w:spacing w:after="0" w:line="256" w:lineRule="auto"/>
        <w:rPr>
          <w:sz w:val="20"/>
          <w:szCs w:val="20"/>
          <w:color w:val="auto"/>
        </w:rPr>
      </w:pPr>
      <w:r>
        <w:rPr>
          <w:rFonts w:ascii="Arial" w:cs="Arial" w:eastAsia="Arial" w:hAnsi="Arial"/>
          <w:sz w:val="17"/>
          <w:szCs w:val="17"/>
          <w:b w:val="1"/>
          <w:bCs w:val="1"/>
          <w:i w:val="1"/>
          <w:iCs w:val="1"/>
          <w:color w:val="auto"/>
        </w:rPr>
        <w:t xml:space="preserve">Annual free-to-paid and annual active free-to-paid conversion rates: </w:t>
      </w:r>
      <w:r>
        <w:rPr>
          <w:rFonts w:ascii="Arial" w:cs="Arial" w:eastAsia="Arial" w:hAnsi="Arial"/>
          <w:sz w:val="17"/>
          <w:szCs w:val="17"/>
          <w:color w:val="auto"/>
        </w:rPr>
        <w:t>The Company has historically defined free-to-paid conversion rate as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Free Subscribers who purchased a subscription during the period divided by the average number of Free Subscribers during the period. In addition, the Company has historically defined active free-to-paid conversion rate as the number of Active Free Subscribers who purchased a subscription during the period divided by the average number of Active Free Subscribers during the period. There have been no changes to the calculation of free-to-paid or active free-to-paid conversion rates. However, the Company has revised the definition of free-to-paid and active free-to-paid conversion rates to provide clarity in how they are calculated.</w:t>
      </w:r>
    </w:p>
    <w:p>
      <w:pPr>
        <w:spacing w:after="0" w:line="132" w:lineRule="exact"/>
        <w:rPr>
          <w:sz w:val="20"/>
          <w:szCs w:val="20"/>
          <w:color w:val="auto"/>
        </w:rPr>
      </w:pPr>
    </w:p>
    <w:p>
      <w:pPr>
        <w:ind w:left="300" w:right="40"/>
        <w:spacing w:after="0" w:line="273" w:lineRule="auto"/>
        <w:rPr>
          <w:sz w:val="20"/>
          <w:szCs w:val="20"/>
          <w:color w:val="auto"/>
        </w:rPr>
      </w:pPr>
      <w:r>
        <w:rPr>
          <w:rFonts w:ascii="Arial" w:cs="Arial" w:eastAsia="Arial" w:hAnsi="Arial"/>
          <w:sz w:val="16"/>
          <w:szCs w:val="16"/>
          <w:color w:val="auto"/>
        </w:rPr>
        <w:t xml:space="preserve">We calculate our free-to-paid conversion rate as the sum of (i) the number of Free Subscribers who purchased their first subscription during the period and (ii) the number of Free Subscribers who purchased their first subscription during the period after six months of not having an active paid subscription across all of MarketWise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average number of Free Subscribers during the period. We calculate our active free-to-paid conversion rate as the sum of (i) the number of Active Free Subscribers who purchased their first subscription during the period and (ii) the number of Active Free Subscribers who purchased their first subscription during the period after six months of not having an active paid subscription across all of MarketWise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average number of Active Free Subscribers during the period. We believe our free-to-paid and active free-to-paid conversion rates are indicators of the type of Free Subscribers that we are signing up and the quality of our content and marketing efforts. Investors should consider free-to-paid and active free-to-paid conversion rates as two of the factors in evaluating our ability to maintain a robust pipeline for new customer acquisition.</w:t>
      </w:r>
    </w:p>
    <w:p>
      <w:pPr>
        <w:spacing w:after="0" w:line="118" w:lineRule="exact"/>
        <w:rPr>
          <w:sz w:val="20"/>
          <w:szCs w:val="20"/>
          <w:color w:val="auto"/>
        </w:rPr>
      </w:pPr>
    </w:p>
    <w:p>
      <w:pPr>
        <w:ind w:left="300" w:right="140"/>
        <w:spacing w:after="0" w:line="274" w:lineRule="auto"/>
        <w:rPr>
          <w:sz w:val="20"/>
          <w:szCs w:val="20"/>
          <w:color w:val="auto"/>
        </w:rPr>
      </w:pPr>
      <w:r>
        <w:rPr>
          <w:rFonts w:ascii="Arial" w:cs="Arial" w:eastAsia="Arial" w:hAnsi="Arial"/>
          <w:sz w:val="16"/>
          <w:szCs w:val="16"/>
          <w:b w:val="1"/>
          <w:bCs w:val="1"/>
          <w:i w:val="1"/>
          <w:iCs w:val="1"/>
          <w:color w:val="auto"/>
        </w:rPr>
        <w:t xml:space="preserve">Cumulative free-to-paid and cumulative active free-to-paid conversion rates: </w:t>
      </w:r>
      <w:r>
        <w:rPr>
          <w:rFonts w:ascii="Arial" w:cs="Arial" w:eastAsia="Arial" w:hAnsi="Arial"/>
          <w:sz w:val="16"/>
          <w:szCs w:val="16"/>
          <w:color w:val="auto"/>
        </w:rPr>
        <w:t>We calculate our cumulative free-to-paid conversion rate as the sum of (i)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number of Free Subscribers who purchased their first subscription during the trailing three-year period and (ii) the number of Free Subscribers who purchased their first subscription during the trailing three-year period after six months of not having an active paid subscription across all of MarketWise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average number of Free Subscribers during the trailing three-year period. We calculate our cumulative active free-to-paid conversion rate as the sum of (i) the number of Active Free Subscribers who purchased their first subscription during the trailing three-year period and (ii) the number of Active Free Subscribers who purchased their first subscription during the trailing three-year period after six months of not having an active paid subscription across all of MarketWise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the average number of Active Free Subscribers during the trailing three-year period.</w:t>
      </w:r>
    </w:p>
    <w:p>
      <w:pPr>
        <w:spacing w:after="0" w:line="118" w:lineRule="exact"/>
        <w:rPr>
          <w:sz w:val="20"/>
          <w:szCs w:val="20"/>
          <w:color w:val="auto"/>
        </w:rPr>
      </w:pPr>
    </w:p>
    <w:p>
      <w:pPr>
        <w:ind w:left="300" w:right="360"/>
        <w:spacing w:after="0" w:line="276" w:lineRule="auto"/>
        <w:rPr>
          <w:sz w:val="20"/>
          <w:szCs w:val="20"/>
          <w:color w:val="auto"/>
        </w:rPr>
      </w:pPr>
      <w:r>
        <w:rPr>
          <w:rFonts w:ascii="Arial" w:cs="Arial" w:eastAsia="Arial" w:hAnsi="Arial"/>
          <w:sz w:val="17"/>
          <w:szCs w:val="17"/>
          <w:b w:val="1"/>
          <w:bCs w:val="1"/>
          <w:i w:val="1"/>
          <w:iCs w:val="1"/>
          <w:color w:val="auto"/>
        </w:rPr>
        <w:t xml:space="preserve">High-value composition rate: </w:t>
      </w:r>
      <w:r>
        <w:rPr>
          <w:rFonts w:ascii="Arial" w:cs="Arial" w:eastAsia="Arial" w:hAnsi="Arial"/>
          <w:sz w:val="17"/>
          <w:szCs w:val="17"/>
          <w:color w:val="auto"/>
        </w:rPr>
        <w:t>Our high-value composition rate reflects the number of Paid Subscribers who have purchased &gt;$600 in aggregate over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lifetime as of a particular point in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total number of Paid Subscribers as of that same point in time.</w:t>
      </w:r>
    </w:p>
    <w:p>
      <w:pPr>
        <w:spacing w:after="0" w:line="114" w:lineRule="exact"/>
        <w:rPr>
          <w:sz w:val="20"/>
          <w:szCs w:val="20"/>
          <w:color w:val="auto"/>
        </w:rPr>
      </w:pPr>
    </w:p>
    <w:p>
      <w:pPr>
        <w:ind w:left="300" w:right="60"/>
        <w:spacing w:after="0" w:line="276" w:lineRule="auto"/>
        <w:rPr>
          <w:sz w:val="20"/>
          <w:szCs w:val="20"/>
          <w:color w:val="auto"/>
        </w:rPr>
      </w:pPr>
      <w:r>
        <w:rPr>
          <w:rFonts w:ascii="Arial" w:cs="Arial" w:eastAsia="Arial" w:hAnsi="Arial"/>
          <w:sz w:val="17"/>
          <w:szCs w:val="17"/>
          <w:b w:val="1"/>
          <w:bCs w:val="1"/>
          <w:i w:val="1"/>
          <w:iCs w:val="1"/>
          <w:color w:val="auto"/>
        </w:rPr>
        <w:t xml:space="preserve">Landing Page Visits: </w:t>
      </w:r>
      <w:r>
        <w:rPr>
          <w:rFonts w:ascii="Arial" w:cs="Arial" w:eastAsia="Arial" w:hAnsi="Arial"/>
          <w:sz w:val="17"/>
          <w:szCs w:val="17"/>
          <w:color w:val="auto"/>
        </w:rPr>
        <w:t>The cumulative number of visits to our standalone web pages created specifically for each marketing campaign. We believe landing page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visits are a measure of customer engagement.</w:t>
      </w:r>
    </w:p>
    <w:p>
      <w:pPr>
        <w:spacing w:after="0" w:line="114" w:lineRule="exact"/>
        <w:rPr>
          <w:sz w:val="20"/>
          <w:szCs w:val="20"/>
          <w:color w:val="auto"/>
        </w:rPr>
      </w:pPr>
    </w:p>
    <w:p>
      <w:pPr>
        <w:ind w:left="300"/>
        <w:spacing w:after="0" w:line="255" w:lineRule="auto"/>
        <w:rPr>
          <w:sz w:val="20"/>
          <w:szCs w:val="20"/>
          <w:color w:val="auto"/>
        </w:rPr>
      </w:pPr>
      <w:r>
        <w:rPr>
          <w:rFonts w:ascii="Arial" w:cs="Arial" w:eastAsia="Arial" w:hAnsi="Arial"/>
          <w:sz w:val="17"/>
          <w:szCs w:val="17"/>
          <w:b w:val="1"/>
          <w:bCs w:val="1"/>
          <w:i w:val="1"/>
          <w:iCs w:val="1"/>
          <w:color w:val="auto"/>
        </w:rPr>
        <w:t xml:space="preserve">LTV/CAC ratio: </w:t>
      </w:r>
      <w:r>
        <w:rPr>
          <w:rFonts w:ascii="Arial" w:cs="Arial" w:eastAsia="Arial" w:hAnsi="Arial"/>
          <w:sz w:val="17"/>
          <w:szCs w:val="17"/>
          <w:color w:val="auto"/>
        </w:rPr>
        <w:t>We calculate LTV/CAC ratio as LTV</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divided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CAC. We use LTV/CAC ratio because it is a standard metric for subscription-based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Arial" w:cs="Arial" w:eastAsia="Arial" w:hAnsi="Arial"/>
          <w:sz w:val="17"/>
          <w:szCs w:val="17"/>
          <w:i w:val="1"/>
          <w:iCs w:val="1"/>
          <w:color w:val="auto"/>
        </w:rPr>
        <w:t xml:space="preserve">plus </w:t>
      </w:r>
      <w:r>
        <w:rPr>
          <w:rFonts w:ascii="Arial" w:cs="Arial" w:eastAsia="Arial" w:hAnsi="Arial"/>
          <w:sz w:val="17"/>
          <w:szCs w:val="17"/>
          <w:color w:val="auto"/>
        </w:rPr>
        <w:t>external revenue share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70"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 xml:space="preserve">plus </w:t>
      </w:r>
      <w:r>
        <w:rPr>
          <w:rFonts w:ascii="Arial" w:cs="Arial" w:eastAsia="Arial" w:hAnsi="Arial"/>
          <w:sz w:val="15"/>
          <w:szCs w:val="15"/>
          <w:color w:val="auto"/>
        </w:rPr>
        <w:t>retention and renewal expenses,</w:t>
      </w:r>
      <w:r>
        <w:rPr>
          <w:rFonts w:ascii="Arial" w:cs="Arial" w:eastAsia="Arial" w:hAnsi="Arial"/>
          <w:sz w:val="15"/>
          <w:szCs w:val="15"/>
          <w:i w:val="1"/>
          <w:iCs w:val="1"/>
          <w:color w:val="auto"/>
        </w:rPr>
        <w:t xml:space="preserve"> plus </w:t>
      </w:r>
      <w:r>
        <w:rPr>
          <w:rFonts w:ascii="Arial" w:cs="Arial" w:eastAsia="Arial" w:hAnsi="Arial"/>
          <w:sz w:val="15"/>
          <w:szCs w:val="15"/>
          <w:color w:val="auto"/>
        </w:rPr>
        <w:t>copywriting and marketing salaries,</w:t>
      </w:r>
      <w:r>
        <w:rPr>
          <w:rFonts w:ascii="Arial" w:cs="Arial" w:eastAsia="Arial" w:hAnsi="Arial"/>
          <w:sz w:val="15"/>
          <w:szCs w:val="15"/>
          <w:i w:val="1"/>
          <w:iCs w:val="1"/>
          <w:color w:val="auto"/>
        </w:rPr>
        <w:t xml:space="preserve"> plus </w:t>
      </w:r>
      <w:r>
        <w:rPr>
          <w:rFonts w:ascii="Arial" w:cs="Arial" w:eastAsia="Arial" w:hAnsi="Arial"/>
          <w:sz w:val="15"/>
          <w:szCs w:val="15"/>
          <w:color w:val="auto"/>
        </w:rPr>
        <w:t>telesales salaries and commissions,</w:t>
      </w:r>
      <w:r>
        <w:rPr>
          <w:rFonts w:ascii="Arial" w:cs="Arial" w:eastAsia="Arial" w:hAnsi="Arial"/>
          <w:sz w:val="15"/>
          <w:szCs w:val="15"/>
          <w:i w:val="1"/>
          <w:iCs w:val="1"/>
          <w:color w:val="auto"/>
        </w:rPr>
        <w:t xml:space="preserve"> plus </w:t>
      </w:r>
      <w:r>
        <w:rPr>
          <w:rFonts w:ascii="Arial" w:cs="Arial" w:eastAsia="Arial" w:hAnsi="Arial"/>
          <w:sz w:val="15"/>
          <w:szCs w:val="15"/>
          <w:color w:val="auto"/>
        </w:rPr>
        <w:t>customer service commissions.</w:t>
      </w:r>
    </w:p>
    <w:p>
      <w:pPr>
        <w:spacing w:after="0" w:line="186" w:lineRule="exact"/>
        <w:rPr>
          <w:sz w:val="20"/>
          <w:szCs w:val="20"/>
          <w:color w:val="auto"/>
        </w:rPr>
      </w:pPr>
    </w:p>
    <w:p>
      <w:pPr>
        <w:jc w:val="both"/>
        <w:ind w:left="300" w:right="320"/>
        <w:spacing w:after="0" w:line="259" w:lineRule="auto"/>
        <w:rPr>
          <w:sz w:val="20"/>
          <w:szCs w:val="20"/>
          <w:color w:val="auto"/>
        </w:rPr>
      </w:pPr>
      <w:r>
        <w:rPr>
          <w:rFonts w:ascii="Arial" w:cs="Arial" w:eastAsia="Arial" w:hAnsi="Arial"/>
          <w:sz w:val="17"/>
          <w:szCs w:val="17"/>
          <w:b w:val="1"/>
          <w:bCs w:val="1"/>
          <w:i w:val="1"/>
          <w:iCs w:val="1"/>
          <w:color w:val="auto"/>
        </w:rPr>
        <w:t xml:space="preserve">Net revenue retention: </w:t>
      </w:r>
      <w:r>
        <w:rPr>
          <w:rFonts w:ascii="Arial" w:cs="Arial" w:eastAsia="Arial" w:hAnsi="Arial"/>
          <w:sz w:val="17"/>
          <w:szCs w:val="17"/>
          <w:color w:val="auto"/>
        </w:rPr>
        <w:t>Net revenue retention is defined as Billings from all prior period cohorts in the current period,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divided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Billings from the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129" w:lineRule="exact"/>
        <w:rPr>
          <w:sz w:val="20"/>
          <w:szCs w:val="20"/>
          <w:color w:val="auto"/>
        </w:rPr>
      </w:pPr>
    </w:p>
    <w:p>
      <w:pPr>
        <w:ind w:left="300" w:right="40"/>
        <w:spacing w:after="0" w:line="305" w:lineRule="auto"/>
        <w:rPr>
          <w:sz w:val="20"/>
          <w:szCs w:val="20"/>
          <w:color w:val="auto"/>
        </w:rPr>
      </w:pPr>
      <w:r>
        <w:rPr>
          <w:rFonts w:ascii="Arial" w:cs="Arial" w:eastAsia="Arial" w:hAnsi="Arial"/>
          <w:sz w:val="15"/>
          <w:szCs w:val="15"/>
          <w:b w:val="1"/>
          <w:bCs w:val="1"/>
          <w:i w:val="1"/>
          <w:iCs w:val="1"/>
          <w:color w:val="auto"/>
        </w:rPr>
        <w:t xml:space="preserve">Ultra high-value composition rate: </w:t>
      </w:r>
      <w:r>
        <w:rPr>
          <w:rFonts w:ascii="Arial" w:cs="Arial" w:eastAsia="Arial" w:hAnsi="Arial"/>
          <w:sz w:val="15"/>
          <w:szCs w:val="15"/>
          <w:color w:val="auto"/>
        </w:rPr>
        <w:t>Our ultra high-value composition rate reflects the number of Paid Subscribers who have purchased &gt;$5,000 in aggregate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over their lifetime as of a particular point in time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number of high-value subscribers as of that same point in time. We believe our ultra high-value composition rate reflects our ability to successfully build lifetime relationships with our subscribers, often across multiple products and brands. Investors should consider ultra high-value composition rate as a factor in evaluating our ability to retain and expand our relationship with our subscribers.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review the following key business metrics to measure our performance, identify trends, formulate financial projections, and make strategic decisions. We are not aware of any uniform standards for calculating these key metrics, which may hinder comparability with other companies who may calculate similarly titled metrics in a different way.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As of and for the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As of and for the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9"/>
              </w:rPr>
              <w:t>Three Months Ended September 30,</w:t>
            </w:r>
          </w:p>
        </w:tc>
        <w:tc>
          <w:tcPr>
            <w:tcW w:w="220" w:type="dxa"/>
            <w:vAlign w:val="bottom"/>
          </w:tcPr>
          <w:p>
            <w:pPr>
              <w:spacing w:after="0"/>
              <w:rPr>
                <w:sz w:val="15"/>
                <w:szCs w:val="15"/>
                <w:color w:val="auto"/>
              </w:rPr>
            </w:pPr>
          </w:p>
        </w:tc>
        <w:tc>
          <w:tcPr>
            <w:tcW w:w="3040" w:type="dxa"/>
            <w:vAlign w:val="bottom"/>
            <w:gridSpan w:val="7"/>
          </w:tcPr>
          <w:p>
            <w:pPr>
              <w:jc w:val="center"/>
              <w:ind w:right="118"/>
              <w:spacing w:after="0"/>
              <w:rPr>
                <w:sz w:val="20"/>
                <w:szCs w:val="20"/>
                <w:color w:val="auto"/>
              </w:rPr>
            </w:pPr>
            <w:r>
              <w:rPr>
                <w:rFonts w:ascii="Arial" w:cs="Arial" w:eastAsia="Arial" w:hAnsi="Arial"/>
                <w:sz w:val="14"/>
                <w:szCs w:val="14"/>
                <w:b w:val="1"/>
                <w:bCs w:val="1"/>
                <w:color w:val="auto"/>
                <w:w w:val="88"/>
              </w:rPr>
              <w:t>Nine Months Ended 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As of and for the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i w:val="1"/>
                <w:iCs w:val="1"/>
                <w:color w:val="auto"/>
              </w:rPr>
              <w:t>% change</w:t>
            </w:r>
          </w:p>
        </w:tc>
        <w:tc>
          <w:tcPr>
            <w:tcW w:w="220" w:type="dxa"/>
            <w:vAlign w:val="bottom"/>
          </w:tcPr>
          <w:p>
            <w:pPr>
              <w:spacing w:after="0"/>
              <w:rPr>
                <w:sz w:val="11"/>
                <w:szCs w:val="11"/>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i w:val="1"/>
                <w:iCs w:val="1"/>
                <w:color w:val="auto"/>
                <w:w w:val="94"/>
              </w:rPr>
              <w:t>% change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36" w:lineRule="exact"/>
              <w:rPr>
                <w:sz w:val="20"/>
                <w:szCs w:val="20"/>
                <w:color w:val="auto"/>
              </w:rPr>
            </w:pPr>
            <w:r>
              <w:rPr>
                <w:rFonts w:ascii="Arial" w:cs="Arial" w:eastAsia="Arial" w:hAnsi="Arial"/>
                <w:sz w:val="14"/>
                <w:szCs w:val="14"/>
                <w:b w:val="1"/>
                <w:bCs w:val="1"/>
                <w:color w:val="auto"/>
                <w:w w:val="91"/>
              </w:rPr>
              <w:t>Three Months</w:t>
            </w:r>
          </w:p>
        </w:tc>
        <w:tc>
          <w:tcPr>
            <w:tcW w:w="860" w:type="dxa"/>
            <w:vAlign w:val="bottom"/>
            <w:vMerge w:val="restart"/>
          </w:tcPr>
          <w:p>
            <w:pPr>
              <w:jc w:val="right"/>
              <w:ind w:right="58"/>
              <w:spacing w:after="0"/>
              <w:rPr>
                <w:sz w:val="20"/>
                <w:szCs w:val="20"/>
                <w:color w:val="auto"/>
              </w:rPr>
            </w:pPr>
            <w:r>
              <w:rPr>
                <w:rFonts w:ascii="Arial" w:cs="Arial" w:eastAsia="Arial" w:hAnsi="Arial"/>
                <w:sz w:val="14"/>
                <w:szCs w:val="14"/>
                <w:b w:val="1"/>
                <w:bCs w:val="1"/>
                <w:i w:val="1"/>
                <w:iCs w:val="1"/>
                <w:color w:val="auto"/>
              </w:rPr>
              <w:t>% change</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Ended June 30, 2023</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Subscribers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16,341,577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15,415,263</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6.0 %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16,341,577</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15,415,263</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i w:val="1"/>
                <w:iCs w:val="1"/>
                <w:color w:val="auto"/>
                <w:w w:val="92"/>
              </w:rPr>
              <w:t>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15,948,652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2.5 %</w:t>
            </w:r>
          </w:p>
        </w:tc>
        <w:tc>
          <w:tcPr>
            <w:tcW w:w="0" w:type="dxa"/>
            <w:vAlign w:val="bottom"/>
          </w:tcPr>
          <w:p>
            <w:pPr>
              <w:spacing w:after="0"/>
              <w:rPr>
                <w:sz w:val="1"/>
                <w:szCs w:val="1"/>
                <w:color w:val="auto"/>
              </w:rPr>
            </w:pPr>
          </w:p>
        </w:tc>
      </w:tr>
      <w:tr>
        <w:trPr>
          <w:trHeight w:val="217"/>
        </w:trPr>
        <w:tc>
          <w:tcPr>
            <w:tcW w:w="2220" w:type="dxa"/>
            <w:vAlign w:val="bottom"/>
          </w:tcPr>
          <w:p>
            <w:pPr>
              <w:ind w:left="20"/>
              <w:spacing w:after="0"/>
              <w:rPr>
                <w:sz w:val="20"/>
                <w:szCs w:val="20"/>
                <w:color w:val="auto"/>
              </w:rPr>
            </w:pPr>
            <w:r>
              <w:rPr>
                <w:rFonts w:ascii="Arial" w:cs="Arial" w:eastAsia="Arial" w:hAnsi="Arial"/>
                <w:sz w:val="17"/>
                <w:szCs w:val="17"/>
                <w:color w:val="auto"/>
              </w:rPr>
              <w:t>Paid Subscribers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773,827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893,764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i w:val="1"/>
                <w:iCs w:val="1"/>
                <w:color w:val="auto"/>
              </w:rPr>
              <w:t>(13.4)%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773,827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893,764</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i w:val="1"/>
                <w:iCs w:val="1"/>
                <w:color w:val="auto"/>
                <w:w w:val="94"/>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750,287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i w:val="1"/>
                <w:iCs w:val="1"/>
                <w:color w:val="auto"/>
              </w:rPr>
              <w:t>3.1 %</w:t>
            </w:r>
          </w:p>
        </w:tc>
        <w:tc>
          <w:tcPr>
            <w:tcW w:w="0" w:type="dxa"/>
            <w:vAlign w:val="bottom"/>
          </w:tcPr>
          <w:p>
            <w:pPr>
              <w:spacing w:after="0"/>
              <w:rPr>
                <w:sz w:val="1"/>
                <w:szCs w:val="1"/>
                <w:color w:val="auto"/>
              </w:rPr>
            </w:pPr>
          </w:p>
        </w:tc>
      </w:tr>
      <w:tr>
        <w:trPr>
          <w:trHeight w:val="218"/>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(10.8)%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4"/>
              </w:rPr>
              <w:t>(10.8)%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1.2 %</w:t>
            </w: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Arial" w:cs="Arial" w:eastAsia="Arial" w:hAnsi="Arial"/>
                <w:sz w:val="17"/>
                <w:szCs w:val="17"/>
                <w:color w:val="auto"/>
              </w:rPr>
              <w:t>Billings (in thousands)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95,513</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105,062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i w:val="1"/>
                <w:iCs w:val="1"/>
                <w:color w:val="auto"/>
              </w:rPr>
              <w:t>(9.1)%</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288,854</w:t>
            </w:r>
          </w:p>
        </w:tc>
        <w:tc>
          <w:tcPr>
            <w:tcW w:w="3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358,564</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i w:val="1"/>
                <w:iCs w:val="1"/>
                <w:color w:val="auto"/>
                <w:w w:val="94"/>
              </w:rPr>
              <w:t>(19.4)%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96,170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i w:val="1"/>
                <w:iCs w:val="1"/>
                <w:color w:val="auto"/>
              </w:rPr>
              <w:t>(0.7)%</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00" w:right="80"/>
        <w:spacing w:after="0" w:line="277" w:lineRule="auto"/>
        <w:rPr>
          <w:sz w:val="20"/>
          <w:szCs w:val="20"/>
          <w:color w:val="auto"/>
        </w:rPr>
      </w:pPr>
      <w:r>
        <w:rPr>
          <w:rFonts w:ascii="Arial" w:cs="Arial" w:eastAsia="Arial" w:hAnsi="Arial"/>
          <w:sz w:val="16"/>
          <w:szCs w:val="16"/>
          <w:b w:val="1"/>
          <w:bCs w:val="1"/>
          <w:i w:val="1"/>
          <w:iCs w:val="1"/>
          <w:color w:val="auto"/>
        </w:rPr>
        <w:t xml:space="preserve">Free Subscribers. </w:t>
      </w:r>
      <w:r>
        <w:rPr>
          <w:rFonts w:ascii="Arial" w:cs="Arial" w:eastAsia="Arial" w:hAnsi="Arial"/>
          <w:sz w:val="16"/>
          <w:szCs w:val="16"/>
          <w:color w:val="auto"/>
        </w:rPr>
        <w:t>Free Subscribers are defined as unique subscribers who have subscribed to one of our free investment publications via a valid email address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 to remain directly opted in,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Free Subscribers learn about our editors and analysts, get to know our products and services, and learn more about ways we can help them be a better investor.</w:t>
      </w:r>
    </w:p>
    <w:p>
      <w:pPr>
        <w:spacing w:after="0" w:line="116" w:lineRule="exact"/>
        <w:rPr>
          <w:sz w:val="20"/>
          <w:szCs w:val="20"/>
          <w:color w:val="auto"/>
        </w:rPr>
      </w:pPr>
    </w:p>
    <w:p>
      <w:pPr>
        <w:ind w:left="300" w:right="20"/>
        <w:spacing w:after="0" w:line="274" w:lineRule="auto"/>
        <w:rPr>
          <w:sz w:val="20"/>
          <w:szCs w:val="20"/>
          <w:color w:val="auto"/>
        </w:rPr>
      </w:pPr>
      <w:r>
        <w:rPr>
          <w:rFonts w:ascii="Arial" w:cs="Arial" w:eastAsia="Arial" w:hAnsi="Arial"/>
          <w:sz w:val="16"/>
          <w:szCs w:val="16"/>
          <w:color w:val="auto"/>
        </w:rPr>
        <w:t>In order to better describe our universe of Free Subscribers, we recognize sub-categories of Free Subscribers – Active and Passive Free Subscribers. Active Free Subscribers are those Free Subscribers with whom we have engaged during the most recent quarter and represent those individuals who have received and/or consumed our content on a regular basis during that same quarter. Our analysis indicates that this population of Active Free Subscribers is more likely to continue to consume content and convert to a Paid Subscriber. Passive Free Subscribers represent those individuals who have not directly received our content during the most recent quarter, however, they remain included in our Free Subscriber population as defined above and may continue to consume content from our platforms. We expect the composition of our Active and Passive Free Subscribers will change over time as we refine our marketing and data analysis techniques aimed at converting Free Subscribers to Paid Subscribers.</w:t>
      </w:r>
    </w:p>
    <w:p>
      <w:pPr>
        <w:spacing w:after="0" w:line="118" w:lineRule="exact"/>
        <w:rPr>
          <w:sz w:val="20"/>
          <w:szCs w:val="20"/>
          <w:color w:val="auto"/>
        </w:rPr>
      </w:pPr>
    </w:p>
    <w:p>
      <w:pPr>
        <w:ind w:left="300" w:right="40"/>
        <w:spacing w:after="0" w:line="264" w:lineRule="auto"/>
        <w:rPr>
          <w:sz w:val="20"/>
          <w:szCs w:val="20"/>
          <w:color w:val="auto"/>
        </w:rPr>
      </w:pPr>
      <w:r>
        <w:rPr>
          <w:rFonts w:ascii="Arial" w:cs="Arial" w:eastAsia="Arial" w:hAnsi="Arial"/>
          <w:sz w:val="17"/>
          <w:szCs w:val="17"/>
          <w:color w:val="auto"/>
        </w:rPr>
        <w:t>Free Subscribers increased by 0.9 million, or 6.0%, to 16.3 million at September 30, 2023 as compared to 15.4 million at September 30, 2022. As of September 30, 2023, Active Free Subscribers decreased by 0.3 million, or 6.9%, to 4.0 million, compared to 4.3 million as of September 30, 2022. The year over year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in Active Free Subscribers is a result of decreased engagement with our Free Subscriber community as consumer engagement continues to be soft.</w:t>
      </w:r>
    </w:p>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Free Subscribers increased by 0.4 million, or 2.5% to 16.3 million as of September 30, 2023 as compared to 15.9 million as of June 30, 2023. As of September 30, 2023, Active Free Subscribers increased by 41 thousand, or 1.0% to 4.0 million, compared to 3.9 million as of June 30, 2023.</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 xml:space="preserve">Paid Subscribers. </w:t>
      </w:r>
      <w:r>
        <w:rPr>
          <w:rFonts w:ascii="Arial" w:cs="Arial" w:eastAsia="Arial" w:hAnsi="Arial"/>
          <w:sz w:val="17"/>
          <w:szCs w:val="17"/>
          <w:color w:val="auto"/>
        </w:rPr>
        <w:t>We define Paid Subscribers as the total number of unique subscribers with at least one paid subscription at the end of the period. We view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Total Paid Subscribers decreased by 120 thousand, or 13.4%, to 774 thousand as of September 30, 2023 as compared to 894 thousand at September 30, 2022, driven by softening consumer engagement that began in third quarter 2022 as well as a significant decrease in direct marketing spend over the past four quarters in total as we focus on maintenance of profitability.</w:t>
      </w:r>
    </w:p>
    <w:p>
      <w:pPr>
        <w:spacing w:after="0" w:line="123" w:lineRule="exact"/>
        <w:rPr>
          <w:sz w:val="20"/>
          <w:szCs w:val="20"/>
          <w:color w:val="auto"/>
        </w:rPr>
      </w:pPr>
    </w:p>
    <w:p>
      <w:pPr>
        <w:jc w:val="both"/>
        <w:ind w:right="160"/>
        <w:spacing w:after="0" w:line="264" w:lineRule="auto"/>
        <w:rPr>
          <w:sz w:val="20"/>
          <w:szCs w:val="20"/>
          <w:color w:val="auto"/>
        </w:rPr>
      </w:pPr>
      <w:r>
        <w:rPr>
          <w:rFonts w:ascii="Arial" w:cs="Arial" w:eastAsia="Arial" w:hAnsi="Arial"/>
          <w:sz w:val="17"/>
          <w:szCs w:val="17"/>
          <w:color w:val="auto"/>
        </w:rPr>
        <w:t>Total Paid Subscribers increased by 24 thousand, or 3.1%, to 774 thousand as of September 30, 2023 as compared to 750 thousand as of June 30, 2023. Gross new subscribers increased 87% compared to second quarter 2023 as we increased our marketing spend significantly in the face of favorable per unit costs and acceptable paybacks on these investments.</w:t>
      </w:r>
    </w:p>
    <w:p>
      <w:pPr>
        <w:spacing w:after="0" w:line="12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Subscriber count churn has ranged from approximately 1.8% to 2.7% per month between 2020 and 2022. As of September 30, 2023, the average monthly churn over the trailing twelve months was near the higher end of this range. Almost all of the subscribers who churned in third quarter 2023 did so having owned only one entry level publication. This is evidenced by the fact that their ARPU approximately matched the subscription price of our entry level publications. We believe our net revenue retention rate, which has averaged over 80% from 2020 to 2022, is a more meaningful gauge of subscriber satisfaction.</w:t>
      </w:r>
    </w:p>
    <w:p>
      <w:pPr>
        <w:spacing w:after="0" w:line="9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b w:val="1"/>
          <w:bCs w:val="1"/>
          <w:i w:val="1"/>
          <w:iCs w:val="1"/>
          <w:color w:val="auto"/>
        </w:rPr>
        <w:t xml:space="preserve">Average Revenue Per User. </w:t>
      </w:r>
      <w:r>
        <w:rPr>
          <w:rFonts w:ascii="Arial" w:cs="Arial" w:eastAsia="Arial" w:hAnsi="Arial"/>
          <w:sz w:val="16"/>
          <w:szCs w:val="16"/>
          <w:color w:val="auto"/>
        </w:rPr>
        <w:t>We calculate ARPU as the trailing four quarters of net Billings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average number of quarterly total Paid Subscribers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0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ARPU decreased by $60, or 10.8%, to $496 as of September 30, 2023 as compared to $556 as of September 30, 2022. The year-over-year decrease was driven by a 24% decrease in trailing four quarter Billings, while trailing four quarter Paid Subscribers only decreased by 14%. The decrease in trailing four quarter Billings was driven by reduced engagement of prospective and existing subscribers, as further discussed in </w:t>
      </w:r>
      <w:r>
        <w:rPr>
          <w:rFonts w:ascii="Arial" w:cs="Arial" w:eastAsia="Arial" w:hAnsi="Arial"/>
          <w:sz w:val="16"/>
          <w:szCs w:val="16"/>
          <w:i w:val="1"/>
          <w:iCs w:val="1"/>
          <w:color w:val="auto"/>
        </w:rPr>
        <w:t>—Billings</w:t>
      </w:r>
      <w:r>
        <w:rPr>
          <w:rFonts w:ascii="Arial" w:cs="Arial" w:eastAsia="Arial" w:hAnsi="Arial"/>
          <w:sz w:val="16"/>
          <w:szCs w:val="16"/>
          <w:color w:val="auto"/>
        </w:rPr>
        <w:t xml:space="preserve"> below.</w:t>
      </w:r>
    </w:p>
    <w:p>
      <w:pPr>
        <w:spacing w:after="0" w:line="106"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ARPU increased by $6, or 1.2%, to $496 as of September 30, 2023 as compared to $490 as of June 30, 2023. The sequential increase was driven by a 4% decrease in trailing average Paid Subscribers, while trailing four-quarter Billings decreased only 2%.</w:t>
      </w:r>
    </w:p>
    <w:p>
      <w:pPr>
        <w:spacing w:after="0" w:line="11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While they have been in decline up until this quarter,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1.5 years, 0.9 years, and 0.6 years for the years ended December 31, 2022, 2021 and 2020, respectively. We have experienced an increase in the 2022 payback period primarily due to a combination of increased customer acquisition costs and the hesitancy of these subscribers to make additional purchases. The payback period reached the low side of the historical range in 2020 as a result of expanded conversion rates and, to a far lesser degree, decreasing costs for media spend as demand dropped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163830</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40"/>
          </w:cols>
          <w:pgMar w:left="620" w:top="1440" w:right="339" w:bottom="1440" w:gutter="0" w:footer="0" w:header="0"/>
        </w:sectPr>
      </w:pPr>
    </w:p>
    <w:bookmarkStart w:id="36" w:name="page37"/>
    <w:bookmarkEnd w:id="36"/>
    <w:p>
      <w:pPr>
        <w:spacing w:after="0" w:line="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result of the pandemic. We have seen the costs for media spend revert back to higher rates in 2021 which continued through third quarter 2023.</w:t>
      </w:r>
    </w:p>
    <w:p>
      <w:pPr>
        <w:spacing w:after="0" w:line="175" w:lineRule="exact"/>
        <w:rPr>
          <w:sz w:val="20"/>
          <w:szCs w:val="20"/>
          <w:color w:val="auto"/>
        </w:rPr>
      </w:pPr>
    </w:p>
    <w:p>
      <w:pPr>
        <w:ind w:left="300"/>
        <w:spacing w:after="0" w:line="272" w:lineRule="auto"/>
        <w:rPr>
          <w:sz w:val="20"/>
          <w:szCs w:val="20"/>
          <w:color w:val="auto"/>
        </w:rPr>
      </w:pPr>
      <w:r>
        <w:rPr>
          <w:rFonts w:ascii="Arial" w:cs="Arial" w:eastAsia="Arial" w:hAnsi="Arial"/>
          <w:sz w:val="16"/>
          <w:szCs w:val="16"/>
          <w:b w:val="1"/>
          <w:bCs w:val="1"/>
          <w:i w:val="1"/>
          <w:iCs w:val="1"/>
          <w:color w:val="auto"/>
        </w:rPr>
        <w:t xml:space="preserve">Billings. </w:t>
      </w:r>
      <w:r>
        <w:rPr>
          <w:rFonts w:ascii="Arial" w:cs="Arial" w:eastAsia="Arial" w:hAnsi="Arial"/>
          <w:sz w:val="16"/>
          <w:szCs w:val="16"/>
          <w:color w:val="auto"/>
        </w:rPr>
        <w:t>Billings represents amounts invoiced to customers. We measure and monitor our Billings because it provides insight into trends in cash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21" w:lineRule="exact"/>
        <w:rPr>
          <w:sz w:val="20"/>
          <w:szCs w:val="20"/>
          <w:color w:val="auto"/>
        </w:rPr>
      </w:pPr>
    </w:p>
    <w:p>
      <w:pPr>
        <w:ind w:left="300" w:right="100"/>
        <w:spacing w:after="0" w:line="277" w:lineRule="auto"/>
        <w:rPr>
          <w:sz w:val="20"/>
          <w:szCs w:val="20"/>
          <w:color w:val="auto"/>
        </w:rPr>
      </w:pPr>
      <w:r>
        <w:rPr>
          <w:rFonts w:ascii="Arial" w:cs="Arial" w:eastAsia="Arial" w:hAnsi="Arial"/>
          <w:sz w:val="16"/>
          <w:szCs w:val="16"/>
          <w:color w:val="auto"/>
        </w:rPr>
        <w:t>Billings decreased by $9.5 million, or 9.1%, to $95.5 million for the three months ended September 30, 2023 as compared to $105.1 million for the three months ended September 30, 2022. We believe the decrease is due in large part to reduced engagement of prospective and existing subscribers. Levels of engagement had plateaued during the second half of 2021 and first half of 2022. The second half of 2022 saw further declines with uncertainty stemming from external factors such as 40-year high inflation, volatility across asset classes, federal reserve tightening, and the war in Ukraine, which we believe further contributed to prospective and existing subscribers delaying their purchases through third quarter 2023.</w:t>
      </w:r>
    </w:p>
    <w:p>
      <w:pPr>
        <w:spacing w:after="0" w:line="116" w:lineRule="exact"/>
        <w:rPr>
          <w:sz w:val="20"/>
          <w:szCs w:val="20"/>
          <w:color w:val="auto"/>
        </w:rPr>
      </w:pPr>
    </w:p>
    <w:p>
      <w:pPr>
        <w:jc w:val="both"/>
        <w:ind w:left="300" w:right="240"/>
        <w:spacing w:after="0" w:line="264" w:lineRule="auto"/>
        <w:rPr>
          <w:sz w:val="20"/>
          <w:szCs w:val="20"/>
          <w:color w:val="auto"/>
        </w:rPr>
      </w:pPr>
      <w:r>
        <w:rPr>
          <w:rFonts w:ascii="Arial" w:cs="Arial" w:eastAsia="Arial" w:hAnsi="Arial"/>
          <w:sz w:val="17"/>
          <w:szCs w:val="17"/>
          <w:color w:val="auto"/>
        </w:rPr>
        <w:t>Approximately 40% of our Billings during the three months ended September 30, 2023 came from membership subscriptions, 59% from term subscriptions, and 1% from other Billings, as compared to 33% from membership subscriptions, 66% from term subscriptions, and 1% from other Billings during the three months ended September 30, 2022.</w:t>
      </w:r>
    </w:p>
    <w:p>
      <w:pPr>
        <w:spacing w:after="0" w:line="123" w:lineRule="exact"/>
        <w:rPr>
          <w:sz w:val="20"/>
          <w:szCs w:val="20"/>
          <w:color w:val="auto"/>
        </w:rPr>
      </w:pPr>
    </w:p>
    <w:p>
      <w:pPr>
        <w:ind w:left="300" w:right="40"/>
        <w:spacing w:after="0" w:line="259" w:lineRule="auto"/>
        <w:rPr>
          <w:sz w:val="20"/>
          <w:szCs w:val="20"/>
          <w:color w:val="auto"/>
        </w:rPr>
      </w:pPr>
      <w:r>
        <w:rPr>
          <w:rFonts w:ascii="Arial" w:cs="Arial" w:eastAsia="Arial" w:hAnsi="Arial"/>
          <w:sz w:val="17"/>
          <w:szCs w:val="17"/>
          <w:color w:val="auto"/>
        </w:rPr>
        <w:t>Billings decreased by $0.7 million, or 0.7%, to $95.5 million for the three months ended September 30, 2023 as compared to $96.2 million for the three months ended June 30, 2023. With overall consumer engagement, as measured by landing pages, as well as overall conversion rates up versus second quarter 2023, we attribute the modest decline in Billings to a continuance of subscriber delays in purchasing higher price point subscriptions as they continue to navigate the uncertain economy.</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163" w:lineRule="exact"/>
        <w:rPr>
          <w:sz w:val="20"/>
          <w:szCs w:val="20"/>
          <w:color w:val="auto"/>
        </w:rPr>
      </w:pPr>
    </w:p>
    <w:p>
      <w:pPr>
        <w:ind w:right="460"/>
        <w:spacing w:after="0" w:line="309" w:lineRule="auto"/>
        <w:rPr>
          <w:sz w:val="20"/>
          <w:szCs w:val="20"/>
          <w:color w:val="auto"/>
        </w:rPr>
      </w:pPr>
      <w:r>
        <w:rPr>
          <w:rFonts w:ascii="Arial" w:cs="Arial" w:eastAsia="Arial" w:hAnsi="Arial"/>
          <w:sz w:val="16"/>
          <w:szCs w:val="16"/>
          <w:color w:val="auto"/>
        </w:rPr>
        <w:t>We generate net revenue primarily from delivering term and membership subscription-based financial research, publications, and SaaS offerings to individual subscribers through our online platforms, advertising arrangements, print products, events, and revenue share agreements.</w:t>
      </w:r>
    </w:p>
    <w:p>
      <w:pPr>
        <w:spacing w:after="0" w:line="9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Net revenue is recognized ratably over the duration of the subscriptions, in an amount that reflects the consideration we expect to be entitled to in exchange for those services. In addition to term subscriptions, we offer membership subscriptions where we receive a large upfront payment when the subscriber enters into the contract, and for which we will receive a lower annual maintenance fee thereafter. Subscribers are typically billed in advance of the subscriptions. Much of our net revenue is generated from subscriptions entered into during previous periods. Consequently, any decreases in new subscriptions or renewals in any one period may not be immediately reflected as a decrease in net revenue for that period, but could negatively affect our net revenue in future quarters. This also makes it difficult for us to rapidly increase our net revenue through the sale of additional subscriptions in any period, as net revenue is recognized over the term of the subscription agreement. We expect subscription net revenue to fluctuate due to the timing and relative mix in recent and prior periods between term subscriptions and related renewals, and membership subscriptions and related maintenance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also recognize net revenue through revenue share agreements where we earn a commission for successful sales by other parties generated through the use of our customer list. We expect advertising and other net revenue to increase in absolute dollars as our business grows.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Compensation Costs</w:t>
      </w:r>
    </w:p>
    <w:p>
      <w:pPr>
        <w:spacing w:after="0" w:line="163" w:lineRule="exact"/>
        <w:rPr>
          <w:sz w:val="20"/>
          <w:szCs w:val="20"/>
          <w:color w:val="auto"/>
        </w:rPr>
      </w:pPr>
    </w:p>
    <w:p>
      <w:pPr>
        <w:ind w:right="420"/>
        <w:spacing w:after="0" w:line="345" w:lineRule="auto"/>
        <w:rPr>
          <w:sz w:val="20"/>
          <w:szCs w:val="20"/>
          <w:color w:val="auto"/>
        </w:rPr>
      </w:pPr>
      <w:r>
        <w:rPr>
          <w:rFonts w:ascii="Arial" w:cs="Arial" w:eastAsia="Arial" w:hAnsi="Arial"/>
          <w:sz w:val="15"/>
          <w:szCs w:val="15"/>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w:t>
      </w:r>
    </w:p>
    <w:p>
      <w:pPr>
        <w:spacing w:after="0" w:line="68"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We recognized stock-based compensation expenses related to our 2021 Incentive Award Plan, our ESPP, and our profits interests awards of $3.6 million and $2.2 million during the three months ended September 30, 2023 and 2022, and $11.0 million and $7.2 million during the nine months ended September 30, 2023 and 2022, respectively.</w:t>
      </w:r>
    </w:p>
    <w:p>
      <w:pPr>
        <w:spacing w:after="0" w:line="12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total amount of stock-based compensation expense included within each of the respective line items in the condensed consolidated statement of operations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5"/>
                <w:szCs w:val="15"/>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540" w:type="dxa"/>
            <w:vAlign w:val="bottom"/>
            <w:gridSpan w:val="4"/>
          </w:tcPr>
          <w:p>
            <w:pPr>
              <w:jc w:val="right"/>
              <w:ind w:right="278"/>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8"/>
        </w:trPr>
        <w:tc>
          <w:tcPr>
            <w:tcW w:w="5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r>
      <w:tr>
        <w:trPr>
          <w:trHeight w:val="217"/>
        </w:trPr>
        <w:tc>
          <w:tcPr>
            <w:tcW w:w="560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1,655</w:t>
            </w: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4,039</w:t>
            </w:r>
          </w:p>
        </w:tc>
      </w:tr>
      <w:tr>
        <w:trPr>
          <w:trHeight w:val="210"/>
        </w:trPr>
        <w:tc>
          <w:tcPr>
            <w:tcW w:w="5600" w:type="dxa"/>
            <w:vAlign w:val="bottom"/>
          </w:tcPr>
          <w:p>
            <w:pPr>
              <w:ind w:left="20"/>
              <w:spacing w:after="0"/>
              <w:rPr>
                <w:sz w:val="20"/>
                <w:szCs w:val="20"/>
                <w:color w:val="auto"/>
              </w:rPr>
            </w:pPr>
            <w:r>
              <w:rPr>
                <w:rFonts w:ascii="Arial" w:cs="Arial" w:eastAsia="Arial" w:hAnsi="Arial"/>
                <w:sz w:val="17"/>
                <w:szCs w:val="17"/>
                <w:color w:val="auto"/>
              </w:rPr>
              <w:t>Total stock based-compensation expense</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7,190</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Cost of revenue consists of costs associated with producing and publishing our content, including payroll, payroll-related costs and stock-based compensation expenses related to the 2021 Incentive Award Plan and the ESPP, hosting fees, customer service, credit card processing fees, product costs, and allocated overhead. Cost of revenue is exclusive of depreciation and amortization, which is shown as a separate line item.</w:t>
      </w:r>
    </w:p>
    <w:p>
      <w:pPr>
        <w:spacing w:after="0" w:line="123"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We expect cost of revenue to increase as our business grows, including as a result of new acquisitions, joint ventures, and other strategic transactions. However, the level and timing of our variable compensation may not match the pattern of how net revenue is recognized over the subscription term. Therefore, we expect that our cost of revenue will fluctuate as a percentage of net revenue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63" w:lineRule="exact"/>
        <w:rPr>
          <w:sz w:val="20"/>
          <w:szCs w:val="20"/>
          <w:color w:val="auto"/>
        </w:rPr>
      </w:pPr>
    </w:p>
    <w:p>
      <w:pPr>
        <w:ind w:right="440"/>
        <w:spacing w:after="0" w:line="315" w:lineRule="auto"/>
        <w:rPr>
          <w:sz w:val="20"/>
          <w:szCs w:val="20"/>
          <w:color w:val="auto"/>
        </w:rPr>
      </w:pPr>
      <w:r>
        <w:rPr>
          <w:rFonts w:ascii="Arial" w:cs="Arial" w:eastAsia="Arial" w:hAnsi="Arial"/>
          <w:sz w:val="15"/>
          <w:szCs w:val="15"/>
          <w:color w:val="auto"/>
        </w:rPr>
        <w:t>Sales and marketing consists of costs associated with marketing and selling our products and services, including payroll, payroll-related costs and stock-based compensation expenses related to the 2021 Incentive Award Plan and the ESPP, amortization of deferred contract acquisition costs, agency costs, advertising campaigns, and branding initiatives. Sales and marketing expenses are exclusive of depreciation and amortization shown as a separate line item.</w:t>
      </w:r>
    </w:p>
    <w:p>
      <w:pPr>
        <w:spacing w:after="0" w:line="89"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We expect that our sales and marketing expense will increase in absolute dollars and continue to be our largest operating expense for the foreseeable future as we expand our sales and marketing efforts. However, because we incur sales and marketing expenses up front when we launch campaigns to drive sales, while we recognize net revenue ratably over the underlying subscription term, we expect that our sales and marketing expense will fluctuate as a percentage of our net revenue over the long term. Sales and marketing expenses may fluctuate further as a result of acquisitions, joint ventures, or other strategic transactions we undertake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3"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Research and development consists of costs associated with technical services, including payroll, payroll-related costs and stock-based compensation expenses related to the 2021 Incentive Award Plan and the ESPP,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expenses, and hosting expenses. Research and development expenses are exclusive of depreciation and amortization shown as a separate line item.</w:t>
      </w:r>
    </w:p>
    <w:p>
      <w:pPr>
        <w:spacing w:after="0" w:line="175" w:lineRule="exact"/>
        <w:rPr>
          <w:sz w:val="20"/>
          <w:szCs w:val="20"/>
          <w:color w:val="auto"/>
        </w:rPr>
      </w:pPr>
    </w:p>
    <w:p>
      <w:pPr>
        <w:ind w:right="580"/>
        <w:spacing w:after="0" w:line="309" w:lineRule="auto"/>
        <w:rPr>
          <w:sz w:val="20"/>
          <w:szCs w:val="20"/>
          <w:color w:val="auto"/>
        </w:rPr>
      </w:pPr>
      <w:r>
        <w:rPr>
          <w:rFonts w:ascii="Arial" w:cs="Arial" w:eastAsia="Arial" w:hAnsi="Arial"/>
          <w:sz w:val="16"/>
          <w:szCs w:val="16"/>
          <w:color w:val="auto"/>
        </w:rPr>
        <w:t>We expect that our research and development expense will increase in absolute dollars as our business grows, including as a result of new acquisitions, joint ventures, and other strategic transactions, particularly as we incur additional costs related to continued investments in our platform.</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63"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General and administrative consists of costs associated with our finance, legal, information technology, human resources, executive, and administrative personnel, including payroll, payroll-related costs and stock-based compensation expenses related to the 2021 Incentive Award Plan, the ESPP, and profits interests awards, legal fees, corporate insurance, office expenses, professional fees, and travel and entertainment costs.</w:t>
      </w:r>
    </w:p>
    <w:p>
      <w:pPr>
        <w:spacing w:after="0" w:line="106"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We expect to continue to incur general and administrative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General and administrative expenses may fluctuate further as a result of acquisitions, joint ventures, or other strategic transactions we undertake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63"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 We expect depreciation and amortization expenses to increase on an absolute dollar basis as our business grows, including as a result of new acquisitions, joint ventures, and other strategic transactions, but to remain generally consistent as a percentage of total net revenue.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Intangible Assets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Impairment of intangible assets consists of impairment losses related to our Buttonwood Publishing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Expense</w:t>
      </w:r>
    </w:p>
    <w:p>
      <w:pPr>
        <w:spacing w:after="0" w:line="16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Related party expenses primarily consist of board of director compensation, revenue share expenses, and costs for certain corporate functions performed by a related party.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primarily consists of the net gains on our embedded derivative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Interest income (expense), net primarily consists of interest income from our money market accounts, as well as interest expense related to our 2021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63"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As of September 30, 2023, MarketWise, Inc.’s controlling interest in MarketWise, LLC was 10.6% and the noncontrolling interest was 89.4%. For the three and nine months ended September 30, 2023, net income attributable to controlling interests included a $0.7 million tax provision and a $2.0 million tax provision, respectively, both of which were solely attributable to the controlling interest.</w:t>
      </w:r>
    </w:p>
    <w:p>
      <w:pPr>
        <w:spacing w:after="0" w:line="1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As of September 30, 2022, MarketWise, Inc.’s controlling interest in MarketWise, LLC was 9.0% and the noncontrolling interest was 91.0%. For the three months ended September 30, 2022 net income attributable to controlling interests included a $3.9 million loss on warrant liabilities and a $1.4 million tax provision, and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7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nine months ended September 30, 2022 net income attributable to controlling interests included a $14.9 million gain on warrant liabilities and a $3.9 million tax provision, both of which were solely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5"/>
                <w:szCs w:val="15"/>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5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8"/>
        </w:trPr>
        <w:tc>
          <w:tcPr>
            <w:tcW w:w="5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383,383</w:t>
            </w:r>
          </w:p>
        </w:tc>
      </w:tr>
      <w:tr>
        <w:trPr>
          <w:trHeight w:val="21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Related party revenue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1,363</w:t>
            </w:r>
          </w:p>
        </w:tc>
      </w:tr>
      <w:tr>
        <w:trPr>
          <w:trHeight w:val="211"/>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net revenue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384,746</w:t>
            </w:r>
          </w:p>
        </w:tc>
      </w:tr>
      <w:tr>
        <w:trPr>
          <w:trHeight w:val="217"/>
        </w:trPr>
        <w:tc>
          <w:tcPr>
            <w:tcW w:w="56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560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48,328</w:t>
            </w:r>
          </w:p>
        </w:tc>
      </w:tr>
      <w:tr>
        <w:trPr>
          <w:trHeight w:val="218"/>
        </w:trPr>
        <w:tc>
          <w:tcPr>
            <w:tcW w:w="5600" w:type="dxa"/>
            <w:vAlign w:val="bottom"/>
          </w:tcPr>
          <w:p>
            <w:pPr>
              <w:ind w:left="220"/>
              <w:spacing w:after="0" w:line="218"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51,635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150,226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184,922</w:t>
            </w:r>
          </w:p>
        </w:tc>
      </w:tr>
      <w:tr>
        <w:trPr>
          <w:trHeight w:val="218"/>
        </w:trPr>
        <w:tc>
          <w:tcPr>
            <w:tcW w:w="5600" w:type="dxa"/>
            <w:vAlign w:val="bottom"/>
            <w:shd w:val="clear" w:color="auto" w:fill="CCEEFF"/>
          </w:tcPr>
          <w:p>
            <w:pPr>
              <w:ind w:left="220"/>
              <w:spacing w:after="0" w:line="218"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79,895</w:t>
            </w:r>
          </w:p>
        </w:tc>
      </w:tr>
      <w:tr>
        <w:trPr>
          <w:trHeight w:val="218"/>
        </w:trPr>
        <w:tc>
          <w:tcPr>
            <w:tcW w:w="5600" w:type="dxa"/>
            <w:vAlign w:val="bottom"/>
          </w:tcPr>
          <w:p>
            <w:pPr>
              <w:ind w:left="220"/>
              <w:spacing w:after="0" w:line="218"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6,740</w:t>
            </w:r>
          </w:p>
        </w:tc>
      </w:tr>
      <w:tr>
        <w:trPr>
          <w:trHeight w:val="218"/>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w:t>
            </w:r>
          </w:p>
        </w:tc>
      </w:tr>
      <w:tr>
        <w:trPr>
          <w:trHeight w:val="217"/>
        </w:trPr>
        <w:tc>
          <w:tcPr>
            <w:tcW w:w="5600" w:type="dxa"/>
            <w:vAlign w:val="bottom"/>
          </w:tcPr>
          <w:p>
            <w:pPr>
              <w:ind w:left="220"/>
              <w:spacing w:after="0"/>
              <w:rPr>
                <w:sz w:val="20"/>
                <w:szCs w:val="20"/>
                <w:color w:val="auto"/>
              </w:rPr>
            </w:pPr>
            <w:r>
              <w:rPr>
                <w:rFonts w:ascii="Arial" w:cs="Arial" w:eastAsia="Arial" w:hAnsi="Arial"/>
                <w:sz w:val="17"/>
                <w:szCs w:val="17"/>
                <w:color w:val="auto"/>
              </w:rPr>
              <w:t>Impairment of intangible assets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Related party expense</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10"/>
        </w:trPr>
        <w:tc>
          <w:tcPr>
            <w:tcW w:w="56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95,108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98,208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285,458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322,228</w:t>
            </w:r>
          </w:p>
        </w:tc>
      </w:tr>
      <w:tr>
        <w:trPr>
          <w:trHeight w:val="211"/>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62,518</w:t>
            </w:r>
          </w:p>
        </w:tc>
      </w:tr>
      <w:tr>
        <w:trPr>
          <w:trHeight w:val="217"/>
        </w:trPr>
        <w:tc>
          <w:tcPr>
            <w:tcW w:w="56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15,568</w:t>
            </w: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1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before income taxes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17,892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77,514</w:t>
            </w:r>
          </w:p>
        </w:tc>
      </w:tr>
      <w:tr>
        <w:trPr>
          <w:trHeight w:val="211"/>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3,945</w:t>
            </w:r>
          </w:p>
        </w:tc>
      </w:tr>
      <w:tr>
        <w:trPr>
          <w:trHeight w:val="21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16,509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52,392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73,569</w:t>
            </w: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20,521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50,749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59,875</w:t>
            </w:r>
          </w:p>
        </w:tc>
      </w:tr>
      <w:tr>
        <w:trPr>
          <w:trHeight w:val="211"/>
        </w:trPr>
        <w:tc>
          <w:tcPr>
            <w:tcW w:w="5600" w:type="dxa"/>
            <w:vAlign w:val="bottom"/>
          </w:tcPr>
          <w:p>
            <w:pPr>
              <w:ind w:left="20"/>
              <w:spacing w:after="0"/>
              <w:rPr>
                <w:sz w:val="20"/>
                <w:szCs w:val="20"/>
                <w:color w:val="auto"/>
              </w:rPr>
            </w:pPr>
            <w:r>
              <w:rPr>
                <w:rFonts w:ascii="Arial" w:cs="Arial" w:eastAsia="Arial" w:hAnsi="Arial"/>
                <w:sz w:val="17"/>
                <w:szCs w:val="17"/>
                <w:color w:val="auto"/>
              </w:rPr>
              <w:t>Net income (loss) attributable to MarketWise, Inc.</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13,694</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00" w:hanging="298"/>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net revenue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302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52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8"/>
        </w:trPr>
        <w:tc>
          <w:tcPr>
            <w:tcW w:w="5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18"/>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7"/>
        </w:trPr>
        <w:tc>
          <w:tcPr>
            <w:tcW w:w="5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52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12.6 %</w:t>
            </w:r>
          </w:p>
        </w:tc>
      </w:tr>
      <w:tr>
        <w:trPr>
          <w:trHeight w:val="218"/>
        </w:trPr>
        <w:tc>
          <w:tcPr>
            <w:tcW w:w="5280" w:type="dxa"/>
            <w:vAlign w:val="bottom"/>
          </w:tcPr>
          <w:p>
            <w:pPr>
              <w:ind w:left="220"/>
              <w:spacing w:after="0" w:line="218"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1420" w:type="dxa"/>
            <w:vAlign w:val="bottom"/>
          </w:tcPr>
          <w:p>
            <w:pPr>
              <w:jc w:val="right"/>
              <w:spacing w:after="0"/>
              <w:rPr>
                <w:sz w:val="20"/>
                <w:szCs w:val="20"/>
                <w:color w:val="auto"/>
              </w:rPr>
            </w:pPr>
            <w:r>
              <w:rPr>
                <w:rFonts w:ascii="Arial" w:cs="Arial" w:eastAsia="Arial" w:hAnsi="Arial"/>
                <w:sz w:val="17"/>
                <w:szCs w:val="17"/>
                <w:color w:val="auto"/>
              </w:rPr>
              <w:t>49.4 %</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43.1 %</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44.7 %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48.1 %</w:t>
            </w:r>
          </w:p>
        </w:tc>
      </w:tr>
      <w:tr>
        <w:trPr>
          <w:trHeight w:val="218"/>
        </w:trPr>
        <w:tc>
          <w:tcPr>
            <w:tcW w:w="5280" w:type="dxa"/>
            <w:vAlign w:val="bottom"/>
            <w:shd w:val="clear" w:color="auto" w:fill="CCEEFF"/>
          </w:tcPr>
          <w:p>
            <w:pPr>
              <w:ind w:left="220"/>
              <w:spacing w:after="0" w:line="218"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20.8 %</w:t>
            </w:r>
          </w:p>
        </w:tc>
      </w:tr>
      <w:tr>
        <w:trPr>
          <w:trHeight w:val="218"/>
        </w:trPr>
        <w:tc>
          <w:tcPr>
            <w:tcW w:w="5280" w:type="dxa"/>
            <w:vAlign w:val="bottom"/>
          </w:tcPr>
          <w:p>
            <w:pPr>
              <w:ind w:left="220"/>
              <w:spacing w:after="0" w:line="218"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1420" w:type="dxa"/>
            <w:vAlign w:val="bottom"/>
          </w:tcPr>
          <w:p>
            <w:pPr>
              <w:jc w:val="right"/>
              <w:spacing w:after="0"/>
              <w:rPr>
                <w:sz w:val="20"/>
                <w:szCs w:val="20"/>
                <w:color w:val="auto"/>
              </w:rPr>
            </w:pPr>
            <w:r>
              <w:rPr>
                <w:rFonts w:ascii="Arial" w:cs="Arial" w:eastAsia="Arial" w:hAnsi="Arial"/>
                <w:sz w:val="17"/>
                <w:szCs w:val="17"/>
                <w:color w:val="auto"/>
              </w:rPr>
              <w:t>2.0 %</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18"/>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r>
      <w:tr>
        <w:trPr>
          <w:trHeight w:val="217"/>
        </w:trPr>
        <w:tc>
          <w:tcPr>
            <w:tcW w:w="5280" w:type="dxa"/>
            <w:vAlign w:val="bottom"/>
          </w:tcPr>
          <w:p>
            <w:pPr>
              <w:ind w:left="220"/>
              <w:spacing w:after="0"/>
              <w:rPr>
                <w:sz w:val="20"/>
                <w:szCs w:val="20"/>
                <w:color w:val="auto"/>
              </w:rPr>
            </w:pPr>
            <w:r>
              <w:rPr>
                <w:rFonts w:ascii="Arial" w:cs="Arial" w:eastAsia="Arial" w:hAnsi="Arial"/>
                <w:sz w:val="17"/>
                <w:szCs w:val="17"/>
                <w:color w:val="auto"/>
              </w:rPr>
              <w:t>Impairment of intangible assets</w:t>
            </w:r>
          </w:p>
        </w:tc>
        <w:tc>
          <w:tcPr>
            <w:tcW w:w="1420" w:type="dxa"/>
            <w:vAlign w:val="bottom"/>
          </w:tcPr>
          <w:p>
            <w:pPr>
              <w:jc w:val="right"/>
              <w:spacing w:after="0"/>
              <w:rPr>
                <w:sz w:val="20"/>
                <w:szCs w:val="20"/>
                <w:color w:val="auto"/>
              </w:rPr>
            </w:pPr>
            <w:r>
              <w:rPr>
                <w:rFonts w:ascii="Arial" w:cs="Arial" w:eastAsia="Arial" w:hAnsi="Arial"/>
                <w:sz w:val="17"/>
                <w:szCs w:val="17"/>
                <w:color w:val="auto"/>
              </w:rPr>
              <w:t>0.6 %</w:t>
            </w: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8"/>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Related party expense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r>
      <w:tr>
        <w:trPr>
          <w:trHeight w:val="210"/>
        </w:trPr>
        <w:tc>
          <w:tcPr>
            <w:tcW w:w="52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89.6 %</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81.9 %</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83.8 %</w:t>
            </w:r>
          </w:p>
        </w:tc>
      </w:tr>
      <w:tr>
        <w:trPr>
          <w:trHeight w:val="211"/>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16.2 %</w:t>
            </w:r>
          </w:p>
        </w:tc>
      </w:tr>
      <w:tr>
        <w:trPr>
          <w:trHeight w:val="217"/>
        </w:trPr>
        <w:tc>
          <w:tcPr>
            <w:tcW w:w="528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420" w:type="dxa"/>
            <w:vAlign w:val="bottom"/>
          </w:tcPr>
          <w:p>
            <w:pPr>
              <w:jc w:val="right"/>
              <w:spacing w:after="0"/>
              <w:rPr>
                <w:sz w:val="20"/>
                <w:szCs w:val="20"/>
                <w:color w:val="auto"/>
              </w:rPr>
            </w:pPr>
            <w:r>
              <w:rPr>
                <w:rFonts w:ascii="Arial" w:cs="Arial" w:eastAsia="Arial" w:hAnsi="Arial"/>
                <w:sz w:val="17"/>
                <w:szCs w:val="17"/>
                <w:color w:val="auto"/>
              </w:rPr>
              <w:t>0.2 %</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4.0 %</w:t>
            </w:r>
          </w:p>
        </w:tc>
      </w:tr>
      <w:tr>
        <w:trPr>
          <w:trHeight w:val="218"/>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before income taxes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12.0 %</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14.9 %</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20.1 %</w:t>
            </w:r>
          </w:p>
        </w:tc>
      </w:tr>
      <w:tr>
        <w:trPr>
          <w:trHeight w:val="211"/>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1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11.3 %</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13.8 %</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19.1 %</w:t>
            </w: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17.1 %</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15.1 %</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15.6 %</w:t>
            </w: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Net income (loss) attributable to MarketWise, Inc.</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3.6 %</w:t>
            </w:r>
          </w:p>
        </w:tc>
      </w:tr>
      <w:tr>
        <w:trPr>
          <w:trHeight w:val="20"/>
        </w:trPr>
        <w:tc>
          <w:tcPr>
            <w:tcW w:w="5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00" w:hanging="298"/>
        <w:spacing w:after="0"/>
        <w:tabs>
          <w:tab w:leader="none" w:pos="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Cost of revenue, sales and marketing, general and administrative, and research and development expenses are exclusive of depreciation and amortization shown as a separate line item.</w:t>
      </w:r>
    </w:p>
    <w:p>
      <w:pPr>
        <w:spacing w:after="0" w:line="160" w:lineRule="exact"/>
        <w:rPr>
          <w:sz w:val="20"/>
          <w:szCs w:val="20"/>
          <w:color w:val="auto"/>
        </w:rPr>
      </w:pPr>
    </w:p>
    <w:p>
      <w:pPr>
        <w:ind w:right="3700"/>
        <w:spacing w:after="0" w:line="470" w:lineRule="auto"/>
        <w:rPr>
          <w:sz w:val="20"/>
          <w:szCs w:val="20"/>
          <w:color w:val="auto"/>
        </w:rPr>
      </w:pPr>
      <w:r>
        <w:rPr>
          <w:rFonts w:ascii="Arial" w:cs="Arial" w:eastAsia="Arial" w:hAnsi="Arial"/>
          <w:sz w:val="17"/>
          <w:szCs w:val="17"/>
          <w:b w:val="1"/>
          <w:bCs w:val="1"/>
          <w:color w:val="auto"/>
        </w:rPr>
        <w:t xml:space="preserve">Comparison of Three Months Ended September 30, 2023 and Three Months Ended September 30, 2022 </w:t>
      </w:r>
      <w:r>
        <w:rPr>
          <w:rFonts w:ascii="Arial" w:cs="Arial" w:eastAsia="Arial" w:hAnsi="Arial"/>
          <w:sz w:val="17"/>
          <w:szCs w:val="17"/>
          <w:b w:val="1"/>
          <w:bCs w:val="1"/>
          <w:i w:val="1"/>
          <w:iCs w:val="1"/>
          <w:color w:val="auto"/>
        </w:rPr>
        <w:t>Net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5"/>
                <w:szCs w:val="15"/>
                <w:color w:val="auto"/>
              </w:rPr>
            </w:pPr>
          </w:p>
        </w:tc>
        <w:tc>
          <w:tcPr>
            <w:tcW w:w="270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2"/>
                <w:szCs w:val="2"/>
                <w:color w:val="auto"/>
              </w:rPr>
            </w:pPr>
          </w:p>
        </w:tc>
        <w:tc>
          <w:tcPr>
            <w:tcW w:w="15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50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106,150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119,934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Net revenue decreased by $13.8 million, or 11.5%, from $119.9 million for the three months ended September 30, 2022 to $106.2 million for the three months ended September 30, 2023. The decrease in net revenue was primarily driven by a $14.7 million decrease in term subscription revenue, partially offset by a $1.3 million increase in membership subscription revenue.</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Term subscription revenue decreased during the three months ended September 30, 2023 primarily due to lower Billings as compared to the 2022 period, which was driven by reduced engagement of prospective and existing subscribers in the 2022 period. Membership subscription revenue, which is initially deferred and recognized over a five-year period, increased during the three months ended September 30, 2023 as a result of an increase in Billings related to membership subscriptions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7"/>
                <w:szCs w:val="17"/>
                <w:color w:val="auto"/>
              </w:rPr>
              <w:t>Cost of revenue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13,812</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14,482</w:t>
            </w:r>
          </w:p>
        </w:tc>
        <w:tc>
          <w:tcPr>
            <w:tcW w:w="10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(670)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(3,981)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Impairment of intangible assets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 expenses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61.5 %</w:t>
            </w: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95,108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98,208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Cost of revenue decreased by $0.7 million, or 4.6%, from $14.5 million for the three months ended September 30, 2022 to $13.8 million for the three months ended September 30, 2023, primarily driven by a $0.7 million decrease in salaries, taxes and benefits, and a $0.2 million decrease in credit card fees. This was partially offset by a $0.2 million increase in stock-based compensation expense related to awards under the 2021 Incentive Award Plan.</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6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Sales and marketing expense increased by $0.8 million, or 1.6%, from $51.6 million for the three months ended September 30, 2022 to $52.5 million for the three months ended September 30, 2023, primarily driven by a $3.4 million increase in amortization of deferred contract acquisition costs, a $0.3 million increase in outside labor, and a $0.2 million increase in stock-based compensation expense related to awards under the 2021 Incentive Award Plan. This was partially offset by a $3.0 million decrease in marketing expense, as we have reduced our marketing spend as part of our cost reduction initiatives.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63"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General and administrative expense decreased by $4.0 million, or 13.7%, from $29.0 million for the three months ended September 30, 2022 to $25.0 million for the three months ended September 30, 2023, primarily driven by a $2.9 million decrease in professional fees, a $1.0 million decrease in severance expense, a $0.4 million decrease in salaries, taxes and benefits, a $0.3 million decrease in software expense, and a $0.3 million decrease in insurance expense. This was partially offset by a $1.6 million increase in incentive compensation, and a $1.0 million increase in stock-based compensation expense related to awards under the 2021 Incentive Award Plan, the ESPP, and profits interests awards.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Intangible Assets</w:t>
      </w:r>
    </w:p>
    <w:p>
      <w:pPr>
        <w:spacing w:after="0" w:line="163" w:lineRule="exact"/>
        <w:rPr>
          <w:sz w:val="20"/>
          <w:szCs w:val="20"/>
          <w:color w:val="auto"/>
        </w:rPr>
      </w:pPr>
    </w:p>
    <w:p>
      <w:pPr>
        <w:jc w:val="both"/>
        <w:ind w:right="260"/>
        <w:spacing w:after="0" w:line="264" w:lineRule="auto"/>
        <w:rPr>
          <w:sz w:val="20"/>
          <w:szCs w:val="20"/>
          <w:color w:val="auto"/>
        </w:rPr>
      </w:pPr>
      <w:r>
        <w:rPr>
          <w:rFonts w:ascii="Arial" w:cs="Arial" w:eastAsia="Arial" w:hAnsi="Arial"/>
          <w:sz w:val="17"/>
          <w:szCs w:val="17"/>
          <w:color w:val="auto"/>
        </w:rPr>
        <w:t>During the three months ended September 30, 2023, we determined that impairment indicators were present with respect to our Buttonwood Publishing business which we had acquired during 2022, due to continuing losses. As a result, we recorded an impairment loss on Buttonwood Publishing’s intangible assets totaling $584.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67" w:lineRule="exact"/>
        <w:rPr>
          <w:sz w:val="20"/>
          <w:szCs w:val="20"/>
          <w:color w:val="auto"/>
        </w:rPr>
      </w:pPr>
    </w:p>
    <w:p>
      <w:pPr>
        <w:ind w:right="3880"/>
        <w:spacing w:after="0" w:line="470" w:lineRule="auto"/>
        <w:rPr>
          <w:sz w:val="20"/>
          <w:szCs w:val="20"/>
          <w:color w:val="auto"/>
        </w:rPr>
      </w:pPr>
      <w:r>
        <w:rPr>
          <w:rFonts w:ascii="Arial" w:cs="Arial" w:eastAsia="Arial" w:hAnsi="Arial"/>
          <w:sz w:val="17"/>
          <w:szCs w:val="17"/>
          <w:b w:val="1"/>
          <w:bCs w:val="1"/>
          <w:color w:val="auto"/>
        </w:rPr>
        <w:t xml:space="preserve">Comparison of Nine Months Ended September 30, 2023 and Nine Months Ended September 30, 2022 </w:t>
      </w:r>
      <w:r>
        <w:rPr>
          <w:rFonts w:ascii="Arial" w:cs="Arial" w:eastAsia="Arial" w:hAnsi="Arial"/>
          <w:sz w:val="17"/>
          <w:szCs w:val="17"/>
          <w:b w:val="1"/>
          <w:bCs w:val="1"/>
          <w:i w:val="1"/>
          <w:iCs w:val="1"/>
          <w:color w:val="auto"/>
        </w:rPr>
        <w:t>Net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268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8"/>
        </w:trPr>
        <w:tc>
          <w:tcPr>
            <w:tcW w:w="5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336,027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384,746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(48,719)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63"/>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Net revenue decreased by $48.7 million, or 12.7%, from $384.7 million for the nine months ended September 30, 2022 to $336.0 million for the nine months ended September 30, 2023. The decrease in net revenue was primarily driven by a $37.9 million decrease in term subscription revenue, a $10.2 million decrease in membership subscription revenue and a $0.5 million decrease in non-subscription revenue.</w:t>
      </w: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Term subscription revenue decreased during the nine months ended September 30, 2023 primarily due to lower Billings as compared to the 2022 period, which was driven by reduced engagement of prospective and existing subscribers in the 2022 period. Membership subscription revenue, which is initially deferred and recognized over a five-year period, decreased during the nine months ended September 30, 2023 as a result of lower volume of membership subscriptions in current and prior years.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5"/>
                <w:szCs w:val="15"/>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7"/>
                <w:szCs w:val="17"/>
                <w:color w:val="auto"/>
              </w:rPr>
              <w:t>Cost of revenue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43,737</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48,328</w:t>
            </w:r>
          </w:p>
        </w:tc>
        <w:tc>
          <w:tcPr>
            <w:tcW w:w="10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(4,591)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(34,696)</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80,667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45.1 %</w:t>
            </w: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Impairment of intangible assets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 expenses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67.9 %</w:t>
            </w: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285,458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322,228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(36,770)</w:t>
            </w: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Cost of revenue decreased by $4.6 million, or 9.5%, from $48.3 million for the nine months ended September 30, 2022 to $43.7 million for the nine months ended September 30, 2023, primarily driven by a $2.1 million decrease in salaries, taxes and benefits, a $1.6 million decrease in credit card fees, a $1.3 million decrease in outside labor, primarily related to customer service, and a $0.6 million decrease related to subscription printing and postage. This was partially offset by a $0.9 million increase in stock-based compensation expense related to awards under the 2021 Incentive Award Plan and the ESPP, and a $0.3 million increase in freelance editorial expense.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6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Sales and marketing expense decreased by $34.7 million, or 18.8%, from $184.9 million for the nine months ended September 30, 2022 to $150.2 million for the nine months ended September 30, 2023, primarily driven by a $47.2 million decrease in marketing expense as we have reduced our marketing spend as part of our cost reduction initiatives and due to higher per unit subscriber acquisition costs, and a $0.7 million decrease in conference expense. This was partially offset by a $11.5 million increase in amortization of deferred contract acquisition costs, a $1.1 million increase in salaries, taxes and benefits, and a $0.9 million increase in stock-based compensation expense related to awards under the 2021 Incentive Award Plan and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6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General and administrative expense increased by $0.8 million, or 1.0%, from $79.9 million for the nine months ended September 30, 2022 to $80.7 million for the nine months ended September 30, 2023, primarily driven by a $6.3 million increase in incentive compensation, a $2.8 million increase related to sales tax, a $2.0 million increase in stock-based compensation expense related to awards under the 2021 Incentive Award Plan, the ESPP, and profits interests awards, and a $1.0 million increase in outside labor. This was partially offset by a $3.3 million decrease in salaries, taxes and benefits, a $2.8 million decrease in professional fees, a $1.4 million decrease in severance expense, a $1.3 million decrease in professional fees, a $0.8 million decrease in insurance expense, a $0.8 million decrease in non-software subscriptions, and a $0.7 million decrease in software expense.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Intangible Assets</w:t>
      </w:r>
    </w:p>
    <w:p>
      <w:pPr>
        <w:spacing w:after="0" w:line="163" w:lineRule="exact"/>
        <w:rPr>
          <w:sz w:val="20"/>
          <w:szCs w:val="20"/>
          <w:color w:val="auto"/>
        </w:rPr>
      </w:pPr>
    </w:p>
    <w:p>
      <w:pPr>
        <w:jc w:val="both"/>
        <w:ind w:right="260"/>
        <w:spacing w:after="0" w:line="264" w:lineRule="auto"/>
        <w:rPr>
          <w:sz w:val="20"/>
          <w:szCs w:val="20"/>
          <w:color w:val="auto"/>
        </w:rPr>
      </w:pPr>
      <w:r>
        <w:rPr>
          <w:rFonts w:ascii="Arial" w:cs="Arial" w:eastAsia="Arial" w:hAnsi="Arial"/>
          <w:sz w:val="17"/>
          <w:szCs w:val="17"/>
          <w:color w:val="auto"/>
        </w:rPr>
        <w:t>During the nine months ended September 30, 2023, we determined that impairment indicators were present with respect to our Buttonwood Publishing business which we had acquired during 2022, due to continuing losses. As a result, we recorded an impairment loss on Buttonwood Publishing’s intangible assets totaling $584.</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addition to our results determined in accordance with GAAP, we believe that the below non-GAAP financial measures are useful in evaluating our ability to generate cash.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5"/>
                <w:szCs w:val="15"/>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78"/>
        </w:trPr>
        <w:tc>
          <w:tcPr>
            <w:tcW w:w="3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CFFO</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12,055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13,091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3"/>
              <w:spacing w:after="0"/>
              <w:rPr>
                <w:sz w:val="20"/>
                <w:szCs w:val="20"/>
                <w:color w:val="auto"/>
              </w:rPr>
            </w:pPr>
            <w:r>
              <w:rPr>
                <w:rFonts w:ascii="Arial" w:cs="Arial" w:eastAsia="Arial" w:hAnsi="Arial"/>
                <w:sz w:val="17"/>
                <w:szCs w:val="17"/>
                <w:i w:val="1"/>
                <w:iCs w:val="1"/>
                <w:color w:val="auto"/>
              </w:rPr>
              <w:t>(7.9)%</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44,901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40,953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7"/>
                <w:szCs w:val="17"/>
                <w:i w:val="1"/>
                <w:iCs w:val="1"/>
                <w:color w:val="auto"/>
              </w:rPr>
              <w:t>9.6%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7"/>
                <w:szCs w:val="17"/>
                <w:color w:val="auto"/>
              </w:rPr>
              <w:t>Adjusted CFFO Margin</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12.6 %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12.5 %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15.5 %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CFFO / Adjusted CFFO Margin</w:t>
      </w:r>
    </w:p>
    <w:p>
      <w:pPr>
        <w:spacing w:after="0" w:line="163"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In addition to our results determined in accordance with GAAP, we disclose the non-GAAP financial measures Adjusted CFFO and Adjusted CFFO Margin. We define Adjusted CFFO as cash flow from operations plus or minus any non-recurring items. We define Adjusted CFFO Margin as Adjusted CFFO as a percentage of Billings.</w:t>
      </w:r>
    </w:p>
    <w:p>
      <w:pPr>
        <w:spacing w:after="0" w:line="123"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color w:val="auto"/>
        </w:rPr>
        <w:t>We believe that Adjusted CFFO and Adjusted CFFO Margin are useful indicators that provide information to management and investors about our ability to generate cash (without the effects of non-recurring items), and for internal planning and forecasting purposes.</w:t>
      </w:r>
    </w:p>
    <w:p>
      <w:pPr>
        <w:spacing w:after="0" w:line="114"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Adjusted CFFO and Adjusted CFFO Margin have limitations as analytical tools, and should not be considered in isolation or as substitutes for analysis of other GAAP financial measures, such as cash flow from operations or operating cash flow margin. Some of the limitations of using Adjusted CFFO and Adjusted CFFO Margin are that these metrics may be calculated differently by other companies in our industry.</w:t>
      </w:r>
    </w:p>
    <w:p>
      <w:pPr>
        <w:spacing w:after="0" w:line="123"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following table provides a reconciliation of net cash provided by operating activities, the most directly comparable financial measure calculated in accordance with GAAP, to Adjusted CFFO for each of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334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324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8"/>
        </w:trPr>
        <w:tc>
          <w:tcPr>
            <w:tcW w:w="40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18"/>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12,055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9,901</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44,901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37,763</w:t>
            </w:r>
          </w:p>
        </w:tc>
        <w:tc>
          <w:tcPr>
            <w:tcW w:w="10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i w:val="1"/>
                <w:iCs w:val="1"/>
                <w:color w:val="auto"/>
                <w:w w:val="91"/>
              </w:rPr>
              <w:t>18.9%</w:t>
            </w:r>
          </w:p>
        </w:tc>
      </w:tr>
      <w:tr>
        <w:trPr>
          <w:trHeight w:val="217"/>
        </w:trPr>
        <w:tc>
          <w:tcPr>
            <w:tcW w:w="4080" w:type="dxa"/>
            <w:vAlign w:val="bottom"/>
          </w:tcPr>
          <w:p>
            <w:pPr>
              <w:ind w:left="20"/>
              <w:spacing w:after="0"/>
              <w:rPr>
                <w:sz w:val="20"/>
                <w:szCs w:val="20"/>
                <w:color w:val="auto"/>
              </w:rPr>
            </w:pPr>
            <w:r>
              <w:rPr>
                <w:rFonts w:ascii="Arial" w:cs="Arial" w:eastAsia="Arial" w:hAnsi="Arial"/>
                <w:sz w:val="17"/>
                <w:szCs w:val="17"/>
                <w:color w:val="auto"/>
              </w:rPr>
              <w:t>Non-recurring expenses</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3,190</w:t>
            </w:r>
          </w:p>
        </w:tc>
        <w:tc>
          <w:tcPr>
            <w:tcW w:w="1040" w:type="dxa"/>
            <w:vAlign w:val="bottom"/>
            <w:gridSpan w:val="2"/>
          </w:tcPr>
          <w:p>
            <w:pPr>
              <w:jc w:val="center"/>
              <w:spacing w:after="0"/>
              <w:rPr>
                <w:sz w:val="20"/>
                <w:szCs w:val="20"/>
                <w:color w:val="auto"/>
              </w:rPr>
            </w:pPr>
            <w:r>
              <w:rPr>
                <w:rFonts w:ascii="Arial" w:cs="Arial" w:eastAsia="Arial" w:hAnsi="Arial"/>
                <w:sz w:val="17"/>
                <w:szCs w:val="17"/>
                <w:i w:val="1"/>
                <w:iCs w:val="1"/>
                <w:color w:val="auto"/>
                <w:w w:val="92"/>
              </w:rPr>
              <w:t>(100.0)%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3,190</w:t>
            </w:r>
          </w:p>
        </w:tc>
        <w:tc>
          <w:tcPr>
            <w:tcW w:w="1040" w:type="dxa"/>
            <w:vAlign w:val="bottom"/>
            <w:gridSpan w:val="2"/>
          </w:tcPr>
          <w:p>
            <w:pPr>
              <w:jc w:val="center"/>
              <w:ind w:left="35"/>
              <w:spacing w:after="0"/>
              <w:rPr>
                <w:sz w:val="20"/>
                <w:szCs w:val="20"/>
                <w:color w:val="auto"/>
              </w:rPr>
            </w:pPr>
            <w:r>
              <w:rPr>
                <w:rFonts w:ascii="Arial" w:cs="Arial" w:eastAsia="Arial" w:hAnsi="Arial"/>
                <w:sz w:val="17"/>
                <w:szCs w:val="17"/>
                <w:i w:val="1"/>
                <w:iCs w:val="1"/>
                <w:color w:val="auto"/>
                <w:w w:val="92"/>
              </w:rPr>
              <w:t>(100.0)%</w:t>
            </w:r>
          </w:p>
        </w:tc>
      </w:tr>
      <w:tr>
        <w:trPr>
          <w:trHeight w:val="236"/>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CFFO</w:t>
            </w: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12,055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13,091</w:t>
            </w:r>
          </w:p>
        </w:tc>
        <w:tc>
          <w:tcPr>
            <w:tcW w:w="1040" w:type="dxa"/>
            <w:vAlign w:val="bottom"/>
            <w:tcBorders>
              <w:top w:val="single" w:sz="8" w:color="CCEEFF"/>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7"/>
                <w:szCs w:val="17"/>
                <w:i w:val="1"/>
                <w:iCs w:val="1"/>
                <w:color w:val="auto"/>
                <w:w w:val="91"/>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44,901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40,953</w:t>
            </w:r>
          </w:p>
        </w:tc>
        <w:tc>
          <w:tcPr>
            <w:tcW w:w="1040" w:type="dxa"/>
            <w:vAlign w:val="bottom"/>
            <w:tcBorders>
              <w:top w:val="single" w:sz="8" w:color="CCEEFF"/>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7"/>
                <w:szCs w:val="17"/>
                <w:i w:val="1"/>
                <w:iCs w:val="1"/>
                <w:color w:val="auto"/>
                <w:w w:val="87"/>
              </w:rPr>
              <w:t>9.6%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N/M: Not meaningful</w:t>
      </w:r>
    </w:p>
    <w:p>
      <w:pPr>
        <w:spacing w:after="0" w:line="3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following table provides the calculation of net cash provided by operating activities as a percentage of total net revenue, the most directly comparable financial measure in accordance with GAAP, and Adjusted CFFO Margin for each of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2560" w:type="dxa"/>
            <w:vAlign w:val="bottom"/>
            <w:gridSpan w:val="6"/>
          </w:tcPr>
          <w:p>
            <w:pPr>
              <w:ind w:left="460"/>
              <w:spacing w:after="0"/>
              <w:rPr>
                <w:sz w:val="20"/>
                <w:szCs w:val="20"/>
                <w:color w:val="auto"/>
              </w:rPr>
            </w:pPr>
            <w:r>
              <w:rPr>
                <w:rFonts w:ascii="Arial" w:cs="Arial" w:eastAsia="Arial" w:hAnsi="Arial"/>
                <w:sz w:val="14"/>
                <w:szCs w:val="14"/>
                <w:b w:val="1"/>
                <w:bCs w:val="1"/>
                <w:color w:val="auto"/>
                <w:w w:val="87"/>
              </w:rPr>
              <w:t>Three Months Ended September 30,</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6"/>
          </w:tcPr>
          <w:p>
            <w:pPr>
              <w:ind w:left="500"/>
              <w:spacing w:after="0"/>
              <w:rPr>
                <w:sz w:val="20"/>
                <w:szCs w:val="20"/>
                <w:color w:val="auto"/>
              </w:rPr>
            </w:pPr>
            <w:r>
              <w:rPr>
                <w:rFonts w:ascii="Arial" w:cs="Arial" w:eastAsia="Arial" w:hAnsi="Arial"/>
                <w:sz w:val="14"/>
                <w:szCs w:val="14"/>
                <w:b w:val="1"/>
                <w:bCs w:val="1"/>
                <w:color w:val="auto"/>
                <w:w w:val="88"/>
              </w:rPr>
              <w:t>Nine Months Ended September 30,</w:t>
            </w:r>
          </w:p>
        </w:tc>
        <w:tc>
          <w:tcPr>
            <w:tcW w:w="780" w:type="dxa"/>
            <w:vAlign w:val="bottom"/>
          </w:tcPr>
          <w:p>
            <w:pPr>
              <w:spacing w:after="0"/>
              <w:rPr>
                <w:sz w:val="15"/>
                <w:szCs w:val="15"/>
                <w:color w:val="auto"/>
              </w:rPr>
            </w:pPr>
          </w:p>
        </w:tc>
      </w:tr>
      <w:tr>
        <w:trPr>
          <w:trHeight w:val="24"/>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8"/>
        </w:trPr>
        <w:tc>
          <w:tcPr>
            <w:tcW w:w="39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r>
      <w:tr>
        <w:trPr>
          <w:trHeight w:val="218"/>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12,055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78"/>
              <w:spacing w:after="0"/>
              <w:rPr>
                <w:sz w:val="20"/>
                <w:szCs w:val="20"/>
                <w:color w:val="auto"/>
              </w:rPr>
            </w:pPr>
            <w:r>
              <w:rPr>
                <w:rFonts w:ascii="Arial" w:cs="Arial" w:eastAsia="Arial" w:hAnsi="Arial"/>
                <w:sz w:val="17"/>
                <w:szCs w:val="17"/>
                <w:i w:val="1"/>
                <w:iCs w:val="1"/>
                <w:color w:val="auto"/>
                <w:w w:val="91"/>
              </w:rPr>
              <w:t>21.8%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44,901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37,763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58"/>
              <w:spacing w:after="0"/>
              <w:rPr>
                <w:sz w:val="20"/>
                <w:szCs w:val="20"/>
                <w:color w:val="auto"/>
              </w:rPr>
            </w:pPr>
            <w:r>
              <w:rPr>
                <w:rFonts w:ascii="Arial" w:cs="Arial" w:eastAsia="Arial" w:hAnsi="Arial"/>
                <w:sz w:val="17"/>
                <w:szCs w:val="17"/>
                <w:i w:val="1"/>
                <w:iCs w:val="1"/>
                <w:color w:val="auto"/>
                <w:w w:val="91"/>
              </w:rPr>
              <w:t>18.9%</w:t>
            </w:r>
          </w:p>
        </w:tc>
      </w:tr>
      <w:tr>
        <w:trPr>
          <w:trHeight w:val="21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net revenue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106,150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119,934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center"/>
              <w:ind w:right="98"/>
              <w:spacing w:after="0"/>
              <w:rPr>
                <w:sz w:val="20"/>
                <w:szCs w:val="20"/>
                <w:color w:val="auto"/>
              </w:rPr>
            </w:pPr>
            <w:r>
              <w:rPr>
                <w:rFonts w:ascii="Arial" w:cs="Arial" w:eastAsia="Arial" w:hAnsi="Arial"/>
                <w:sz w:val="17"/>
                <w:szCs w:val="17"/>
                <w:i w:val="1"/>
                <w:iCs w:val="1"/>
                <w:color w:val="auto"/>
                <w:w w:val="90"/>
              </w:rPr>
              <w:t>(11.5)%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336,027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384,746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ind w:right="58"/>
              <w:spacing w:after="0"/>
              <w:rPr>
                <w:sz w:val="20"/>
                <w:szCs w:val="20"/>
                <w:color w:val="auto"/>
              </w:rPr>
            </w:pPr>
            <w:r>
              <w:rPr>
                <w:rFonts w:ascii="Arial" w:cs="Arial" w:eastAsia="Arial" w:hAnsi="Arial"/>
                <w:sz w:val="17"/>
                <w:szCs w:val="17"/>
                <w:i w:val="1"/>
                <w:iCs w:val="1"/>
                <w:color w:val="auto"/>
                <w:w w:val="94"/>
              </w:rPr>
              <w:t>(12.7)%</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margin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0"/>
              </w:rPr>
              <w:t>11.4 %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6"/>
        </w:trPr>
        <w:tc>
          <w:tcPr>
            <w:tcW w:w="3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8"/>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CFFO</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12,055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13,091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78"/>
              <w:spacing w:after="0"/>
              <w:rPr>
                <w:sz w:val="20"/>
                <w:szCs w:val="20"/>
                <w:color w:val="auto"/>
              </w:rPr>
            </w:pPr>
            <w:r>
              <w:rPr>
                <w:rFonts w:ascii="Arial" w:cs="Arial" w:eastAsia="Arial" w:hAnsi="Arial"/>
                <w:sz w:val="17"/>
                <w:szCs w:val="17"/>
                <w:i w:val="1"/>
                <w:iCs w:val="1"/>
                <w:color w:val="auto"/>
                <w:w w:val="95"/>
              </w:rPr>
              <w:t>(7.9)%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44,901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40,953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58"/>
              <w:spacing w:after="0"/>
              <w:rPr>
                <w:sz w:val="20"/>
                <w:szCs w:val="20"/>
                <w:color w:val="auto"/>
              </w:rPr>
            </w:pPr>
            <w:r>
              <w:rPr>
                <w:rFonts w:ascii="Arial" w:cs="Arial" w:eastAsia="Arial" w:hAnsi="Arial"/>
                <w:sz w:val="17"/>
                <w:szCs w:val="17"/>
                <w:i w:val="1"/>
                <w:iCs w:val="1"/>
                <w:color w:val="auto"/>
                <w:w w:val="92"/>
              </w:rPr>
              <w:t>9.6%</w:t>
            </w:r>
          </w:p>
        </w:tc>
      </w:tr>
      <w:tr>
        <w:trPr>
          <w:trHeight w:val="21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Billings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95,513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105,062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center"/>
              <w:ind w:right="78"/>
              <w:spacing w:after="0"/>
              <w:rPr>
                <w:sz w:val="20"/>
                <w:szCs w:val="20"/>
                <w:color w:val="auto"/>
              </w:rPr>
            </w:pPr>
            <w:r>
              <w:rPr>
                <w:rFonts w:ascii="Arial" w:cs="Arial" w:eastAsia="Arial" w:hAnsi="Arial"/>
                <w:sz w:val="17"/>
                <w:szCs w:val="17"/>
                <w:i w:val="1"/>
                <w:iCs w:val="1"/>
                <w:color w:val="auto"/>
                <w:w w:val="95"/>
              </w:rPr>
              <w:t>(9.1)%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288,854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358,564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ind w:right="58"/>
              <w:spacing w:after="0"/>
              <w:rPr>
                <w:sz w:val="20"/>
                <w:szCs w:val="20"/>
                <w:color w:val="auto"/>
              </w:rPr>
            </w:pPr>
            <w:r>
              <w:rPr>
                <w:rFonts w:ascii="Arial" w:cs="Arial" w:eastAsia="Arial" w:hAnsi="Arial"/>
                <w:sz w:val="17"/>
                <w:szCs w:val="17"/>
                <w:i w:val="1"/>
                <w:iCs w:val="1"/>
                <w:color w:val="auto"/>
                <w:w w:val="94"/>
              </w:rPr>
              <w:t>(19.4)%</w:t>
            </w: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CFFO Margin</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0"/>
              </w:rPr>
              <w:t>12.6 %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3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Net cash provided by operating activities margin increased from 8.3% for the three months ended September 30, 2022 to 11.4% for the three months ended September 30, 2023 primarily due to the increase in net cash provided by operating activities. Cash flow from operations increased by $2.2 million, or 21.8%, from $9.9 million for the three months ended September 30, 2022 to $12.1 million for the three months ended September 30, 2023, primarily due to net income of $12.0 million, adjusted for net non-cash items which increased cash by $7.4 million, and net changes in our operating assets and liabilities which reduced cash by $7.4 million. Third quarter 2022 included certain one-time costs related to our cost reduction initiatives and professional fees related to our warrant exchange transaction.</w:t>
      </w:r>
    </w:p>
    <w:p>
      <w:pPr>
        <w:spacing w:after="0" w:line="10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Net cash provided by operating activities margin increased from 9.8% for the nine months ended September 30, 2022 to 13.4% for the nine months ended September 30, 2023 primarily due to the increase in net cash provided by operating activities. Cash flow from operations increased by $7.1 million, or 18.9%, from $37.8 million for the nine months ended September 30, 2022 to $44.9 million for the nine months ended September 30, 2023, primarily due to net income of $52.4 million, adjusted for net non-cash items which increased cash by $19.8 million, and net changes in our operating assets and liabilities which reduced cash by $27.3 million.</w:t>
      </w:r>
    </w:p>
    <w:p>
      <w:pPr>
        <w:spacing w:after="0" w:line="131" w:lineRule="exact"/>
        <w:rPr>
          <w:sz w:val="20"/>
          <w:szCs w:val="20"/>
          <w:color w:val="auto"/>
        </w:rPr>
      </w:pPr>
    </w:p>
    <w:p>
      <w:pPr>
        <w:jc w:val="both"/>
        <w:ind w:right="220"/>
        <w:spacing w:after="0" w:line="315" w:lineRule="auto"/>
        <w:rPr>
          <w:sz w:val="20"/>
          <w:szCs w:val="20"/>
          <w:color w:val="auto"/>
        </w:rPr>
      </w:pPr>
      <w:r>
        <w:rPr>
          <w:rFonts w:ascii="Arial" w:cs="Arial" w:eastAsia="Arial" w:hAnsi="Arial"/>
          <w:sz w:val="15"/>
          <w:szCs w:val="15"/>
          <w:color w:val="auto"/>
        </w:rPr>
        <w:t>Billings represents amounts invoiced to customers. We generally bill our subscribers at the time of sale and receive full cash payment up front, and in accordance with GAAP, we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w:t>
      </w:r>
    </w:p>
    <w:p>
      <w:pPr>
        <w:spacing w:after="0" w:line="89"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Adjusted CFFO margin increased from 12.5% for three months ended September 30, 2022 to 12.6% for the three months ended September 30, 2023 primarily due to the decrease in Billings. Adjusted CFFO decreased by $1.0 million, or 7.9%, from $13.1 million for the three months ended September 30, 2022 to $12.1 million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three months ended September 30, 2023. The difference between Adjusted CFFO and CFFO in third quarter 2022 is $3.2 million, which are one-time costs related to our cost reduction initiatives and professional fees related to our warrant exchange transaction.</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Adjusted CFFO margin increased from 11.4% for the nine months ended September 30, 2022 to 15.5% for the nine months ended September 30, 2023 due to the increase in Adjusted CFFO and the decrease in Billings. Adjusted CFFO increased by $3.9 million, or 10%, from $41.0 million for the nine months ended September 30, 2022 to $44.9 million for the nine months ended September 30, 2023, primarily driven by a decrease in operating expenses as a result of cost reduction initiatives.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refer to this accumulation of cash as our “float” which we view as a valuable resource that we may invest or use to expand our operations. We expect that as we grow our business, the amount of our float will increase.</w:t>
      </w:r>
    </w:p>
    <w:p>
      <w:pPr>
        <w:spacing w:after="0" w:line="114" w:lineRule="exact"/>
        <w:rPr>
          <w:sz w:val="20"/>
          <w:szCs w:val="20"/>
          <w:color w:val="auto"/>
        </w:rPr>
      </w:pPr>
    </w:p>
    <w:p>
      <w:pPr>
        <w:ind w:right="740"/>
        <w:spacing w:after="0" w:line="276" w:lineRule="auto"/>
        <w:rPr>
          <w:sz w:val="20"/>
          <w:szCs w:val="20"/>
          <w:color w:val="auto"/>
        </w:rPr>
      </w:pPr>
      <w:r>
        <w:rPr>
          <w:rFonts w:ascii="Arial" w:cs="Arial" w:eastAsia="Arial" w:hAnsi="Arial"/>
          <w:sz w:val="17"/>
          <w:szCs w:val="17"/>
          <w:color w:val="auto"/>
        </w:rPr>
        <w:t>The Company estimates that the amount of float was approximately $108.6 million and $94.1 million as of September 30, 2023 and December 31, 2022, respectively.</w:t>
      </w:r>
    </w:p>
    <w:p>
      <w:pPr>
        <w:spacing w:after="0" w:line="114"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For the three and nine months ended September 30, 2023, the Company earned interest income of $1.7 million and $3.6 million, respectively, on our cash portfolio.</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As of September 30, 2023, our principal sources of liquidity were cash, cash equivalents, and restricted cash of $194.0 million. Cash and cash equivalents are comprised of bank deposits, money market funds, and certificates of deposit. Restricted cash is comprised of reserves held with credit card processors for chargebacks and refunds. We have financed our operations primarily through cash received from operations, and our sources of liquidity have enabled us to make continued investments in supporting the growth of our business. Our 2021 Credit Facility (as defined and further discussed below) can be used to finance permitted acquisitions, for working capital and general corporate purposes. We expect that our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134"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We believe that our existing cash and cash equivalents and cash flow from operations will be sufficient to support working capital and capital expenditure requirements for at least the next 12 months. While we believe that our existing cash and cash equivalents and cash flow from operations will be sufficient to support working capital and capital expenditure requirements for the long term,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spacing w:after="0" w:line="10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 xml:space="preserve">We have incurred and we will continue to incur public company expenses related to our operations,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we expect to incur payment obligations under the Tax Receivable Agreement in the future, which we expect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6" w:name="page47"/>
    <w:bookmarkEnd w:id="46"/>
    <w:p>
      <w:pPr>
        <w:spacing w:after="0" w:line="71"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significant.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w:t>
      </w:r>
      <w:r>
        <w:rPr>
          <w:rFonts w:ascii="Arial" w:cs="Arial" w:eastAsia="Arial" w:hAnsi="Arial"/>
          <w:sz w:val="15"/>
          <w:szCs w:val="15"/>
          <w:i w:val="1"/>
          <w:iCs w:val="1"/>
          <w:color w:val="auto"/>
        </w:rPr>
        <w:t>—</w:t>
      </w:r>
      <w:r>
        <w:rPr>
          <w:rFonts w:ascii="Arial" w:cs="Arial" w:eastAsia="Arial" w:hAnsi="Arial"/>
          <w:sz w:val="15"/>
          <w:szCs w:val="15"/>
          <w:color w:val="auto"/>
        </w:rPr>
        <w:t>Liquidity and Capital Resources—Tax Receivable Agreement” in the Annual Report.</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Furthermore, to the extent we have taxable income, we will make distributions to the MarketWise Members in amounts sufficient for MarketWise Members to pay taxes due on their share of MarketWise income at prevailing individual income tax rates, which for the 2023 tax year the highest federal, state and local tax rate the Company used was 49.75%. Such amounts will be reflected in MarketWise, Inc.’s statement of cash flows as cash used in financing activities, and so will not decrease the amount of cash from operations or net income reflected in MarketWise, Inc.’s financial statements. However, such distributions will decrease the amount of cash available to us for use in our business.</w:t>
      </w:r>
    </w:p>
    <w:p>
      <w:pPr>
        <w:spacing w:after="0" w:line="131"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6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As previously disclosed in our Annual Report, on November 4, 2021, our Board authorized the repurchase of up to $35.0 million in aggregate of shares of the Company’s Class A common stock. We did not repurchase any shares during the three months ended September 30, 2023. During the nine months ended September 30, 2022, we repurchased 2,484,717 shares totaling $13.1 million in the aggregate, including fees and commissions of $25. Since the inception of the program, we have repurchased 2,984,987 total shares. The share repurchase program expired by its terms on November 3, 2023.</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For each share of Class A common stock the Company repurchased under the share repurchase program, MarketWise, LLC, the Company’s direct subsidiary, redeemed one LLC Unit held by the Company, decreasing the percentage ownership of MarketWise, LLC by the Company and relatively increasing the ownership by the other unitholders.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2021, MarketWise, LLC, entered into a loan and security agreement (as amended the “Loan and Security Agreement”) providing for up to $150 million of commitments under a revolving credit facility (the “2021 Credit Facility”), including a $5 million letter of credit sublimit, and allows for revolving commitments under the 2021 Credit Facility to be increased or new term commitments to be established by up to $65 million. The existing lenders under the 2021 Credit Facility are entitled, but not obligated, to provide such incremental commitments. The 2021 Credit Facility has a term of three years, maturing on October 29, 2024. On May 2, 2023, MarketWise, LLC entered into the First Amendment to the Loan and Security Agreement, which provides, among other things, a transition away from LIBOR to SOFR as the basis for the interest rate.</w:t>
      </w:r>
    </w:p>
    <w:p>
      <w:pPr>
        <w:spacing w:after="0" w:line="132"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The 2021 Credit Facility is guaranteed by MarketWise, LLC’s direct and indirect material U.S. subsidiaries, subject to customary exceptions (the “Guarantors”), pursuant to a guaranty by the Guarantors in favor of HSBC Bank USA, National Association, as agent (the “Guaranty”). Borrowings under the 2021 Credit Facility are secured by a first-priority lien on substantially all of the assets of MarketWise, LLC and the Guarantors,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1"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Borrowings will bear interest at a floating rate depending on MarketWise, LLC’s Net Leverage Ratio (as defined in the Loan and Security Agreement). As of September 30, 2023, there were no outstanding advances under the 2021 Credit Facility.</w:t>
      </w:r>
    </w:p>
    <w:p>
      <w:pPr>
        <w:spacing w:after="0" w:line="11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Loan and Security Agreement contains customary affirmative and negative covenants for transactions of this type, and contains financial maintenance covenants that require MarketWise, LLC to maintain an Interest Coverage Ratio and Net Leverage Ratio (both as defined in the Loan and Security Agreement), and provides for a number of customary events of default, which could result in the acceleration of obligations and the termination of lending commitments under the Loan and Security Agreement. As of September 30, 2023, we were in compliance with these covenants.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 summary of our consolidated cash flows provided by (used in) operating, investing, and financing activities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5"/>
                <w:szCs w:val="15"/>
                <w:color w:val="auto"/>
              </w:rPr>
            </w:pPr>
          </w:p>
        </w:tc>
        <w:tc>
          <w:tcPr>
            <w:tcW w:w="328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7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8"/>
        </w:trPr>
        <w:tc>
          <w:tcPr>
            <w:tcW w:w="72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2022</w:t>
            </w:r>
          </w:p>
        </w:tc>
      </w:tr>
      <w:tr>
        <w:trPr>
          <w:trHeight w:val="218"/>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9"/>
              </w:rPr>
              <w:t>44,901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679"/>
              <w:spacing w:after="0"/>
              <w:rPr>
                <w:sz w:val="20"/>
                <w:szCs w:val="20"/>
                <w:color w:val="auto"/>
              </w:rPr>
            </w:pPr>
            <w:r>
              <w:rPr>
                <w:rFonts w:ascii="Arial" w:cs="Arial" w:eastAsia="Arial" w:hAnsi="Arial"/>
                <w:sz w:val="17"/>
                <w:szCs w:val="17"/>
                <w:color w:val="auto"/>
                <w:w w:val="88"/>
              </w:rPr>
              <w:t>37,763</w:t>
            </w:r>
          </w:p>
        </w:tc>
      </w:tr>
      <w:tr>
        <w:trPr>
          <w:trHeight w:val="217"/>
        </w:trPr>
        <w:tc>
          <w:tcPr>
            <w:tcW w:w="72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420" w:type="dxa"/>
            <w:vAlign w:val="bottom"/>
          </w:tcPr>
          <w:p>
            <w:pPr>
              <w:spacing w:after="0"/>
              <w:rPr>
                <w:sz w:val="18"/>
                <w:szCs w:val="18"/>
                <w:color w:val="auto"/>
              </w:rPr>
            </w:pPr>
          </w:p>
        </w:tc>
        <w:tc>
          <w:tcPr>
            <w:tcW w:w="1380" w:type="dxa"/>
            <w:vAlign w:val="bottom"/>
          </w:tcPr>
          <w:p>
            <w:pPr>
              <w:ind w:left="860"/>
              <w:spacing w:after="0"/>
              <w:rPr>
                <w:sz w:val="20"/>
                <w:szCs w:val="20"/>
                <w:color w:val="auto"/>
              </w:rPr>
            </w:pPr>
            <w:r>
              <w:rPr>
                <w:rFonts w:ascii="Arial" w:cs="Arial" w:eastAsia="Arial" w:hAnsi="Arial"/>
                <w:sz w:val="17"/>
                <w:szCs w:val="17"/>
                <w:color w:val="auto"/>
                <w:w w:val="92"/>
              </w:rPr>
              <w:t>(1,658)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center"/>
              <w:ind w:left="639"/>
              <w:spacing w:after="0"/>
              <w:rPr>
                <w:sz w:val="20"/>
                <w:szCs w:val="20"/>
                <w:color w:val="auto"/>
              </w:rPr>
            </w:pPr>
            <w:r>
              <w:rPr>
                <w:rFonts w:ascii="Arial" w:cs="Arial" w:eastAsia="Arial" w:hAnsi="Arial"/>
                <w:sz w:val="17"/>
                <w:szCs w:val="17"/>
                <w:color w:val="auto"/>
                <w:w w:val="91"/>
              </w:rPr>
              <w:t>(13,238)</w:t>
            </w:r>
          </w:p>
        </w:tc>
      </w:tr>
      <w:tr>
        <w:trPr>
          <w:trHeight w:val="218"/>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2"/>
              </w:rPr>
              <w:t>(7,806)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639"/>
              <w:spacing w:after="0"/>
              <w:rPr>
                <w:sz w:val="20"/>
                <w:szCs w:val="20"/>
                <w:color w:val="auto"/>
              </w:rPr>
            </w:pPr>
            <w:r>
              <w:rPr>
                <w:rFonts w:ascii="Arial" w:cs="Arial" w:eastAsia="Arial" w:hAnsi="Arial"/>
                <w:sz w:val="17"/>
                <w:szCs w:val="17"/>
                <w:color w:val="auto"/>
                <w:w w:val="91"/>
              </w:rPr>
              <w:t>(16,787)</w:t>
            </w:r>
          </w:p>
        </w:tc>
      </w:tr>
    </w:tbl>
    <w:p>
      <w:pPr>
        <w:spacing w:after="0" w:line="2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63"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For the nine months ended September 30, 2023, net cash provided by operating activities was $44.9 million, primarily due to net income of $52.4 million, adjusted for net non-cash items which increased cash by $19.8 million, and net changes in our operating assets and liabilities which reduced cash by $27.3 million, largely due to timing differences in the net receipt of cash. The non-cash items include stock-based compensation expense and depreciation and amortization of $10.3 million and $3.0 million, respectively. The changes in operating assets and liabilities were primarily driven by a decrease in deferred revenue, which reduced cash by $44.3 million due to our overall decrease in sales, a decrease in other current and long-term liabilities which reduced cash by $3.2 million, and a decrease in accrued expenses, which decreased cash by $3.3 million, partially offset by a decrease in deferred contract acquisition costs, which increased cash by $23.6 million.</w:t>
      </w:r>
    </w:p>
    <w:p>
      <w:pPr>
        <w:spacing w:after="0" w:line="102"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For the nine months ended September 30, 2022, net cash provided by operating activities was $37.8 million, primarily due to net income of $73.6 million, adjusted for net non-cash items which reduced cash by $0.9 million, and net changes in our operating assets and liabilities which reduced cash by $34.9 million, largely due to timing differences in the net receipt of cash. The non-cash items include a change in fair value of derivative liabilities of $15.6 million, which was partially offset by stock-based compensation expense and deferred income taxes of $7.2 million and $3.6 million, respectively. The changes in operating assets and liabilities were primarily driven by a decrease in deferred revenue, which reduced cash by $24.8 million due to our overall decrease in sales, a decrease in accrued expenses, which decreased cash by $7.2 million, a decrease in other current and long-term liabilities, which decreased cash by $4.2 million, partially offset by a decrease in accounts receivable due to our overall decrease in sales, which increased cash by $3.2 million.</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63"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For the nine months ended September 30, 2023, net cash used in investing activities was $1.7 million, primarily driven by $1.4 million of capitalized software development costs.</w:t>
      </w:r>
    </w:p>
    <w:p>
      <w:pPr>
        <w:spacing w:after="0" w:line="1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For the nine months ended September 30, 2022, net cash used in investing activities was $13.2 million, primarily driven by the payment of $12.8 million related to the Buttonwood Publishing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63" w:lineRule="exact"/>
        <w:rPr>
          <w:sz w:val="20"/>
          <w:szCs w:val="20"/>
          <w:color w:val="auto"/>
        </w:rPr>
      </w:pPr>
    </w:p>
    <w:p>
      <w:pPr>
        <w:ind w:right="980"/>
        <w:spacing w:after="0" w:line="276" w:lineRule="auto"/>
        <w:rPr>
          <w:sz w:val="20"/>
          <w:szCs w:val="20"/>
          <w:color w:val="auto"/>
        </w:rPr>
      </w:pPr>
      <w:r>
        <w:rPr>
          <w:rFonts w:ascii="Arial" w:cs="Arial" w:eastAsia="Arial" w:hAnsi="Arial"/>
          <w:sz w:val="17"/>
          <w:szCs w:val="17"/>
          <w:color w:val="auto"/>
        </w:rPr>
        <w:t>For the nine months ended September 30, 2023, net cash used in financing activities was $7.8 million, primarily due to $6.3 million in distributions to noncontrolling interests and $1.5 million in restricted stock units withheld to pay taxes.</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nine months ended September 30, 2022, net cash used in financing activities was $16.8 million, primarily due to $13.1 million in share repurchases and $4.5 million in distributions to noncontrolling interests.</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August 3, 2023, the Board declared a cash dividend to the Company’s Class A common stockholders in the amount of $0.01 per share and a cash distribution to its common unit holders in the amount of $0.01 per unit. The dividend and distribution was paid on October 26, 2023, to stockholders and unitholders of record as of the close of business on September 5, 2023. The total amount of the dividend payment to Class A common stockholders was $0.5 million and the total amount of the distribution payment to common unit holders was approximately $2.9 million. The Company intends to pay dividends quarterly in the future, subject to Board approval of any such dividends.</w:t>
      </w:r>
    </w:p>
    <w:p>
      <w:pPr>
        <w:spacing w:after="0" w:line="131" w:lineRule="exact"/>
        <w:rPr>
          <w:sz w:val="20"/>
          <w:szCs w:val="20"/>
          <w:color w:val="auto"/>
        </w:rPr>
      </w:pPr>
    </w:p>
    <w:p>
      <w:pPr>
        <w:jc w:val="both"/>
        <w:ind w:right="180"/>
        <w:spacing w:after="0" w:line="264" w:lineRule="auto"/>
        <w:rPr>
          <w:sz w:val="20"/>
          <w:szCs w:val="20"/>
          <w:color w:val="auto"/>
        </w:rPr>
      </w:pPr>
      <w:r>
        <w:rPr>
          <w:rFonts w:ascii="Arial" w:cs="Arial" w:eastAsia="Arial" w:hAnsi="Arial"/>
          <w:sz w:val="17"/>
          <w:szCs w:val="17"/>
          <w:color w:val="auto"/>
        </w:rPr>
        <w:t>On October 18, 2023, our Board declared a cash dividend to its Class A common stockholders in the amount of $0.01 per share, totaling $0.4 million, and a cash distribution to holders of LLC Units in the amount of $0.01 per unit, totaling $2.9 million, to stockholders and unitholders of record as of the close of business on December 25, 2023. The dividend and distribution will be paid on January 25, 2024.</w:t>
      </w:r>
    </w:p>
    <w:p>
      <w:pPr>
        <w:spacing w:after="0" w:line="123" w:lineRule="exact"/>
        <w:rPr>
          <w:sz w:val="20"/>
          <w:szCs w:val="20"/>
          <w:color w:val="auto"/>
        </w:rPr>
      </w:pPr>
    </w:p>
    <w:p>
      <w:pPr>
        <w:ind w:right="420"/>
        <w:spacing w:after="0" w:line="315" w:lineRule="auto"/>
        <w:rPr>
          <w:sz w:val="20"/>
          <w:szCs w:val="20"/>
          <w:color w:val="auto"/>
        </w:rPr>
      </w:pPr>
      <w:r>
        <w:rPr>
          <w:rFonts w:ascii="Arial" w:cs="Arial" w:eastAsia="Arial" w:hAnsi="Arial"/>
          <w:sz w:val="15"/>
          <w:szCs w:val="15"/>
          <w:color w:val="auto"/>
        </w:rPr>
        <w:t>On October 18, 2023, our Board also declared a special cash dividend to the Company’s Class A common stockholders in the amount of $0.15 per share and a special cash distribution to holders of LLC Units in the amount of $0.15 per unit, totaling approximately $50 million in the aggregate, to stockholders and unitholders of record as of the close of business on November 10, 2023. The special dividend and distribution will be paid on December 1, 2023.</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condensed consolidated financial statements have been prepared in accordance with GAAP. The preparation of these condensed consolidated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29"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Management believes that, of our significant accounting policies, which are described in Note 2 to our consolidated financial statements for the year ended December 31, 2022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2022 Annual Report on Form 10-K for further discussion of these two policies. During the three months ended September 30, 2023, there were no material changes to these policies.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as of the end of the period covered by this Quarterly Report on Form 10-Q, the effectiveness of the design and operation of our disclosure controls and procedures (as defined in Rules 13a-15(e) and 15d-15(e)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Securities Exchange Act of 1934, as amended (the “Exchange Act”)). Based on that evaluation, and as a result of the material weaknesses described below, our principal executive officer and principal financial officer concluded that, as of September 30, 2023,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As previously reported, in connection with the audit of our consolidated financial statements for the year ended December 31, 2020, our management determined that material weaknesses existed in our internal control over financial reporting related to: (i) a lack of contemporaneous documentation and account reconciliation, and (ii) the lack of a formal or documented risk assessment process.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Remediation Efforts to Address the Material Weaknesses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have taken a number of remediation actions since the identification of the material weakness through September 30, 2023, including:</w:t>
      </w:r>
    </w:p>
    <w:p>
      <w:pPr>
        <w:spacing w:after="0" w:line="163" w:lineRule="exact"/>
        <w:rPr>
          <w:sz w:val="20"/>
          <w:szCs w:val="20"/>
          <w:color w:val="auto"/>
        </w:rPr>
      </w:pPr>
    </w:p>
    <w:p>
      <w:pPr>
        <w:ind w:left="620" w:hanging="31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hiring personnel with appropriate levels of experience in accounting, technology, risk assessment, and internal controls;</w:t>
      </w:r>
    </w:p>
    <w:p>
      <w:pPr>
        <w:spacing w:after="0" w:line="163" w:lineRule="exact"/>
        <w:rPr>
          <w:rFonts w:ascii="Arial" w:cs="Arial" w:eastAsia="Arial" w:hAnsi="Arial"/>
          <w:sz w:val="17"/>
          <w:szCs w:val="17"/>
          <w:color w:val="auto"/>
        </w:rPr>
      </w:pPr>
    </w:p>
    <w:p>
      <w:pPr>
        <w:ind w:left="620" w:right="220" w:hanging="310"/>
        <w:spacing w:after="0" w:line="276"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a comprehensive SOX program that includes the documentation and assessment of the Company’s risks and internal controls over financial reporting to comply with the Sarbanes-Oxley Act;</w:t>
      </w:r>
    </w:p>
    <w:p>
      <w:pPr>
        <w:spacing w:after="0" w:line="113" w:lineRule="exact"/>
        <w:rPr>
          <w:rFonts w:ascii="Arial" w:cs="Arial" w:eastAsia="Arial" w:hAnsi="Arial"/>
          <w:sz w:val="17"/>
          <w:szCs w:val="17"/>
          <w:color w:val="auto"/>
        </w:rPr>
      </w:pPr>
    </w:p>
    <w:p>
      <w:pPr>
        <w:ind w:left="620" w:hanging="31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implementing an annual risk assessment process over financial reporting;</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implementing an annual cyber security risk assessment process;</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establishing a Disclosure Task Force with participants across business units to ensure the completeness and accuracy of financial reporting disclosures;</w:t>
      </w:r>
    </w:p>
    <w:p>
      <w:pPr>
        <w:spacing w:after="0" w:line="186" w:lineRule="exact"/>
        <w:rPr>
          <w:rFonts w:ascii="Arial" w:cs="Arial" w:eastAsia="Arial" w:hAnsi="Arial"/>
          <w:sz w:val="15"/>
          <w:szCs w:val="15"/>
          <w:color w:val="auto"/>
        </w:rPr>
      </w:pPr>
    </w:p>
    <w:p>
      <w:pPr>
        <w:ind w:left="620" w:hanging="31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regular director and executive management meetings to oversee Company risks and performance;</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implementing a new revenue recognition application and associated internal controls over financial reporting; and</w:t>
      </w:r>
    </w:p>
    <w:p>
      <w:pPr>
        <w:spacing w:after="0" w:line="163" w:lineRule="exact"/>
        <w:rPr>
          <w:rFonts w:ascii="Arial" w:cs="Arial" w:eastAsia="Arial" w:hAnsi="Arial"/>
          <w:sz w:val="17"/>
          <w:szCs w:val="17"/>
          <w:color w:val="auto"/>
        </w:rPr>
      </w:pPr>
    </w:p>
    <w:p>
      <w:pPr>
        <w:ind w:left="620" w:hanging="310"/>
        <w:spacing w:after="0"/>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enhancing account reconciliation processes and internal controls, leveraging the use of a reconciliation application, and training of accounting personnel.</w:t>
      </w:r>
    </w:p>
    <w:p>
      <w:pPr>
        <w:spacing w:after="0" w:line="186"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While significant progress has been made to enhance our internal control over financial reporting, we are still in the process of building and enhancing our processes, procedures, and controls. Additional time is required to complete the remediation of these material weaknesses and the assessment to ensure the sustainability of these remediation actions. We believe the above actions, when complete, will be effective in the remediation of the material weaknesses described above. As such, we have not concluded that the material weaknesses have been fully remediated as of September 30, 2023.</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7"/>
          <w:szCs w:val="17"/>
          <w:color w:val="auto"/>
        </w:rPr>
        <w:t>Other than as described above, there have been no changes in our internal control over financial reporting identified in connection with the evaluation required by Rule 13a-15(d) and 15d-15(d) of the Exchange Act that occurred during the period covered by this Quarterly Report on Form 10-Q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II—OTHER INFORMATION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November 2021, our Board authorized the repurchase of up to $35.0 million in aggregate of shares of the Company’s Class A common stock. There were no share repurchases made by or on behalf of the Company of its common stock during the three months ended September 30, 2023. The maximum dollar value of shares that may yet to be purchased under the plan was $18.6 million as of September 30, 2023. The share repurchase program expired by its terms on November 3, 2023.</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During the three and nine months ended September 30, 2023, pursuant to the terms of the MarketWise Operating Agreement, members of MarketWise, LLC exchanged an aggregate of 1,500,000 and 2,750,000 LLC Units, together with an equal number of shares of Class B common stock for 1,500,000 and 2,750,000 newly-issued shares of the Company’s Class A common stock, respectively. These shares of Class A common stock were issued in reliance on an exemption from registration pursuant to Section 4(a)(2) of the Securities Act of 1933.</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or incorporated by reference into, this Quarterly Report on Form 10-Q.</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60" w:type="dxa"/>
            <w:vAlign w:val="bottom"/>
            <w:gridSpan w:val="2"/>
          </w:tcPr>
          <w:p>
            <w:pPr>
              <w:spacing w:after="0"/>
              <w:rPr>
                <w:sz w:val="20"/>
                <w:szCs w:val="20"/>
                <w:color w:val="auto"/>
              </w:rPr>
            </w:pPr>
            <w:r>
              <w:rPr>
                <w:rFonts w:ascii="Arial" w:cs="Arial" w:eastAsia="Arial" w:hAnsi="Arial"/>
                <w:sz w:val="17"/>
                <w:szCs w:val="17"/>
                <w:color w:val="auto"/>
              </w:rPr>
              <w:t>Exhibit No.</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0" w:type="dxa"/>
            <w:vAlign w:val="bottom"/>
            <w:gridSpan w:val="18"/>
          </w:tcPr>
          <w:p>
            <w:pPr>
              <w:spacing w:after="0"/>
              <w:rPr>
                <w:sz w:val="20"/>
                <w:szCs w:val="20"/>
                <w:color w:val="auto"/>
              </w:rPr>
            </w:pPr>
            <w:r>
              <w:rPr>
                <w:rFonts w:ascii="Arial" w:cs="Arial" w:eastAsia="Arial" w:hAnsi="Arial"/>
                <w:sz w:val="17"/>
                <w:szCs w:val="17"/>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800" w:type="dxa"/>
            <w:vAlign w:val="bottom"/>
          </w:tcPr>
          <w:p>
            <w:pPr>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17"/>
                <w:szCs w:val="17"/>
                <w:color w:val="auto"/>
              </w:rPr>
            </w:pPr>
          </w:p>
        </w:tc>
        <w:tc>
          <w:tcPr>
            <w:tcW w:w="9840" w:type="dxa"/>
            <w:vAlign w:val="bottom"/>
            <w:gridSpan w:val="21"/>
          </w:tcPr>
          <w:p>
            <w:pPr>
              <w:spacing w:after="0"/>
              <w:rPr>
                <w:rFonts w:ascii="Arial" w:cs="Arial" w:eastAsia="Arial" w:hAnsi="Arial"/>
                <w:sz w:val="17"/>
                <w:szCs w:val="17"/>
                <w:color w:val="0000FF"/>
                <w:w w:val="93"/>
              </w:rPr>
            </w:pPr>
            <w:hyperlink r:id="rId78">
              <w:r>
                <w:rPr>
                  <w:rFonts w:ascii="Arial" w:cs="Arial" w:eastAsia="Arial" w:hAnsi="Arial"/>
                  <w:sz w:val="17"/>
                  <w:szCs w:val="17"/>
                  <w:color w:val="0000FF"/>
                  <w:w w:val="93"/>
                </w:rPr>
                <w:t>Certificate of Incorporation of MarketWise, Inc. (incorporated by reference to Exhibit 3.1 to the Registrant’s Current Report on Form 8-K, filed</w:t>
              </w:r>
            </w:hyperlink>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5"/>
          </w:tcPr>
          <w:p>
            <w:pPr>
              <w:spacing w:after="0" w:line="147" w:lineRule="exact"/>
              <w:rPr>
                <w:rFonts w:ascii="Arial" w:cs="Arial" w:eastAsia="Arial" w:hAnsi="Arial"/>
                <w:sz w:val="16"/>
                <w:szCs w:val="16"/>
                <w:color w:val="0000FF"/>
                <w:w w:val="97"/>
              </w:rPr>
            </w:pPr>
            <w:hyperlink r:id="rId78">
              <w:r>
                <w:rPr>
                  <w:rFonts w:ascii="Arial" w:cs="Arial" w:eastAsia="Arial" w:hAnsi="Arial"/>
                  <w:sz w:val="16"/>
                  <w:szCs w:val="16"/>
                  <w:color w:val="0000FF"/>
                  <w:w w:val="97"/>
                </w:rPr>
                <w:t>with the SEC on July 28, 2021).</w:t>
              </w:r>
            </w:hyperlink>
          </w:p>
        </w:tc>
        <w:tc>
          <w:tcPr>
            <w:tcW w:w="76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18"/>
                <w:szCs w:val="18"/>
                <w:color w:val="auto"/>
              </w:rPr>
            </w:pPr>
          </w:p>
        </w:tc>
        <w:tc>
          <w:tcPr>
            <w:tcW w:w="9840" w:type="dxa"/>
            <w:vAlign w:val="bottom"/>
            <w:gridSpan w:val="21"/>
          </w:tcPr>
          <w:p>
            <w:pPr>
              <w:spacing w:after="0"/>
              <w:rPr>
                <w:rFonts w:ascii="Arial" w:cs="Arial" w:eastAsia="Arial" w:hAnsi="Arial"/>
                <w:sz w:val="17"/>
                <w:szCs w:val="17"/>
                <w:color w:val="0000FF"/>
                <w:w w:val="94"/>
              </w:rPr>
            </w:pPr>
            <w:hyperlink r:id="rId79">
              <w:r>
                <w:rPr>
                  <w:rFonts w:ascii="Arial" w:cs="Arial" w:eastAsia="Arial" w:hAnsi="Arial"/>
                  <w:sz w:val="17"/>
                  <w:szCs w:val="17"/>
                  <w:color w:val="0000FF"/>
                  <w:w w:val="94"/>
                </w:rPr>
                <w:t>Bylaws of MarketWise, Inc. (incorporated by reference to Exhibit 3.2 to the Registrant’s Current Report on Form 8-K, filed with the SEC on</w:t>
              </w:r>
            </w:hyperlink>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20" w:type="dxa"/>
            <w:vAlign w:val="bottom"/>
            <w:tcBorders>
              <w:top w:val="single" w:sz="8" w:color="0000FF"/>
            </w:tcBorders>
            <w:gridSpan w:val="14"/>
          </w:tcPr>
          <w:p>
            <w:pPr>
              <w:spacing w:after="0" w:line="147" w:lineRule="exact"/>
              <w:rPr>
                <w:rFonts w:ascii="Arial" w:cs="Arial" w:eastAsia="Arial" w:hAnsi="Arial"/>
                <w:sz w:val="16"/>
                <w:szCs w:val="16"/>
                <w:color w:val="0000FF"/>
              </w:rPr>
            </w:pPr>
            <w:hyperlink r:id="rId79">
              <w:r>
                <w:rPr>
                  <w:rFonts w:ascii="Arial" w:cs="Arial" w:eastAsia="Arial" w:hAnsi="Arial"/>
                  <w:sz w:val="16"/>
                  <w:szCs w:val="16"/>
                  <w:color w:val="0000FF"/>
                </w:rPr>
                <w:t>July 28, 2021).</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6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60" w:type="dxa"/>
            <w:vAlign w:val="bottom"/>
            <w:gridSpan w:val="2"/>
          </w:tcPr>
          <w:p>
            <w:pPr>
              <w:spacing w:after="0"/>
              <w:rPr>
                <w:sz w:val="20"/>
                <w:szCs w:val="20"/>
                <w:color w:val="auto"/>
              </w:rPr>
            </w:pPr>
            <w:r>
              <w:rPr>
                <w:rFonts w:ascii="Arial" w:cs="Arial" w:eastAsia="Arial" w:hAnsi="Arial"/>
                <w:sz w:val="17"/>
                <w:szCs w:val="17"/>
                <w:color w:val="auto"/>
              </w:rPr>
              <w:t>10.1†</w:t>
            </w:r>
          </w:p>
        </w:tc>
        <w:tc>
          <w:tcPr>
            <w:tcW w:w="9840" w:type="dxa"/>
            <w:vAlign w:val="bottom"/>
            <w:gridSpan w:val="21"/>
          </w:tcPr>
          <w:p>
            <w:pPr>
              <w:spacing w:after="0"/>
              <w:rPr>
                <w:rFonts w:ascii="Arial" w:cs="Arial" w:eastAsia="Arial" w:hAnsi="Arial"/>
                <w:sz w:val="17"/>
                <w:szCs w:val="17"/>
                <w:color w:val="0000FF"/>
                <w:w w:val="93"/>
              </w:rPr>
            </w:pPr>
            <w:hyperlink r:id="rId80">
              <w:r>
                <w:rPr>
                  <w:rFonts w:ascii="Arial" w:cs="Arial" w:eastAsia="Arial" w:hAnsi="Arial"/>
                  <w:sz w:val="17"/>
                  <w:szCs w:val="17"/>
                  <w:color w:val="0000FF"/>
                  <w:w w:val="93"/>
                </w:rPr>
                <w:t>Letter Agreement, dated as of July 6, 2023, by and between MarketWise, Inc. and Erik Mickels (incorporated by reference to Exhibit 10.1 to</w:t>
              </w:r>
            </w:hyperlink>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0" w:type="dxa"/>
            <w:vAlign w:val="bottom"/>
            <w:tcBorders>
              <w:top w:val="single" w:sz="8" w:color="0000FF"/>
            </w:tcBorders>
            <w:gridSpan w:val="13"/>
          </w:tcPr>
          <w:p>
            <w:pPr>
              <w:spacing w:after="0" w:line="147" w:lineRule="exact"/>
              <w:rPr>
                <w:rFonts w:ascii="Arial" w:cs="Arial" w:eastAsia="Arial" w:hAnsi="Arial"/>
                <w:sz w:val="16"/>
                <w:szCs w:val="16"/>
                <w:color w:val="0000FF"/>
              </w:rPr>
            </w:pPr>
            <w:hyperlink r:id="rId80">
              <w:r>
                <w:rPr>
                  <w:rFonts w:ascii="Arial" w:cs="Arial" w:eastAsia="Arial" w:hAnsi="Arial"/>
                  <w:sz w:val="16"/>
                  <w:szCs w:val="16"/>
                  <w:color w:val="0000FF"/>
                </w:rPr>
                <w:t>the Registrant’s Current Report on Form 8-K, filed with the SEC on July 6, 2023).</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10.2</w:t>
            </w:r>
          </w:p>
        </w:tc>
        <w:tc>
          <w:tcPr>
            <w:tcW w:w="560" w:type="dxa"/>
            <w:vAlign w:val="bottom"/>
          </w:tcPr>
          <w:p>
            <w:pPr>
              <w:spacing w:after="0"/>
              <w:rPr>
                <w:sz w:val="18"/>
                <w:szCs w:val="18"/>
                <w:color w:val="auto"/>
              </w:rPr>
            </w:pPr>
          </w:p>
        </w:tc>
        <w:tc>
          <w:tcPr>
            <w:tcW w:w="9840" w:type="dxa"/>
            <w:vAlign w:val="bottom"/>
            <w:gridSpan w:val="21"/>
          </w:tcPr>
          <w:p>
            <w:pPr>
              <w:spacing w:after="0"/>
              <w:rPr>
                <w:rFonts w:ascii="Arial" w:cs="Arial" w:eastAsia="Arial" w:hAnsi="Arial"/>
                <w:sz w:val="17"/>
                <w:szCs w:val="17"/>
                <w:color w:val="0000FF"/>
                <w:w w:val="91"/>
              </w:rPr>
            </w:pPr>
            <w:hyperlink r:id="rId81">
              <w:r>
                <w:rPr>
                  <w:rFonts w:ascii="Arial" w:cs="Arial" w:eastAsia="Arial" w:hAnsi="Arial"/>
                  <w:sz w:val="17"/>
                  <w:szCs w:val="17"/>
                  <w:color w:val="0000FF"/>
                  <w:w w:val="91"/>
                </w:rPr>
                <w:t>Agreement, dated as of September 8, 2023, by and between MarketWise, Inc., F. Porter Stansberry and Stokes Holding, LLC (incorporated by</w:t>
              </w:r>
            </w:hyperlink>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720" w:type="dxa"/>
            <w:vAlign w:val="bottom"/>
            <w:tcBorders>
              <w:top w:val="single" w:sz="8" w:color="0000FF"/>
            </w:tcBorders>
            <w:gridSpan w:val="16"/>
          </w:tcPr>
          <w:p>
            <w:pPr>
              <w:spacing w:after="0" w:line="147" w:lineRule="exact"/>
              <w:rPr>
                <w:rFonts w:ascii="Arial" w:cs="Arial" w:eastAsia="Arial" w:hAnsi="Arial"/>
                <w:sz w:val="16"/>
                <w:szCs w:val="16"/>
                <w:color w:val="0000FF"/>
              </w:rPr>
            </w:pPr>
            <w:hyperlink r:id="rId81">
              <w:r>
                <w:rPr>
                  <w:rFonts w:ascii="Arial" w:cs="Arial" w:eastAsia="Arial" w:hAnsi="Arial"/>
                  <w:sz w:val="16"/>
                  <w:szCs w:val="16"/>
                  <w:color w:val="0000FF"/>
                </w:rPr>
                <w:t>reference to Exhibit 10.1 to the Registrant’s Current Report on Form 8-K, filed with the SEC on September 8, 2023).</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10.3+</w:t>
            </w:r>
          </w:p>
        </w:tc>
        <w:tc>
          <w:tcPr>
            <w:tcW w:w="560" w:type="dxa"/>
            <w:vAlign w:val="bottom"/>
          </w:tcPr>
          <w:p>
            <w:pPr>
              <w:spacing w:after="0"/>
              <w:rPr>
                <w:sz w:val="18"/>
                <w:szCs w:val="18"/>
                <w:color w:val="auto"/>
              </w:rPr>
            </w:pPr>
          </w:p>
        </w:tc>
        <w:tc>
          <w:tcPr>
            <w:tcW w:w="65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7"/>
                <w:szCs w:val="17"/>
                <w:color w:val="0000FF"/>
                <w:w w:val="91"/>
              </w:rPr>
              <w:t>Form of Restricted Stock Unit Grant Notice and Restricted Stock Unit Agreement (Employees)</w:t>
            </w:r>
          </w:p>
        </w:tc>
        <w:tc>
          <w:tcPr>
            <w:tcW w:w="1460" w:type="dxa"/>
            <w:vAlign w:val="bottom"/>
            <w:tcBorders>
              <w:top w:val="single" w:sz="8" w:color="0000FF"/>
            </w:tcBorders>
            <w:gridSpan w:val="2"/>
          </w:tcPr>
          <w:p>
            <w:pPr>
              <w:spacing w:after="0"/>
              <w:rPr>
                <w:sz w:val="18"/>
                <w:szCs w:val="18"/>
                <w:color w:val="auto"/>
              </w:rPr>
            </w:pPr>
          </w:p>
        </w:tc>
        <w:tc>
          <w:tcPr>
            <w:tcW w:w="1860" w:type="dxa"/>
            <w:vAlign w:val="bottom"/>
            <w:gridSpan w:val="9"/>
          </w:tcPr>
          <w:p>
            <w:pPr>
              <w:spacing w:after="0"/>
              <w:rPr>
                <w:sz w:val="18"/>
                <w:szCs w:val="18"/>
                <w:color w:val="auto"/>
              </w:rPr>
            </w:pPr>
          </w:p>
        </w:tc>
      </w:tr>
      <w:tr>
        <w:trPr>
          <w:trHeight w:val="198"/>
        </w:trPr>
        <w:tc>
          <w:tcPr>
            <w:tcW w:w="800" w:type="dxa"/>
            <w:vAlign w:val="bottom"/>
          </w:tcPr>
          <w:p>
            <w:pPr>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17"/>
                <w:szCs w:val="17"/>
                <w:color w:val="auto"/>
              </w:rPr>
            </w:pPr>
          </w:p>
        </w:tc>
        <w:tc>
          <w:tcPr>
            <w:tcW w:w="748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2"/>
              </w:rPr>
              <w:t>Form of Restricted Stock Unit Grant Notice and Restricted Stock Unit Agreement (Non-Employee Directors)</w:t>
            </w:r>
          </w:p>
        </w:tc>
        <w:tc>
          <w:tcPr>
            <w:tcW w:w="2360" w:type="dxa"/>
            <w:vAlign w:val="bottom"/>
            <w:gridSpan w:val="10"/>
          </w:tcPr>
          <w:p>
            <w:pPr>
              <w:spacing w:after="0"/>
              <w:rPr>
                <w:sz w:val="17"/>
                <w:szCs w:val="17"/>
                <w:color w:val="auto"/>
              </w:rPr>
            </w:pPr>
          </w:p>
        </w:tc>
      </w:tr>
      <w:tr>
        <w:trPr>
          <w:trHeight w:val="198"/>
        </w:trPr>
        <w:tc>
          <w:tcPr>
            <w:tcW w:w="800" w:type="dxa"/>
            <w:vAlign w:val="bottom"/>
          </w:tcPr>
          <w:p>
            <w:pPr>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17"/>
                <w:szCs w:val="17"/>
                <w:color w:val="auto"/>
              </w:rPr>
            </w:pPr>
          </w:p>
        </w:tc>
        <w:tc>
          <w:tcPr>
            <w:tcW w:w="49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Form of Restricted Stock Grant Notice and Restricted Stock Agreement</w:t>
            </w:r>
          </w:p>
        </w:tc>
        <w:tc>
          <w:tcPr>
            <w:tcW w:w="4920" w:type="dxa"/>
            <w:vAlign w:val="bottom"/>
            <w:gridSpan w:val="14"/>
          </w:tcPr>
          <w:p>
            <w:pPr>
              <w:spacing w:after="0"/>
              <w:rPr>
                <w:sz w:val="17"/>
                <w:szCs w:val="17"/>
                <w:color w:val="auto"/>
              </w:rPr>
            </w:pPr>
          </w:p>
        </w:tc>
      </w:tr>
      <w:tr>
        <w:trPr>
          <w:trHeight w:val="198"/>
        </w:trPr>
        <w:tc>
          <w:tcPr>
            <w:tcW w:w="800" w:type="dxa"/>
            <w:vAlign w:val="bottom"/>
          </w:tcPr>
          <w:p>
            <w:pPr>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17"/>
                <w:szCs w:val="17"/>
                <w:color w:val="auto"/>
              </w:rPr>
            </w:pPr>
          </w:p>
        </w:tc>
        <w:tc>
          <w:tcPr>
            <w:tcW w:w="9840" w:type="dxa"/>
            <w:vAlign w:val="bottom"/>
            <w:gridSpan w:val="21"/>
          </w:tcPr>
          <w:p>
            <w:pPr>
              <w:spacing w:after="0"/>
              <w:rPr>
                <w:sz w:val="20"/>
                <w:szCs w:val="20"/>
                <w:color w:val="auto"/>
              </w:rPr>
            </w:pPr>
            <w:r>
              <w:rPr>
                <w:rFonts w:ascii="Arial" w:cs="Arial" w:eastAsia="Arial" w:hAnsi="Arial"/>
                <w:sz w:val="17"/>
                <w:szCs w:val="17"/>
                <w:color w:val="0000FF"/>
              </w:rPr>
              <w:t>MarketWise, Inc. Non-Employee Director Compensation Policy (Effective August 2, 2023)</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800" w:type="dxa"/>
            <w:vAlign w:val="bottom"/>
          </w:tcPr>
          <w:p>
            <w:pPr>
              <w:spacing w:after="0"/>
              <w:rPr>
                <w:sz w:val="20"/>
                <w:szCs w:val="20"/>
                <w:color w:val="auto"/>
              </w:rPr>
            </w:pPr>
            <w:r>
              <w:rPr>
                <w:rFonts w:ascii="Arial" w:cs="Arial" w:eastAsia="Arial" w:hAnsi="Arial"/>
                <w:sz w:val="17"/>
                <w:szCs w:val="17"/>
                <w:color w:val="auto"/>
              </w:rPr>
              <w:t>31.1</w:t>
            </w:r>
          </w:p>
        </w:tc>
        <w:tc>
          <w:tcPr>
            <w:tcW w:w="560" w:type="dxa"/>
            <w:vAlign w:val="bottom"/>
          </w:tcPr>
          <w:p>
            <w:pPr>
              <w:spacing w:after="0"/>
              <w:rPr>
                <w:sz w:val="17"/>
                <w:szCs w:val="17"/>
                <w:color w:val="auto"/>
              </w:rPr>
            </w:pPr>
          </w:p>
        </w:tc>
        <w:tc>
          <w:tcPr>
            <w:tcW w:w="9840" w:type="dxa"/>
            <w:vAlign w:val="bottom"/>
            <w:gridSpan w:val="21"/>
          </w:tcPr>
          <w:p>
            <w:pPr>
              <w:spacing w:after="0"/>
              <w:rPr>
                <w:sz w:val="20"/>
                <w:szCs w:val="20"/>
                <w:color w:val="auto"/>
              </w:rPr>
            </w:pPr>
            <w:r>
              <w:rPr>
                <w:rFonts w:ascii="Arial" w:cs="Arial" w:eastAsia="Arial" w:hAnsi="Arial"/>
                <w:sz w:val="17"/>
                <w:szCs w:val="17"/>
                <w:color w:val="0000FF"/>
                <w:w w:val="92"/>
              </w:rPr>
              <w:t>Certification of Principal Executive Officer Pursuant to Rules 13a-14(a) and 15d-14(a) under the Securities Exchange Act of 1934, as Adopted</w:t>
            </w:r>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760" w:type="dxa"/>
            <w:vAlign w:val="bottom"/>
            <w:tcBorders>
              <w:top w:val="single" w:sz="8" w:color="0000FF"/>
            </w:tcBorders>
            <w:gridSpan w:val="17"/>
          </w:tcPr>
          <w:p>
            <w:pPr>
              <w:spacing w:after="0" w:line="147" w:lineRule="exact"/>
              <w:rPr>
                <w:sz w:val="20"/>
                <w:szCs w:val="20"/>
                <w:color w:val="auto"/>
              </w:rPr>
            </w:pPr>
            <w:r>
              <w:rPr>
                <w:rFonts w:ascii="Arial" w:cs="Arial" w:eastAsia="Arial" w:hAnsi="Arial"/>
                <w:sz w:val="16"/>
                <w:szCs w:val="16"/>
                <w:color w:val="0000FF"/>
              </w:rPr>
              <w:t>Pursuant to Section 302 of the Sarbanes-Oxley Act of 2002.</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31.2</w:t>
            </w:r>
          </w:p>
        </w:tc>
        <w:tc>
          <w:tcPr>
            <w:tcW w:w="560" w:type="dxa"/>
            <w:vAlign w:val="bottom"/>
          </w:tcPr>
          <w:p>
            <w:pPr>
              <w:spacing w:after="0"/>
              <w:rPr>
                <w:sz w:val="18"/>
                <w:szCs w:val="18"/>
                <w:color w:val="auto"/>
              </w:rPr>
            </w:pPr>
          </w:p>
        </w:tc>
        <w:tc>
          <w:tcPr>
            <w:tcW w:w="9840" w:type="dxa"/>
            <w:vAlign w:val="bottom"/>
            <w:gridSpan w:val="21"/>
          </w:tcPr>
          <w:p>
            <w:pPr>
              <w:spacing w:after="0"/>
              <w:rPr>
                <w:sz w:val="20"/>
                <w:szCs w:val="20"/>
                <w:color w:val="auto"/>
              </w:rPr>
            </w:pPr>
            <w:r>
              <w:rPr>
                <w:rFonts w:ascii="Arial" w:cs="Arial" w:eastAsia="Arial" w:hAnsi="Arial"/>
                <w:sz w:val="17"/>
                <w:szCs w:val="17"/>
                <w:color w:val="0000FF"/>
                <w:w w:val="92"/>
              </w:rPr>
              <w:t>Certification of Principal Financial Officer Pursuant to Rules 13a-14(a) and 15d-14(a) under the Securities Exchange Act of 1934, as Adopted</w:t>
            </w:r>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700" w:type="dxa"/>
            <w:vAlign w:val="bottom"/>
            <w:tcBorders>
              <w:top w:val="single" w:sz="8" w:color="0000FF"/>
            </w:tcBorders>
            <w:gridSpan w:val="15"/>
          </w:tcPr>
          <w:p>
            <w:pPr>
              <w:spacing w:after="0" w:line="147" w:lineRule="exact"/>
              <w:rPr>
                <w:sz w:val="20"/>
                <w:szCs w:val="20"/>
                <w:color w:val="auto"/>
              </w:rPr>
            </w:pPr>
            <w:r>
              <w:rPr>
                <w:rFonts w:ascii="Arial" w:cs="Arial" w:eastAsia="Arial" w:hAnsi="Arial"/>
                <w:sz w:val="16"/>
                <w:szCs w:val="16"/>
                <w:color w:val="0000FF"/>
              </w:rPr>
              <w:t>Pursuant to Section 302 of the Sarbanes-Oxley Act of 2002.</w:t>
            </w: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56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32.1</w:t>
            </w:r>
          </w:p>
        </w:tc>
        <w:tc>
          <w:tcPr>
            <w:tcW w:w="560" w:type="dxa"/>
            <w:vAlign w:val="bottom"/>
          </w:tcPr>
          <w:p>
            <w:pPr>
              <w:spacing w:after="0"/>
              <w:rPr>
                <w:sz w:val="18"/>
                <w:szCs w:val="18"/>
                <w:color w:val="auto"/>
              </w:rPr>
            </w:pPr>
          </w:p>
        </w:tc>
        <w:tc>
          <w:tcPr>
            <w:tcW w:w="9840" w:type="dxa"/>
            <w:vAlign w:val="bottom"/>
            <w:gridSpan w:val="21"/>
          </w:tcPr>
          <w:p>
            <w:pPr>
              <w:spacing w:after="0"/>
              <w:rPr>
                <w:sz w:val="20"/>
                <w:szCs w:val="20"/>
                <w:color w:val="auto"/>
              </w:rPr>
            </w:pPr>
            <w:r>
              <w:rPr>
                <w:rFonts w:ascii="Arial" w:cs="Arial" w:eastAsia="Arial" w:hAnsi="Arial"/>
                <w:sz w:val="17"/>
                <w:szCs w:val="17"/>
                <w:color w:val="0000FF"/>
                <w:w w:val="91"/>
              </w:rPr>
              <w:t>Certification of Principal Executive Officer Pursuant to 18 U.S.C. Section 1350, as Adopted Pursuant to Section 906 of the Sarbanes-Oxley Act</w:t>
            </w:r>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7" w:lineRule="exact"/>
              <w:rPr>
                <w:sz w:val="20"/>
                <w:szCs w:val="20"/>
                <w:color w:val="auto"/>
              </w:rPr>
            </w:pPr>
            <w:r>
              <w:rPr>
                <w:rFonts w:ascii="Arial" w:cs="Arial" w:eastAsia="Arial" w:hAnsi="Arial"/>
                <w:sz w:val="16"/>
                <w:szCs w:val="16"/>
                <w:color w:val="0000FF"/>
                <w:w w:val="96"/>
              </w:rPr>
              <w:t>of 2002.</w:t>
            </w:r>
          </w:p>
        </w:tc>
        <w:tc>
          <w:tcPr>
            <w:tcW w:w="92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32.2</w:t>
            </w:r>
          </w:p>
        </w:tc>
        <w:tc>
          <w:tcPr>
            <w:tcW w:w="560" w:type="dxa"/>
            <w:vAlign w:val="bottom"/>
          </w:tcPr>
          <w:p>
            <w:pPr>
              <w:spacing w:after="0"/>
              <w:rPr>
                <w:sz w:val="18"/>
                <w:szCs w:val="18"/>
                <w:color w:val="auto"/>
              </w:rPr>
            </w:pPr>
          </w:p>
        </w:tc>
        <w:tc>
          <w:tcPr>
            <w:tcW w:w="9840" w:type="dxa"/>
            <w:vAlign w:val="bottom"/>
            <w:gridSpan w:val="21"/>
          </w:tcPr>
          <w:p>
            <w:pPr>
              <w:spacing w:after="0"/>
              <w:rPr>
                <w:sz w:val="20"/>
                <w:szCs w:val="20"/>
                <w:color w:val="auto"/>
              </w:rPr>
            </w:pPr>
            <w:r>
              <w:rPr>
                <w:rFonts w:ascii="Arial" w:cs="Arial" w:eastAsia="Arial" w:hAnsi="Arial"/>
                <w:sz w:val="17"/>
                <w:szCs w:val="17"/>
                <w:color w:val="0000FF"/>
                <w:w w:val="92"/>
              </w:rPr>
              <w:t>Certification of Principal Financial Officer Pursuant to 18 U.S.C. Section 1350, as Adopted Pursuant to Section 906 of the Sarbanes-Oxley Act</w:t>
            </w:r>
          </w:p>
        </w:tc>
      </w:tr>
      <w:tr>
        <w:trPr>
          <w:trHeight w:val="146"/>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7" w:lineRule="exact"/>
              <w:rPr>
                <w:sz w:val="20"/>
                <w:szCs w:val="20"/>
                <w:color w:val="auto"/>
              </w:rPr>
            </w:pPr>
            <w:r>
              <w:rPr>
                <w:rFonts w:ascii="Arial" w:cs="Arial" w:eastAsia="Arial" w:hAnsi="Arial"/>
                <w:sz w:val="16"/>
                <w:szCs w:val="16"/>
                <w:color w:val="0000FF"/>
                <w:w w:val="96"/>
              </w:rPr>
              <w:t>of 2002.</w:t>
            </w:r>
          </w:p>
        </w:tc>
        <w:tc>
          <w:tcPr>
            <w:tcW w:w="9200" w:type="dxa"/>
            <w:vAlign w:val="bottom"/>
            <w:tcBorders>
              <w:top w:val="single" w:sz="8" w:color="0000FF"/>
            </w:tcBorders>
            <w:gridSpan w:val="17"/>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48"/>
        </w:trPr>
        <w:tc>
          <w:tcPr>
            <w:tcW w:w="1360" w:type="dxa"/>
            <w:vAlign w:val="bottom"/>
            <w:gridSpan w:val="2"/>
          </w:tcPr>
          <w:p>
            <w:pPr>
              <w:spacing w:after="0"/>
              <w:rPr>
                <w:sz w:val="20"/>
                <w:szCs w:val="20"/>
                <w:color w:val="auto"/>
              </w:rPr>
            </w:pPr>
            <w:r>
              <w:rPr>
                <w:rFonts w:ascii="Arial" w:cs="Arial" w:eastAsia="Arial" w:hAnsi="Arial"/>
                <w:sz w:val="17"/>
                <w:szCs w:val="17"/>
                <w:color w:val="auto"/>
              </w:rPr>
              <w:t>101.INS</w:t>
            </w:r>
          </w:p>
        </w:tc>
        <w:tc>
          <w:tcPr>
            <w:tcW w:w="9840" w:type="dxa"/>
            <w:vAlign w:val="bottom"/>
            <w:gridSpan w:val="21"/>
          </w:tcPr>
          <w:p>
            <w:pPr>
              <w:spacing w:after="0"/>
              <w:rPr>
                <w:sz w:val="20"/>
                <w:szCs w:val="20"/>
                <w:color w:val="auto"/>
              </w:rPr>
            </w:pPr>
            <w:r>
              <w:rPr>
                <w:rFonts w:ascii="Arial" w:cs="Arial" w:eastAsia="Arial" w:hAnsi="Arial"/>
                <w:sz w:val="17"/>
                <w:szCs w:val="17"/>
                <w:color w:val="auto"/>
              </w:rPr>
              <w:t>XBRL Instance Document</w:t>
            </w:r>
          </w:p>
        </w:tc>
      </w:tr>
      <w:tr>
        <w:trPr>
          <w:trHeight w:val="218"/>
        </w:trPr>
        <w:tc>
          <w:tcPr>
            <w:tcW w:w="1360" w:type="dxa"/>
            <w:vAlign w:val="bottom"/>
            <w:gridSpan w:val="2"/>
          </w:tcPr>
          <w:p>
            <w:pPr>
              <w:spacing w:after="0"/>
              <w:rPr>
                <w:sz w:val="20"/>
                <w:szCs w:val="20"/>
                <w:color w:val="auto"/>
              </w:rPr>
            </w:pPr>
            <w:r>
              <w:rPr>
                <w:rFonts w:ascii="Arial" w:cs="Arial" w:eastAsia="Arial" w:hAnsi="Arial"/>
                <w:sz w:val="17"/>
                <w:szCs w:val="17"/>
                <w:color w:val="auto"/>
              </w:rPr>
              <w:t>101.SCH</w:t>
            </w:r>
          </w:p>
        </w:tc>
        <w:tc>
          <w:tcPr>
            <w:tcW w:w="9840" w:type="dxa"/>
            <w:vAlign w:val="bottom"/>
            <w:gridSpan w:val="21"/>
          </w:tcPr>
          <w:p>
            <w:pPr>
              <w:spacing w:after="0"/>
              <w:rPr>
                <w:sz w:val="20"/>
                <w:szCs w:val="20"/>
                <w:color w:val="auto"/>
              </w:rPr>
            </w:pPr>
            <w:r>
              <w:rPr>
                <w:rFonts w:ascii="Arial" w:cs="Arial" w:eastAsia="Arial" w:hAnsi="Arial"/>
                <w:sz w:val="17"/>
                <w:szCs w:val="17"/>
                <w:color w:val="auto"/>
              </w:rPr>
              <w:t>XBRL Taxonomy Extension Schema Document</w:t>
            </w:r>
          </w:p>
        </w:tc>
      </w:tr>
      <w:tr>
        <w:trPr>
          <w:trHeight w:val="218"/>
        </w:trPr>
        <w:tc>
          <w:tcPr>
            <w:tcW w:w="1360" w:type="dxa"/>
            <w:vAlign w:val="bottom"/>
            <w:gridSpan w:val="2"/>
          </w:tcPr>
          <w:p>
            <w:pPr>
              <w:spacing w:after="0"/>
              <w:rPr>
                <w:sz w:val="20"/>
                <w:szCs w:val="20"/>
                <w:color w:val="auto"/>
              </w:rPr>
            </w:pPr>
            <w:r>
              <w:rPr>
                <w:rFonts w:ascii="Arial" w:cs="Arial" w:eastAsia="Arial" w:hAnsi="Arial"/>
                <w:sz w:val="17"/>
                <w:szCs w:val="17"/>
                <w:color w:val="auto"/>
              </w:rPr>
              <w:t>101.CAL</w:t>
            </w:r>
          </w:p>
        </w:tc>
        <w:tc>
          <w:tcPr>
            <w:tcW w:w="9840" w:type="dxa"/>
            <w:vAlign w:val="bottom"/>
            <w:gridSpan w:val="21"/>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18"/>
        </w:trPr>
        <w:tc>
          <w:tcPr>
            <w:tcW w:w="1360" w:type="dxa"/>
            <w:vAlign w:val="bottom"/>
            <w:gridSpan w:val="2"/>
          </w:tcPr>
          <w:p>
            <w:pPr>
              <w:spacing w:after="0"/>
              <w:rPr>
                <w:sz w:val="20"/>
                <w:szCs w:val="20"/>
                <w:color w:val="auto"/>
              </w:rPr>
            </w:pPr>
            <w:r>
              <w:rPr>
                <w:rFonts w:ascii="Arial" w:cs="Arial" w:eastAsia="Arial" w:hAnsi="Arial"/>
                <w:sz w:val="17"/>
                <w:szCs w:val="17"/>
                <w:color w:val="auto"/>
              </w:rPr>
              <w:t>101.DEF</w:t>
            </w:r>
          </w:p>
        </w:tc>
        <w:tc>
          <w:tcPr>
            <w:tcW w:w="9840" w:type="dxa"/>
            <w:vAlign w:val="bottom"/>
            <w:gridSpan w:val="21"/>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18"/>
        </w:trPr>
        <w:tc>
          <w:tcPr>
            <w:tcW w:w="1360" w:type="dxa"/>
            <w:vAlign w:val="bottom"/>
            <w:gridSpan w:val="2"/>
          </w:tcPr>
          <w:p>
            <w:pPr>
              <w:spacing w:after="0"/>
              <w:rPr>
                <w:sz w:val="20"/>
                <w:szCs w:val="20"/>
                <w:color w:val="auto"/>
              </w:rPr>
            </w:pPr>
            <w:r>
              <w:rPr>
                <w:rFonts w:ascii="Arial" w:cs="Arial" w:eastAsia="Arial" w:hAnsi="Arial"/>
                <w:sz w:val="17"/>
                <w:szCs w:val="17"/>
                <w:color w:val="auto"/>
              </w:rPr>
              <w:t>101.LAB</w:t>
            </w:r>
          </w:p>
        </w:tc>
        <w:tc>
          <w:tcPr>
            <w:tcW w:w="9840" w:type="dxa"/>
            <w:vAlign w:val="bottom"/>
            <w:gridSpan w:val="21"/>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18"/>
        </w:trPr>
        <w:tc>
          <w:tcPr>
            <w:tcW w:w="1360" w:type="dxa"/>
            <w:vAlign w:val="bottom"/>
            <w:gridSpan w:val="2"/>
          </w:tcPr>
          <w:p>
            <w:pPr>
              <w:spacing w:after="0"/>
              <w:rPr>
                <w:sz w:val="20"/>
                <w:szCs w:val="20"/>
                <w:color w:val="auto"/>
              </w:rPr>
            </w:pPr>
            <w:r>
              <w:rPr>
                <w:rFonts w:ascii="Arial" w:cs="Arial" w:eastAsia="Arial" w:hAnsi="Arial"/>
                <w:sz w:val="17"/>
                <w:szCs w:val="17"/>
                <w:color w:val="auto"/>
              </w:rPr>
              <w:t>101.PRE</w:t>
            </w:r>
          </w:p>
        </w:tc>
        <w:tc>
          <w:tcPr>
            <w:tcW w:w="9840" w:type="dxa"/>
            <w:vAlign w:val="bottom"/>
            <w:gridSpan w:val="21"/>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 w:lineRule="exact"/>
        <w:rPr>
          <w:sz w:val="20"/>
          <w:szCs w:val="20"/>
          <w:color w:val="auto"/>
        </w:rPr>
      </w:pPr>
    </w:p>
    <w:p>
      <w:pPr>
        <w:ind w:left="1400" w:hanging="1355"/>
        <w:spacing w:after="0"/>
        <w:tabs>
          <w:tab w:leader="none" w:pos="14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01" w:lineRule="exact"/>
        <w:rPr>
          <w:rFonts w:ascii="Arial" w:cs="Arial" w:eastAsia="Arial" w:hAnsi="Arial"/>
          <w:sz w:val="17"/>
          <w:szCs w:val="17"/>
          <w:color w:val="auto"/>
        </w:rPr>
      </w:pPr>
    </w:p>
    <w:p>
      <w:pPr>
        <w:ind w:right="380" w:firstLine="2"/>
        <w:spacing w:after="0" w:line="276" w:lineRule="auto"/>
        <w:tabs>
          <w:tab w:leader="none" w:pos="1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44" w:lineRule="exact"/>
        <w:rPr>
          <w:sz w:val="20"/>
          <w:szCs w:val="20"/>
          <w:color w:val="auto"/>
        </w:rPr>
      </w:pPr>
    </w:p>
    <w:p>
      <w:pPr>
        <w:ind w:left="5960"/>
        <w:spacing w:after="0"/>
        <w:rPr>
          <w:sz w:val="20"/>
          <w:szCs w:val="20"/>
          <w:color w:val="auto"/>
        </w:rPr>
      </w:pPr>
      <w:r>
        <w:rPr>
          <w:rFonts w:ascii="Arial" w:cs="Arial" w:eastAsia="Arial" w:hAnsi="Arial"/>
          <w:sz w:val="19"/>
          <w:szCs w:val="19"/>
          <w:b w:val="1"/>
          <w:bCs w:val="1"/>
          <w:color w:val="auto"/>
        </w:rPr>
        <w:t>MARKETWISE, INC.</w:t>
      </w:r>
    </w:p>
    <w:p>
      <w:pPr>
        <w:spacing w:after="0" w:line="287" w:lineRule="exact"/>
        <w:rPr>
          <w:sz w:val="20"/>
          <w:szCs w:val="20"/>
          <w:color w:val="auto"/>
        </w:rPr>
      </w:pPr>
    </w:p>
    <w:p>
      <w:pPr>
        <w:ind w:left="40"/>
        <w:spacing w:after="0"/>
        <w:tabs>
          <w:tab w:leader="none" w:pos="5940" w:val="left"/>
        </w:tabs>
        <w:rPr>
          <w:sz w:val="20"/>
          <w:szCs w:val="20"/>
          <w:color w:val="auto"/>
        </w:rPr>
      </w:pPr>
      <w:r>
        <w:rPr>
          <w:rFonts w:ascii="Arial" w:cs="Arial" w:eastAsia="Arial" w:hAnsi="Arial"/>
          <w:sz w:val="17"/>
          <w:szCs w:val="17"/>
          <w:color w:val="auto"/>
        </w:rPr>
        <w:t>Date: November 9, 2023</w:t>
      </w:r>
      <w:r>
        <w:rPr>
          <w:sz w:val="20"/>
          <w:szCs w:val="20"/>
          <w:color w:val="auto"/>
        </w:rPr>
        <w:tab/>
      </w:r>
      <w:r>
        <w:rPr>
          <w:rFonts w:ascii="Arial" w:cs="Arial" w:eastAsia="Arial" w:hAnsi="Arial"/>
          <w:sz w:val="17"/>
          <w:szCs w:val="17"/>
          <w:color w:val="auto"/>
        </w:rPr>
        <w:t>By:</w:t>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5080</wp:posOffset>
            </wp:positionV>
            <wp:extent cx="28378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Name:</w:t>
      </w:r>
    </w:p>
    <w:p>
      <w:pPr>
        <w:ind w:left="6820"/>
        <w:spacing w:after="0"/>
        <w:rPr>
          <w:sz w:val="20"/>
          <w:szCs w:val="20"/>
          <w:color w:val="auto"/>
        </w:rPr>
      </w:pPr>
      <w:r>
        <w:rPr>
          <w:rFonts w:ascii="Arial" w:cs="Arial" w:eastAsia="Arial" w:hAnsi="Arial"/>
          <w:sz w:val="17"/>
          <w:szCs w:val="17"/>
          <w:color w:val="auto"/>
        </w:rPr>
        <w:t>Erik Mickels</w:t>
      </w:r>
    </w:p>
    <w:p>
      <w:pPr>
        <w:spacing w:after="0" w:line="1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ind w:left="682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640"/>
          </w:cols>
          <w:pgMar w:left="320" w:top="1440" w:right="9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204470</wp:posOffset>
            </wp:positionH>
            <wp:positionV relativeFrom="page">
              <wp:posOffset>885825</wp:posOffset>
            </wp:positionV>
            <wp:extent cx="7147560" cy="284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7560" cy="284480"/>
                    </a:xfrm>
                    <a:prstGeom prst="rect">
                      <a:avLst/>
                    </a:prstGeom>
                    <a:noFill/>
                  </pic:spPr>
                </pic:pic>
              </a:graphicData>
            </a:graphic>
          </wp:anchor>
        </w:drawing>
        <w:t>MARKETWISE, INC.</w:t>
      </w:r>
    </w:p>
    <w:p>
      <w:pPr>
        <w:jc w:val="center"/>
        <w:ind w:right="-19"/>
        <w:spacing w:after="0"/>
        <w:rPr>
          <w:sz w:val="20"/>
          <w:szCs w:val="20"/>
          <w:color w:val="auto"/>
        </w:rPr>
      </w:pPr>
      <w:r>
        <w:rPr>
          <w:rFonts w:ascii="Arial" w:cs="Arial" w:eastAsia="Arial" w:hAnsi="Arial"/>
          <w:sz w:val="19"/>
          <w:szCs w:val="19"/>
          <w:b w:val="1"/>
          <w:bCs w:val="1"/>
          <w:color w:val="auto"/>
        </w:rPr>
        <w:t>2021 INCENTIVE AWARD PLAN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GRANT NOTICE</w:t>
      </w:r>
    </w:p>
    <w:p>
      <w:pPr>
        <w:spacing w:after="0" w:line="170"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Capitalized terms not specifically defined in this Restricted Stock Unit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have the meanings given to them in the 2021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of MarketWise,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w:t>
      </w:r>
    </w:p>
    <w:p>
      <w:pPr>
        <w:spacing w:after="0" w:line="159" w:lineRule="exact"/>
        <w:rPr>
          <w:sz w:val="20"/>
          <w:szCs w:val="20"/>
          <w:color w:val="auto"/>
        </w:rPr>
      </w:pPr>
    </w:p>
    <w:p>
      <w:pPr>
        <w:ind w:firstLine="615"/>
        <w:spacing w:after="0" w:line="237" w:lineRule="auto"/>
        <w:rPr>
          <w:sz w:val="20"/>
          <w:szCs w:val="20"/>
          <w:color w:val="auto"/>
        </w:rPr>
      </w:pPr>
      <w:r>
        <w:rPr>
          <w:rFonts w:ascii="Arial" w:cs="Arial" w:eastAsia="Arial" w:hAnsi="Arial"/>
          <w:sz w:val="17"/>
          <w:szCs w:val="17"/>
          <w:color w:val="auto"/>
        </w:rPr>
        <w:t>The Company has granted to the participant listed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Restricted Stock Units described in this Grant Notice (the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xml:space="preserve">”), subject to the terms and conditions of the Plan and the Restricted Stock Unit Agreement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both of</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which are incorporated into this Grant Notice by reference. Each RSU is hereby granted in tandem with a corresponding dividend equivalent to the extent a portion of such RSU is vested, as further described in the Agreement (the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Participant:</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Grant Date: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Number of RSUs: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Vesting Commencement Date: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Vesting Schedule:</w:t>
      </w: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By Participant’s signature below, Participant agrees to be bound by the terms of this Grant Notice, the Plan and the Agreement. Participant</w:t>
      </w:r>
    </w:p>
    <w:p>
      <w:pPr>
        <w:spacing w:after="0" w:line="1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w:t>
      </w: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binding, conclusive and final all decisions or interpretations of the Administrator upon any questions arising under the Plan, this Grant Notice or the Agreement.</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320" w:type="dxa"/>
            <w:vAlign w:val="bottom"/>
            <w:gridSpan w:val="3"/>
          </w:tcPr>
          <w:p>
            <w:pPr>
              <w:spacing w:after="0"/>
              <w:rPr>
                <w:sz w:val="20"/>
                <w:szCs w:val="20"/>
                <w:color w:val="auto"/>
              </w:rPr>
            </w:pPr>
            <w:r>
              <w:rPr>
                <w:rFonts w:ascii="Arial" w:cs="Arial" w:eastAsia="Arial" w:hAnsi="Arial"/>
                <w:sz w:val="19"/>
                <w:szCs w:val="19"/>
                <w:b w:val="1"/>
                <w:bCs w:val="1"/>
                <w:color w:val="auto"/>
              </w:rPr>
              <w:t>MARKETWISE, INC.</w:t>
            </w:r>
          </w:p>
        </w:tc>
        <w:tc>
          <w:tcPr>
            <w:tcW w:w="3740" w:type="dxa"/>
            <w:vAlign w:val="bottom"/>
          </w:tcPr>
          <w:p>
            <w:pPr>
              <w:ind w:left="2300"/>
              <w:spacing w:after="0"/>
              <w:rPr>
                <w:sz w:val="20"/>
                <w:szCs w:val="20"/>
                <w:color w:val="auto"/>
              </w:rPr>
            </w:pPr>
            <w:r>
              <w:rPr>
                <w:rFonts w:ascii="Arial" w:cs="Arial" w:eastAsia="Arial" w:hAnsi="Arial"/>
                <w:sz w:val="19"/>
                <w:szCs w:val="19"/>
                <w:b w:val="1"/>
                <w:bCs w:val="1"/>
                <w:color w:val="auto"/>
              </w:rPr>
              <w:t>PARTICIPANT</w:t>
            </w:r>
          </w:p>
        </w:tc>
      </w:tr>
      <w:tr>
        <w:trPr>
          <w:trHeight w:val="307"/>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64"/>
        </w:trPr>
        <w:tc>
          <w:tcPr>
            <w:tcW w:w="900" w:type="dxa"/>
            <w:vAlign w:val="bottom"/>
          </w:tcPr>
          <w:p>
            <w:pPr>
              <w:spacing w:after="0"/>
              <w:rPr>
                <w:sz w:val="20"/>
                <w:szCs w:val="20"/>
                <w:color w:val="auto"/>
              </w:rPr>
            </w:pPr>
            <w:r>
              <w:rPr>
                <w:rFonts w:ascii="Arial" w:cs="Arial" w:eastAsia="Arial" w:hAnsi="Arial"/>
                <w:sz w:val="19"/>
                <w:szCs w:val="19"/>
                <w:color w:val="auto"/>
              </w:rPr>
              <w:t>Name:</w:t>
            </w:r>
          </w:p>
        </w:tc>
        <w:tc>
          <w:tcPr>
            <w:tcW w:w="2420" w:type="dxa"/>
            <w:vAlign w:val="bottom"/>
            <w:gridSpan w:val="2"/>
          </w:tcPr>
          <w:p>
            <w:pPr>
              <w:spacing w:after="0"/>
              <w:rPr>
                <w:sz w:val="20"/>
                <w:szCs w:val="20"/>
                <w:color w:val="auto"/>
              </w:rPr>
            </w:pPr>
            <w:r>
              <w:rPr>
                <w:rFonts w:ascii="Arial" w:cs="Arial" w:eastAsia="Arial" w:hAnsi="Arial"/>
                <w:sz w:val="19"/>
                <w:szCs w:val="19"/>
                <w:color w:val="auto"/>
              </w:rPr>
              <w:t>Cynthia Cherry, SHRM-SCP</w:t>
            </w:r>
          </w:p>
        </w:tc>
        <w:tc>
          <w:tcPr>
            <w:tcW w:w="3740" w:type="dxa"/>
            <w:vAlign w:val="bottom"/>
          </w:tcPr>
          <w:p>
            <w:pPr>
              <w:ind w:left="2300"/>
              <w:spacing w:after="0"/>
              <w:rPr>
                <w:sz w:val="20"/>
                <w:szCs w:val="20"/>
                <w:color w:val="auto"/>
              </w:rPr>
            </w:pPr>
            <w:r>
              <w:rPr>
                <w:rFonts w:ascii="Arial" w:cs="Arial" w:eastAsia="Arial" w:hAnsi="Arial"/>
                <w:sz w:val="19"/>
                <w:szCs w:val="19"/>
                <w:color w:val="auto"/>
                <w:w w:val="90"/>
              </w:rPr>
              <w:t>[Participant Name]</w:t>
            </w:r>
          </w:p>
        </w:tc>
      </w:tr>
      <w:tr>
        <w:trPr>
          <w:trHeight w:val="20"/>
        </w:trPr>
        <w:tc>
          <w:tcPr>
            <w:tcW w:w="9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87"/>
        </w:trPr>
        <w:tc>
          <w:tcPr>
            <w:tcW w:w="900" w:type="dxa"/>
            <w:vAlign w:val="bottom"/>
          </w:tcPr>
          <w:p>
            <w:pPr>
              <w:spacing w:after="0"/>
              <w:rPr>
                <w:sz w:val="20"/>
                <w:szCs w:val="20"/>
                <w:color w:val="auto"/>
              </w:rPr>
            </w:pPr>
            <w:r>
              <w:rPr>
                <w:rFonts w:ascii="Arial" w:cs="Arial" w:eastAsia="Arial" w:hAnsi="Arial"/>
                <w:sz w:val="19"/>
                <w:szCs w:val="19"/>
                <w:color w:val="auto"/>
              </w:rPr>
              <w:t>Title:</w:t>
            </w:r>
          </w:p>
        </w:tc>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89"/>
              </w:rPr>
              <w:t>Chief Human Resources Officer</w:t>
            </w:r>
          </w:p>
        </w:tc>
        <w:tc>
          <w:tcPr>
            <w:tcW w:w="3740" w:type="dxa"/>
            <w:vAlign w:val="bottom"/>
          </w:tcPr>
          <w:p>
            <w:pPr>
              <w:spacing w:after="0"/>
              <w:rPr>
                <w:sz w:val="24"/>
                <w:szCs w:val="24"/>
                <w:color w:val="auto"/>
              </w:rPr>
            </w:pPr>
          </w:p>
        </w:tc>
      </w:tr>
    </w:tbl>
    <w:p>
      <w:pPr>
        <w:sectPr>
          <w:pgSz w:w="11900" w:h="16838" w:orient="portrait"/>
          <w:cols w:equalWidth="0" w:num="1">
            <w:col w:w="11240"/>
          </w:cols>
          <w:pgMar w:left="320" w:top="139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AGREEMENT</w:t>
      </w:r>
    </w:p>
    <w:p>
      <w:pPr>
        <w:spacing w:after="0" w:line="182" w:lineRule="exact"/>
        <w:rPr>
          <w:sz w:val="20"/>
          <w:szCs w:val="20"/>
          <w:color w:val="auto"/>
        </w:rPr>
      </w:pPr>
    </w:p>
    <w:p>
      <w:pPr>
        <w:ind w:firstLine="615"/>
        <w:spacing w:after="0" w:line="229" w:lineRule="auto"/>
        <w:rPr>
          <w:sz w:val="20"/>
          <w:szCs w:val="20"/>
          <w:color w:val="auto"/>
        </w:rPr>
      </w:pPr>
      <w:r>
        <w:rPr>
          <w:rFonts w:ascii="Arial" w:cs="Arial" w:eastAsia="Arial" w:hAnsi="Arial"/>
          <w:sz w:val="19"/>
          <w:szCs w:val="19"/>
          <w:color w:val="auto"/>
        </w:rPr>
        <w:t>Capitalized terms not specifically defined in this Agreement have the meanings specified in the Grant Notice or, if not defined in the Grant Notice, in the Plan.</w:t>
      </w:r>
    </w:p>
    <w:p>
      <w:pPr>
        <w:spacing w:after="0" w:line="149"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ARTICLE I.</w:t>
      </w:r>
    </w:p>
    <w:p>
      <w:pPr>
        <w:ind w:left="5160"/>
        <w:spacing w:after="0"/>
        <w:rPr>
          <w:sz w:val="20"/>
          <w:szCs w:val="20"/>
          <w:color w:val="auto"/>
        </w:rPr>
      </w:pPr>
      <w:r>
        <w:rPr>
          <w:rFonts w:ascii="Arial" w:cs="Arial" w:eastAsia="Arial" w:hAnsi="Arial"/>
          <w:sz w:val="19"/>
          <w:szCs w:val="19"/>
          <w:b w:val="1"/>
          <w:bCs w:val="1"/>
          <w:color w:val="auto"/>
        </w:rPr>
        <w:t>GENERAL</w:t>
      </w:r>
    </w:p>
    <w:p>
      <w:pPr>
        <w:spacing w:after="0" w:line="150"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u w:val="single" w:color="auto"/>
          <w:color w:val="auto"/>
        </w:rPr>
        <w:t>Award of RSUs and Dividend Equivalents.</w:t>
      </w:r>
    </w:p>
    <w:p>
      <w:pPr>
        <w:spacing w:after="0" w:line="178" w:lineRule="exact"/>
        <w:rPr>
          <w:sz w:val="20"/>
          <w:szCs w:val="20"/>
          <w:color w:val="auto"/>
        </w:rPr>
      </w:pPr>
    </w:p>
    <w:p>
      <w:pPr>
        <w:jc w:val="both"/>
        <w:ind w:firstLine="1232"/>
        <w:spacing w:after="0" w:line="212" w:lineRule="auto"/>
        <w:tabs>
          <w:tab w:leader="none" w:pos="1715"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has granted the RSUs to Participant effective as of the grant date set forth in the Grant Notice (the “</w:t>
      </w:r>
      <w:r>
        <w:rPr>
          <w:rFonts w:ascii="Arial" w:cs="Arial" w:eastAsia="Arial" w:hAnsi="Arial"/>
          <w:sz w:val="19"/>
          <w:szCs w:val="19"/>
          <w:b w:val="1"/>
          <w:bCs w:val="1"/>
          <w:i w:val="1"/>
          <w:iCs w:val="1"/>
          <w:color w:val="auto"/>
        </w:rPr>
        <w:t>Grant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Each RSU represents the right to receive one Share as set forth in this Agreement. Participant will have no right to the distribution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Shares until the time (if ever) the RSUs have vested.</w:t>
      </w:r>
    </w:p>
    <w:p>
      <w:pPr>
        <w:jc w:val="both"/>
        <w:ind w:firstLine="1232"/>
        <w:spacing w:after="0" w:line="210" w:lineRule="auto"/>
        <w:tabs>
          <w:tab w:leader="none" w:pos="1643"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hereby grants to Participant an Award of Dividend Equivalents with respect to each RSU granted pursuant to the Grant Notice for all ordinary cash dividends or distributions that are paid to all or substantially all holders of the outstanding Shares between the Grant Date and the date when the applicable RSU is distributed or paid to Participant or is forfeited or expires. Each Dividend Equivalent entitles Participant to receive the equivalent value of any such ordinary cash dividends or distributions paid on a single Share. The Company will establish a separate Dividend Equivalent bookkeeping account (a “</w:t>
      </w:r>
      <w:r>
        <w:rPr>
          <w:rFonts w:ascii="Arial" w:cs="Arial" w:eastAsia="Arial" w:hAnsi="Arial"/>
          <w:sz w:val="19"/>
          <w:szCs w:val="19"/>
          <w:b w:val="1"/>
          <w:bCs w:val="1"/>
          <w:i w:val="1"/>
          <w:iCs w:val="1"/>
          <w:color w:val="auto"/>
        </w:rPr>
        <w:t>Dividend Equivalent Account</w:t>
      </w:r>
      <w:r>
        <w:rPr>
          <w:rFonts w:ascii="Arial" w:cs="Arial" w:eastAsia="Arial" w:hAnsi="Arial"/>
          <w:sz w:val="19"/>
          <w:szCs w:val="19"/>
          <w:color w:val="auto"/>
        </w:rPr>
        <w:t>”) for each Dividend Equivalent and credit the Dividend Equivalent Account (without interest) on the applicable dividend payment date with the amount of any such cash paid. Any Dividend Equivalents granted in connection with the RSUs issued hereunder, and any amounts that may become distributable in respect thereof, shall be treated separately from such RSUs and the rights arising in connection therewith for purposes of the designation of time and form of payments required by Section 409A.</w:t>
      </w:r>
    </w:p>
    <w:p>
      <w:pPr>
        <w:spacing w:after="0" w:line="159" w:lineRule="exact"/>
        <w:rPr>
          <w:sz w:val="20"/>
          <w:szCs w:val="20"/>
          <w:color w:val="auto"/>
        </w:rPr>
      </w:pPr>
    </w:p>
    <w:p>
      <w:pPr>
        <w:ind w:firstLine="615"/>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Incorporation of Terms of Plan</w:t>
      </w:r>
      <w:r>
        <w:rPr>
          <w:rFonts w:ascii="Arial" w:cs="Arial" w:eastAsia="Arial" w:hAnsi="Arial"/>
          <w:sz w:val="17"/>
          <w:szCs w:val="17"/>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05"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Unsecured Promise</w:t>
      </w:r>
      <w:r>
        <w:rPr>
          <w:rFonts w:ascii="Arial" w:cs="Arial" w:eastAsia="Arial" w:hAnsi="Arial"/>
          <w:sz w:val="19"/>
          <w:szCs w:val="19"/>
          <w:color w:val="auto"/>
        </w:rPr>
        <w:t>. The RSUs and Dividend Equivalents will at all times prior to settlement represent an unsecured Company obligation payable only from the Company’s general assets.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jc w:val="center"/>
        <w:spacing w:after="0"/>
        <w:rPr>
          <w:sz w:val="20"/>
          <w:szCs w:val="20"/>
          <w:color w:val="auto"/>
        </w:rPr>
      </w:pPr>
      <w:r>
        <w:rPr>
          <w:rFonts w:ascii="Arial" w:cs="Arial" w:eastAsia="Arial" w:hAnsi="Arial"/>
          <w:sz w:val="19"/>
          <w:szCs w:val="19"/>
          <w:b w:val="1"/>
          <w:bCs w:val="1"/>
          <w:color w:val="auto"/>
        </w:rPr>
        <w:t>VESTING; FORFEITURE AND SETTLEMENT</w:t>
      </w:r>
    </w:p>
    <w:p>
      <w:pPr>
        <w:spacing w:after="0" w:line="162"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Vesting; Forfeiture</w:t>
      </w:r>
      <w:r>
        <w:rPr>
          <w:rFonts w:ascii="Arial" w:cs="Arial" w:eastAsia="Arial" w:hAnsi="Arial"/>
          <w:sz w:val="17"/>
          <w:szCs w:val="17"/>
          <w:color w:val="auto"/>
        </w:rPr>
        <w:t>.</w:t>
      </w:r>
    </w:p>
    <w:p>
      <w:pPr>
        <w:spacing w:after="0" w:line="178" w:lineRule="exact"/>
        <w:rPr>
          <w:sz w:val="20"/>
          <w:szCs w:val="20"/>
          <w:color w:val="auto"/>
        </w:rPr>
      </w:pPr>
    </w:p>
    <w:p>
      <w:pPr>
        <w:jc w:val="both"/>
        <w:ind w:firstLine="1232"/>
        <w:spacing w:after="0" w:line="220" w:lineRule="auto"/>
        <w:tabs>
          <w:tab w:leader="none" w:pos="1724"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RSUs will vest according to the vesting schedule in the Grant Notice except that any fraction of an RSU that would otherwise be vested will be accumulated and will vest only when a whole RSU has accumulated.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46" w:lineRule="exact"/>
        <w:rPr>
          <w:rFonts w:ascii="Arial" w:cs="Arial" w:eastAsia="Arial" w:hAnsi="Arial"/>
          <w:sz w:val="19"/>
          <w:szCs w:val="19"/>
          <w:color w:val="auto"/>
        </w:rPr>
      </w:pPr>
    </w:p>
    <w:p>
      <w:pPr>
        <w:jc w:val="both"/>
        <w:ind w:firstLine="1232"/>
        <w:spacing w:after="0" w:line="228" w:lineRule="auto"/>
        <w:tabs>
          <w:tab w:leader="none" w:pos="1675"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45" w:lineRule="exact"/>
        <w:rPr>
          <w:rFonts w:ascii="Arial" w:cs="Arial" w:eastAsia="Arial" w:hAnsi="Arial"/>
          <w:sz w:val="19"/>
          <w:szCs w:val="19"/>
          <w:color w:val="auto"/>
        </w:rPr>
      </w:pPr>
    </w:p>
    <w:p>
      <w:pPr>
        <w:jc w:val="both"/>
        <w:ind w:firstLine="1232"/>
        <w:spacing w:after="0" w:line="214" w:lineRule="auto"/>
        <w:tabs>
          <w:tab w:leader="none" w:pos="1742"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Notwithstanding the Grant Notice or the provisions of Section 2.1(a) and Section 2.1(b), (i) in the event of Participant’s Termination of Service due to death, the RSUs shall become vested in full upon such date of Participant’s Termination of Service so long as circumstances which would constitute Cause do not exist at the time of (and did not exist at any time prior to) such Termination of Service, and (ii) in the event of Participant’s Termination of Service due to Disability, the RSUs will remain outstanding and eligible to vest pursuant to the vesting schedule in the Grant Notice without regard for any requirement of continued service so long as circumstances which would constitute Cause do not exist at any time prior to or following such Termination of Service.</w:t>
      </w:r>
    </w:p>
    <w:p>
      <w:pPr>
        <w:sectPr>
          <w:pgSz w:w="11900" w:h="16838" w:orient="portrait"/>
          <w:cols w:equalWidth="0" w:num="1">
            <w:col w:w="11240"/>
          </w:cols>
          <w:pgMar w:left="320" w:top="106" w:right="339" w:bottom="1440" w:gutter="0" w:footer="0" w:header="0"/>
        </w:sectPr>
      </w:pPr>
    </w:p>
    <w:bookmarkStart w:id="55" w:name="page56"/>
    <w:bookmarkEnd w:id="55"/>
    <w:p>
      <w:pPr>
        <w:ind w:left="620"/>
        <w:spacing w:after="0"/>
        <w:tabs>
          <w:tab w:leader="none" w:pos="10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u w:val="single" w:color="auto"/>
          <w:color w:val="auto"/>
        </w:rPr>
        <w:t>Settlement</w:t>
      </w:r>
      <w:r>
        <w:rPr>
          <w:rFonts w:ascii="Arial" w:cs="Arial" w:eastAsia="Arial" w:hAnsi="Arial"/>
          <w:sz w:val="17"/>
          <w:szCs w:val="17"/>
          <w:color w:val="auto"/>
        </w:rPr>
        <w:t>. RSUs will be paid in Shares as soon as administratively practicable after the vesting of the applicable RSU, but in no event</w:t>
      </w:r>
    </w:p>
    <w:p>
      <w:pPr>
        <w:jc w:val="both"/>
        <w:spacing w:after="0" w:line="227" w:lineRule="auto"/>
        <w:rPr>
          <w:sz w:val="20"/>
          <w:szCs w:val="20"/>
          <w:color w:val="auto"/>
        </w:rPr>
      </w:pPr>
      <w:r>
        <w:rPr>
          <w:rFonts w:ascii="Arial" w:cs="Arial" w:eastAsia="Arial" w:hAnsi="Arial"/>
          <w:sz w:val="17"/>
          <w:szCs w:val="17"/>
          <w:color w:val="auto"/>
        </w:rPr>
        <w:t>more than sixty (60) days after the RSU’s vesting date. Dividend Equivalents (including any Dividend Equivalent Account balance) will be paid in cash as soon as administratively practicable after the vesting of the applicable RSU, but in no event more than sixty (60) days after the RSU’s vesting</w:t>
      </w:r>
    </w:p>
    <w:p>
      <w:pPr>
        <w:spacing w:after="0" w:line="237" w:lineRule="auto"/>
        <w:rPr>
          <w:sz w:val="20"/>
          <w:szCs w:val="20"/>
          <w:color w:val="auto"/>
        </w:rPr>
      </w:pPr>
      <w:r>
        <w:rPr>
          <w:rFonts w:ascii="Arial" w:cs="Arial" w:eastAsia="Arial" w:hAnsi="Arial"/>
          <w:sz w:val="17"/>
          <w:szCs w:val="17"/>
          <w:color w:val="auto"/>
        </w:rPr>
        <w:t>date. Notwithstanding the foregoing, the Company may delay any payment under this Agreement that the Company reasonably determines would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violate Applicable Law until the earliest date the Company reasonably determines the making of the payment will not cause such a violation (in accordance with Treasury Regulation Section 1.409A-2(b)(7)(ii)), provided the Company reasonably believes the delay will not result in the</w:t>
      </w:r>
    </w:p>
    <w:p>
      <w:pPr>
        <w:spacing w:after="0" w:line="237" w:lineRule="auto"/>
        <w:rPr>
          <w:sz w:val="20"/>
          <w:szCs w:val="20"/>
          <w:color w:val="auto"/>
        </w:rPr>
      </w:pPr>
      <w:r>
        <w:rPr>
          <w:rFonts w:ascii="Arial" w:cs="Arial" w:eastAsia="Arial" w:hAnsi="Arial"/>
          <w:sz w:val="17"/>
          <w:szCs w:val="17"/>
          <w:color w:val="auto"/>
        </w:rPr>
        <w:t>imposition of excise taxes under Section 409A. For the avoidance of doubt, any Dividend Equivalents granted in connection with the RSUs issued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hereunder, and any amounts that may become distributable in respect thereof, shall be treated separately from such RSUs and the rights arising in connection therewith for purposes of the designation of time and form of payments required by Section 409A.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III.</w:t>
      </w:r>
    </w:p>
    <w:p>
      <w:pPr>
        <w:jc w:val="center"/>
        <w:spacing w:after="0"/>
        <w:rPr>
          <w:sz w:val="20"/>
          <w:szCs w:val="20"/>
          <w:color w:val="auto"/>
        </w:rPr>
      </w:pPr>
      <w:r>
        <w:rPr>
          <w:rFonts w:ascii="Arial" w:cs="Arial" w:eastAsia="Arial" w:hAnsi="Arial"/>
          <w:sz w:val="19"/>
          <w:szCs w:val="19"/>
          <w:b w:val="1"/>
          <w:bCs w:val="1"/>
          <w:color w:val="auto"/>
        </w:rPr>
        <w:t>TAXATION AND TAX WITHHOLDING</w:t>
      </w:r>
    </w:p>
    <w:p>
      <w:pPr>
        <w:spacing w:after="0" w:line="150" w:lineRule="exact"/>
        <w:rPr>
          <w:sz w:val="20"/>
          <w:szCs w:val="20"/>
          <w:color w:val="auto"/>
        </w:rPr>
      </w:pPr>
    </w:p>
    <w:p>
      <w:pPr>
        <w:jc w:val="both"/>
        <w:ind w:firstLine="615"/>
        <w:spacing w:after="0" w:line="24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Participant’s own tax advisors the tax consequences of this Award of RSUs and Dividend Equivalents and the transactions contemplated by the Grant Notice and this Agreement. Participant is relying solely on such advisors and not on any statements or representations of the Company or any of its agents.</w:t>
      </w:r>
    </w:p>
    <w:p>
      <w:pPr>
        <w:spacing w:after="0" w:line="145"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178" w:lineRule="exact"/>
        <w:rPr>
          <w:sz w:val="20"/>
          <w:szCs w:val="20"/>
          <w:color w:val="auto"/>
        </w:rPr>
      </w:pPr>
    </w:p>
    <w:p>
      <w:pPr>
        <w:jc w:val="both"/>
        <w:ind w:firstLine="1232"/>
        <w:spacing w:after="0"/>
        <w:tabs>
          <w:tab w:leader="none" w:pos="170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Participant shall satisfy all applicable federal, state and local taxes required by law to be withheld with respect to any taxable event arising in connection with the RSUs through the surrender of Shares, as set forth in Sections 9.5 of the Plan.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Participant’s applicable jurisdictions for federal, state, local and foreign income tax and payroll tax purposes that are applicable to such taxable income. Payment of the withholding obligations with respect to the Dividend Equivalents shall be, unless otherwise determined by the Administrator, by cash.</w:t>
      </w:r>
    </w:p>
    <w:p>
      <w:pPr>
        <w:spacing w:after="0" w:line="158" w:lineRule="exact"/>
        <w:rPr>
          <w:rFonts w:ascii="Arial" w:cs="Arial" w:eastAsia="Arial" w:hAnsi="Arial"/>
          <w:sz w:val="17"/>
          <w:szCs w:val="17"/>
          <w:color w:val="auto"/>
        </w:rPr>
      </w:pPr>
    </w:p>
    <w:p>
      <w:pPr>
        <w:jc w:val="both"/>
        <w:ind w:firstLine="1232"/>
        <w:spacing w:after="0" w:line="214" w:lineRule="auto"/>
        <w:tabs>
          <w:tab w:leader="none" w:pos="16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RSUs and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jc w:val="center"/>
        <w:spacing w:after="0"/>
        <w:rPr>
          <w:sz w:val="20"/>
          <w:szCs w:val="20"/>
          <w:color w:val="auto"/>
        </w:rPr>
      </w:pPr>
      <w:r>
        <w:rPr>
          <w:rFonts w:ascii="Arial" w:cs="Arial" w:eastAsia="Arial" w:hAnsi="Arial"/>
          <w:sz w:val="19"/>
          <w:szCs w:val="19"/>
          <w:b w:val="1"/>
          <w:bCs w:val="1"/>
          <w:color w:val="auto"/>
        </w:rPr>
        <w:t>OTHER PROVISIONS</w:t>
      </w:r>
    </w:p>
    <w:p>
      <w:pPr>
        <w:spacing w:after="0" w:line="162"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Adjustments</w:t>
      </w:r>
      <w:r>
        <w:rPr>
          <w:rFonts w:ascii="Arial" w:cs="Arial" w:eastAsia="Arial" w:hAnsi="Arial"/>
          <w:sz w:val="19"/>
          <w:szCs w:val="19"/>
          <w:color w:val="auto"/>
        </w:rPr>
        <w:t>. Participant acknowledges that the RSUs, the Shares subject to the RSUs and the Dividend Equivalents are subject to adjustment, modification and termination in certain events as provided in this Agreement and the Plan.</w:t>
      </w:r>
    </w:p>
    <w:p>
      <w:pPr>
        <w:spacing w:after="0" w:line="147" w:lineRule="exact"/>
        <w:rPr>
          <w:sz w:val="20"/>
          <w:szCs w:val="20"/>
          <w:color w:val="auto"/>
        </w:rPr>
      </w:pPr>
    </w:p>
    <w:p>
      <w:pPr>
        <w:ind w:firstLine="615"/>
        <w:spacing w:after="0" w:line="24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w:t>
      </w: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address for notices to be given to that party. Any notice will be deemed duly given when actually received, when sent by email, when sent by certified mail (return receipt requested) and deposited with postage prepaid in a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w:t>
      </w:r>
    </w:p>
    <w:p>
      <w:pPr>
        <w:sectPr>
          <w:pgSz w:w="11900" w:h="16838" w:orient="portrait"/>
          <w:cols w:equalWidth="0" w:num="1">
            <w:col w:w="11240"/>
          </w:cols>
          <w:pgMar w:left="320" w:top="1329" w:right="339" w:bottom="1440" w:gutter="0" w:footer="0" w:header="0"/>
        </w:sectPr>
      </w:pPr>
    </w:p>
    <w:bookmarkStart w:id="56" w:name="page57"/>
    <w:bookmarkEnd w:id="56"/>
    <w:p>
      <w:pPr>
        <w:spacing w:after="0" w:line="236" w:lineRule="auto"/>
        <w:rPr>
          <w:sz w:val="20"/>
          <w:szCs w:val="20"/>
          <w:color w:val="auto"/>
        </w:rPr>
      </w:pPr>
      <w:r>
        <w:rPr>
          <w:rFonts w:ascii="Arial" w:cs="Arial" w:eastAsia="Arial" w:hAnsi="Arial"/>
          <w:sz w:val="19"/>
          <w:szCs w:val="19"/>
          <w:color w:val="auto"/>
        </w:rPr>
        <w:t>office or branch post office regularly maintained by the United States Postal Service, when delivered by a nationally recognized express shipping company or upon receipt of a facsimile transmission confirmation.</w:t>
      </w:r>
    </w:p>
    <w:p>
      <w:pPr>
        <w:spacing w:after="0" w:line="147"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Titles</w:t>
      </w:r>
      <w:r>
        <w:rPr>
          <w:rFonts w:ascii="Arial" w:cs="Arial" w:eastAsia="Arial" w:hAnsi="Arial"/>
          <w:sz w:val="19"/>
          <w:szCs w:val="19"/>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ind w:firstLine="615"/>
        <w:spacing w:after="0" w:line="23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the Grant Notice and this Agreement are intended to conform to the extent necessary with all Applicable Laws and, to the extent Applicable Laws permit, will be deemed amended as necessary to conform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Applicable Laws.</w:t>
      </w:r>
    </w:p>
    <w:p>
      <w:pPr>
        <w:spacing w:after="0" w:line="162" w:lineRule="exact"/>
        <w:rPr>
          <w:sz w:val="20"/>
          <w:szCs w:val="20"/>
          <w:color w:val="auto"/>
        </w:rPr>
      </w:pPr>
    </w:p>
    <w:p>
      <w:pPr>
        <w:ind w:firstLine="615"/>
        <w:spacing w:after="0" w:line="23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the Plan,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will be binding upon and inure to the benefit of the heirs, legatees, legal representatives, successors and assigns of the parties hereto.</w:t>
      </w:r>
    </w:p>
    <w:p>
      <w:pPr>
        <w:spacing w:after="0" w:line="185" w:lineRule="exact"/>
        <w:rPr>
          <w:sz w:val="20"/>
          <w:szCs w:val="20"/>
          <w:color w:val="auto"/>
        </w:rPr>
      </w:pPr>
    </w:p>
    <w:p>
      <w:pPr>
        <w:ind w:firstLine="615"/>
        <w:spacing w:after="0" w:line="237"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or this Agreement, if Participant is subject to Section 16 of the Exchange Act, the Plan, the Grant Notice, this Agreement, the RSUs and the Dividend Equivalents will be subject to any</w:t>
      </w:r>
    </w:p>
    <w:p>
      <w:pPr>
        <w:spacing w:after="0" w:line="237" w:lineRule="auto"/>
        <w:rPr>
          <w:sz w:val="20"/>
          <w:szCs w:val="20"/>
          <w:color w:val="auto"/>
        </w:rPr>
      </w:pPr>
      <w:r>
        <w:rPr>
          <w:rFonts w:ascii="Arial" w:cs="Arial" w:eastAsia="Arial" w:hAnsi="Arial"/>
          <w:sz w:val="17"/>
          <w:szCs w:val="17"/>
          <w:color w:val="auto"/>
        </w:rPr>
        <w:t>additional limitations set forth in any applicable exemptive rule under Section 16 of the Exchange Act (including any amendment to Rule 16b-3) that</w:t>
      </w:r>
    </w:p>
    <w:p>
      <w:pPr>
        <w:spacing w:after="0" w:line="221" w:lineRule="auto"/>
        <w:rPr>
          <w:sz w:val="20"/>
          <w:szCs w:val="20"/>
          <w:color w:val="auto"/>
        </w:rPr>
      </w:pPr>
      <w:r>
        <w:rPr>
          <w:rFonts w:ascii="Arial" w:cs="Arial" w:eastAsia="Arial" w:hAnsi="Arial"/>
          <w:sz w:val="19"/>
          <w:szCs w:val="19"/>
          <w:color w:val="auto"/>
        </w:rPr>
        <w:t>are requirements for the application of such exemptive rule. To the extent Applicable Laws permit, this Agreement will be deemed amended as necessary to conform to such applicable exemptive rule.</w:t>
      </w:r>
    </w:p>
    <w:p>
      <w:pPr>
        <w:spacing w:after="0" w:line="158" w:lineRule="exact"/>
        <w:rPr>
          <w:sz w:val="20"/>
          <w:szCs w:val="20"/>
          <w:color w:val="auto"/>
        </w:rPr>
      </w:pPr>
    </w:p>
    <w:p>
      <w:pPr>
        <w:jc w:val="both"/>
        <w:ind w:firstLine="615"/>
        <w:spacing w:after="0" w:line="32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72"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of the Grant Notice or this Agreement is held illegal or invalid, the provision will</w:t>
      </w:r>
    </w:p>
    <w:p>
      <w:pPr>
        <w:spacing w:after="0" w:line="221" w:lineRule="auto"/>
        <w:rPr>
          <w:sz w:val="20"/>
          <w:szCs w:val="20"/>
          <w:color w:val="auto"/>
        </w:rPr>
      </w:pPr>
      <w:r>
        <w:rPr>
          <w:rFonts w:ascii="Arial" w:cs="Arial" w:eastAsia="Arial" w:hAnsi="Arial"/>
          <w:sz w:val="19"/>
          <w:szCs w:val="19"/>
          <w:color w:val="auto"/>
        </w:rPr>
        <w:t>be severable from, and the illegality or invalidity of the provision will not be construed to have any effect on, the remaining provisions of the Grant Notice or this Agreement.</w:t>
      </w:r>
    </w:p>
    <w:p>
      <w:pPr>
        <w:spacing w:after="0" w:line="147"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w:t>
      </w:r>
    </w:p>
    <w:p>
      <w:pPr>
        <w:spacing w:after="0" w:line="242" w:lineRule="auto"/>
        <w:rPr>
          <w:sz w:val="20"/>
          <w:szCs w:val="20"/>
          <w:color w:val="auto"/>
        </w:rPr>
      </w:pPr>
      <w:r>
        <w:rPr>
          <w:rFonts w:ascii="Arial" w:cs="Arial" w:eastAsia="Arial" w:hAnsi="Arial"/>
          <w:sz w:val="16"/>
          <w:szCs w:val="16"/>
          <w:color w:val="auto"/>
        </w:rPr>
        <w:t>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w:t>
      </w:r>
    </w:p>
    <w:p>
      <w:pPr>
        <w:spacing w:after="0" w:line="236" w:lineRule="auto"/>
        <w:rPr>
          <w:sz w:val="20"/>
          <w:szCs w:val="20"/>
          <w:color w:val="auto"/>
        </w:rPr>
      </w:pPr>
      <w:r>
        <w:rPr>
          <w:rFonts w:ascii="Arial" w:cs="Arial" w:eastAsia="Arial" w:hAnsi="Arial"/>
          <w:sz w:val="17"/>
          <w:szCs w:val="17"/>
          <w:color w:val="auto"/>
        </w:rPr>
        <w:t>respect to amounts credited and benefits payable, if any, with respect to the RSUs and Dividend Equivalents, and rights no greater than the right to</w:t>
      </w:r>
    </w:p>
    <w:p>
      <w:pPr>
        <w:spacing w:after="0" w:line="221" w:lineRule="auto"/>
        <w:rPr>
          <w:sz w:val="20"/>
          <w:szCs w:val="20"/>
          <w:color w:val="auto"/>
        </w:rPr>
      </w:pPr>
      <w:r>
        <w:rPr>
          <w:rFonts w:ascii="Arial" w:cs="Arial" w:eastAsia="Arial" w:hAnsi="Arial"/>
          <w:sz w:val="19"/>
          <w:szCs w:val="19"/>
          <w:color w:val="auto"/>
        </w:rPr>
        <w:t>receive the Shares as a general unsecured creditor with respect to the RSUs and Dividend Equivalents, as and when settled pursuant to the terms of this Agreement.</w:t>
      </w:r>
    </w:p>
    <w:p>
      <w:pPr>
        <w:spacing w:after="0" w:line="14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w:t>
      </w:r>
    </w:p>
    <w:p>
      <w:pPr>
        <w:jc w:val="both"/>
        <w:spacing w:after="0" w:line="227" w:lineRule="auto"/>
        <w:rPr>
          <w:sz w:val="20"/>
          <w:szCs w:val="20"/>
          <w:color w:val="auto"/>
        </w:rPr>
      </w:pPr>
      <w:r>
        <w:rPr>
          <w:rFonts w:ascii="Arial" w:cs="Arial" w:eastAsia="Arial" w:hAnsi="Arial"/>
          <w:sz w:val="17"/>
          <w:szCs w:val="17"/>
          <w:color w:val="auto"/>
        </w:rPr>
        <w:t>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w:t>
      </w: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with or without Cause, except to the extent expressly provided otherwise in a written agreement between the Company or a Subsidiary and Participant.</w:t>
      </w:r>
    </w:p>
    <w:p>
      <w:pPr>
        <w:spacing w:after="0" w:line="145"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A-3</w:t>
      </w:r>
    </w:p>
    <w:p>
      <w:pPr>
        <w:sectPr>
          <w:pgSz w:w="11900" w:h="16838" w:orient="portrait"/>
          <w:cols w:equalWidth="0" w:num="1">
            <w:col w:w="11240"/>
          </w:cols>
          <w:pgMar w:left="320" w:top="1339"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204470</wp:posOffset>
            </wp:positionH>
            <wp:positionV relativeFrom="page">
              <wp:posOffset>885825</wp:posOffset>
            </wp:positionV>
            <wp:extent cx="7147560" cy="284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7560" cy="284480"/>
                    </a:xfrm>
                    <a:prstGeom prst="rect">
                      <a:avLst/>
                    </a:prstGeom>
                    <a:noFill/>
                  </pic:spPr>
                </pic:pic>
              </a:graphicData>
            </a:graphic>
          </wp:anchor>
        </w:drawing>
        <w:t>MARKETWISE, INC.</w:t>
      </w:r>
    </w:p>
    <w:p>
      <w:pPr>
        <w:jc w:val="center"/>
        <w:ind w:right="-19"/>
        <w:spacing w:after="0"/>
        <w:rPr>
          <w:sz w:val="20"/>
          <w:szCs w:val="20"/>
          <w:color w:val="auto"/>
        </w:rPr>
      </w:pPr>
      <w:r>
        <w:rPr>
          <w:rFonts w:ascii="Arial" w:cs="Arial" w:eastAsia="Arial" w:hAnsi="Arial"/>
          <w:sz w:val="19"/>
          <w:szCs w:val="19"/>
          <w:b w:val="1"/>
          <w:bCs w:val="1"/>
          <w:color w:val="auto"/>
        </w:rPr>
        <w:t>2021 INCENTIVE AWARD PLAN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GRANT NOTICE</w:t>
      </w:r>
    </w:p>
    <w:p>
      <w:pPr>
        <w:spacing w:after="0" w:line="170"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Capitalized terms not specifically defined in this Restricted Stock Unit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have the meanings given to them in the 2021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of MarketWise,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w:t>
      </w:r>
    </w:p>
    <w:p>
      <w:pPr>
        <w:spacing w:after="0" w:line="159" w:lineRule="exact"/>
        <w:rPr>
          <w:sz w:val="20"/>
          <w:szCs w:val="20"/>
          <w:color w:val="auto"/>
        </w:rPr>
      </w:pPr>
    </w:p>
    <w:p>
      <w:pPr>
        <w:ind w:firstLine="615"/>
        <w:spacing w:after="0" w:line="237" w:lineRule="auto"/>
        <w:rPr>
          <w:sz w:val="20"/>
          <w:szCs w:val="20"/>
          <w:color w:val="auto"/>
        </w:rPr>
      </w:pPr>
      <w:r>
        <w:rPr>
          <w:rFonts w:ascii="Arial" w:cs="Arial" w:eastAsia="Arial" w:hAnsi="Arial"/>
          <w:sz w:val="17"/>
          <w:szCs w:val="17"/>
          <w:color w:val="auto"/>
        </w:rPr>
        <w:t>The Company has granted to the participant listed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Restricted Stock Units described in this Grant Notice (the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xml:space="preserve">”), subject to the terms and conditions of the Plan and the Restricted Stock Unit Agreement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both of</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which are incorporated into this Grant Notice by reference. Each RSU is hereby granted in tandem with a corresponding dividend equivalent to the extent a portion of such RSU is vested, as further described in the Agreement (the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Participant:</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Grant Date: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Number of RSUs:</w:t>
      </w:r>
    </w:p>
    <w:p>
      <w:pPr>
        <w:spacing w:after="0" w:line="89" w:lineRule="exact"/>
        <w:rPr>
          <w:sz w:val="20"/>
          <w:szCs w:val="20"/>
          <w:color w:val="auto"/>
        </w:rPr>
      </w:pPr>
    </w:p>
    <w:p>
      <w:pPr>
        <w:jc w:val="both"/>
        <w:ind w:left="4460" w:right="20" w:hanging="4280"/>
        <w:spacing w:after="0" w:line="284" w:lineRule="auto"/>
        <w:tabs>
          <w:tab w:leader="none" w:pos="4440" w:val="left"/>
        </w:tabs>
        <w:rPr>
          <w:sz w:val="20"/>
          <w:szCs w:val="20"/>
          <w:color w:val="auto"/>
        </w:rPr>
      </w:pPr>
      <w:r>
        <w:rPr>
          <w:rFonts w:ascii="Arial" w:cs="Arial" w:eastAsia="Arial" w:hAnsi="Arial"/>
          <w:sz w:val="19"/>
          <w:szCs w:val="19"/>
          <w:b w:val="1"/>
          <w:bCs w:val="1"/>
          <w:color w:val="auto"/>
        </w:rPr>
        <w:t>Vesting Schedule:</w:t>
      </w:r>
      <w:r>
        <w:rPr>
          <w:sz w:val="20"/>
          <w:szCs w:val="20"/>
          <w:color w:val="auto"/>
        </w:rPr>
        <w:tab/>
      </w:r>
      <w:r>
        <w:rPr>
          <w:rFonts w:ascii="Arial" w:cs="Arial" w:eastAsia="Arial" w:hAnsi="Arial"/>
          <w:sz w:val="19"/>
          <w:szCs w:val="19"/>
          <w:color w:val="auto"/>
        </w:rPr>
        <w:t>On the earlier of (i) the day immediately preceding the date of the first annual meeting of the Company’s stockholders following the Grant Date and (ii) the first anniversary of the Grant Date, subject to the Participant continuing in service on the Board through the applicable vesting date.</w:t>
      </w:r>
    </w:p>
    <w:p>
      <w:pPr>
        <w:spacing w:after="0" w:line="3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By Participant’s signature below, Participant agrees to be bound by the terms of this Grant Notice, the Plan and the Agreement. Participant</w:t>
      </w:r>
    </w:p>
    <w:p>
      <w:pPr>
        <w:spacing w:after="0" w:line="1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w:t>
      </w: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binding, conclusive and final all decisions or interpretations of the Administrator upon any questions arising under the Plan, this Grant Notice or the Agreement.</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320" w:type="dxa"/>
            <w:vAlign w:val="bottom"/>
            <w:gridSpan w:val="3"/>
          </w:tcPr>
          <w:p>
            <w:pPr>
              <w:spacing w:after="0"/>
              <w:rPr>
                <w:sz w:val="20"/>
                <w:szCs w:val="20"/>
                <w:color w:val="auto"/>
              </w:rPr>
            </w:pPr>
            <w:r>
              <w:rPr>
                <w:rFonts w:ascii="Arial" w:cs="Arial" w:eastAsia="Arial" w:hAnsi="Arial"/>
                <w:sz w:val="19"/>
                <w:szCs w:val="19"/>
                <w:b w:val="1"/>
                <w:bCs w:val="1"/>
                <w:color w:val="auto"/>
              </w:rPr>
              <w:t>MARKETWISE, INC.</w:t>
            </w:r>
          </w:p>
        </w:tc>
        <w:tc>
          <w:tcPr>
            <w:tcW w:w="3740" w:type="dxa"/>
            <w:vAlign w:val="bottom"/>
          </w:tcPr>
          <w:p>
            <w:pPr>
              <w:ind w:left="2300"/>
              <w:spacing w:after="0"/>
              <w:rPr>
                <w:sz w:val="20"/>
                <w:szCs w:val="20"/>
                <w:color w:val="auto"/>
              </w:rPr>
            </w:pPr>
            <w:r>
              <w:rPr>
                <w:rFonts w:ascii="Arial" w:cs="Arial" w:eastAsia="Arial" w:hAnsi="Arial"/>
                <w:sz w:val="19"/>
                <w:szCs w:val="19"/>
                <w:b w:val="1"/>
                <w:bCs w:val="1"/>
                <w:color w:val="auto"/>
              </w:rPr>
              <w:t>PARTICIPANT</w:t>
            </w:r>
          </w:p>
        </w:tc>
      </w:tr>
      <w:tr>
        <w:trPr>
          <w:trHeight w:val="307"/>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64"/>
        </w:trPr>
        <w:tc>
          <w:tcPr>
            <w:tcW w:w="900" w:type="dxa"/>
            <w:vAlign w:val="bottom"/>
          </w:tcPr>
          <w:p>
            <w:pPr>
              <w:spacing w:after="0"/>
              <w:rPr>
                <w:sz w:val="20"/>
                <w:szCs w:val="20"/>
                <w:color w:val="auto"/>
              </w:rPr>
            </w:pPr>
            <w:r>
              <w:rPr>
                <w:rFonts w:ascii="Arial" w:cs="Arial" w:eastAsia="Arial" w:hAnsi="Arial"/>
                <w:sz w:val="19"/>
                <w:szCs w:val="19"/>
                <w:color w:val="auto"/>
              </w:rPr>
              <w:t>Name:</w:t>
            </w:r>
          </w:p>
        </w:tc>
        <w:tc>
          <w:tcPr>
            <w:tcW w:w="2420" w:type="dxa"/>
            <w:vAlign w:val="bottom"/>
            <w:gridSpan w:val="2"/>
          </w:tcPr>
          <w:p>
            <w:pPr>
              <w:spacing w:after="0"/>
              <w:rPr>
                <w:sz w:val="20"/>
                <w:szCs w:val="20"/>
                <w:color w:val="auto"/>
              </w:rPr>
            </w:pPr>
            <w:r>
              <w:rPr>
                <w:rFonts w:ascii="Arial" w:cs="Arial" w:eastAsia="Arial" w:hAnsi="Arial"/>
                <w:sz w:val="19"/>
                <w:szCs w:val="19"/>
                <w:color w:val="auto"/>
                <w:w w:val="93"/>
              </w:rPr>
              <w:t>Cynthia S. Cherry SHRM-SCP</w:t>
            </w:r>
          </w:p>
        </w:tc>
        <w:tc>
          <w:tcPr>
            <w:tcW w:w="3740" w:type="dxa"/>
            <w:vAlign w:val="bottom"/>
          </w:tcPr>
          <w:p>
            <w:pPr>
              <w:ind w:left="2300"/>
              <w:spacing w:after="0"/>
              <w:rPr>
                <w:sz w:val="20"/>
                <w:szCs w:val="20"/>
                <w:color w:val="auto"/>
              </w:rPr>
            </w:pPr>
            <w:r>
              <w:rPr>
                <w:rFonts w:ascii="Arial" w:cs="Arial" w:eastAsia="Arial" w:hAnsi="Arial"/>
                <w:sz w:val="19"/>
                <w:szCs w:val="19"/>
                <w:color w:val="auto"/>
                <w:w w:val="90"/>
              </w:rPr>
              <w:t>[Participant Name]</w:t>
            </w:r>
          </w:p>
        </w:tc>
      </w:tr>
      <w:tr>
        <w:trPr>
          <w:trHeight w:val="20"/>
        </w:trPr>
        <w:tc>
          <w:tcPr>
            <w:tcW w:w="9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87"/>
        </w:trPr>
        <w:tc>
          <w:tcPr>
            <w:tcW w:w="900" w:type="dxa"/>
            <w:vAlign w:val="bottom"/>
          </w:tcPr>
          <w:p>
            <w:pPr>
              <w:spacing w:after="0"/>
              <w:rPr>
                <w:sz w:val="20"/>
                <w:szCs w:val="20"/>
                <w:color w:val="auto"/>
              </w:rPr>
            </w:pPr>
            <w:r>
              <w:rPr>
                <w:rFonts w:ascii="Arial" w:cs="Arial" w:eastAsia="Arial" w:hAnsi="Arial"/>
                <w:sz w:val="19"/>
                <w:szCs w:val="19"/>
                <w:color w:val="auto"/>
              </w:rPr>
              <w:t>Title:</w:t>
            </w:r>
          </w:p>
        </w:tc>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89"/>
              </w:rPr>
              <w:t>Chief Human Resources Officer</w:t>
            </w:r>
          </w:p>
        </w:tc>
        <w:tc>
          <w:tcPr>
            <w:tcW w:w="3740" w:type="dxa"/>
            <w:vAlign w:val="bottom"/>
          </w:tcPr>
          <w:p>
            <w:pPr>
              <w:spacing w:after="0"/>
              <w:rPr>
                <w:sz w:val="24"/>
                <w:szCs w:val="24"/>
                <w:color w:val="auto"/>
              </w:rPr>
            </w:pPr>
          </w:p>
        </w:tc>
      </w:tr>
    </w:tbl>
    <w:p>
      <w:pPr>
        <w:sectPr>
          <w:pgSz w:w="11900" w:h="16838" w:orient="portrait"/>
          <w:cols w:equalWidth="0" w:num="1">
            <w:col w:w="11240"/>
          </w:cols>
          <w:pgMar w:left="320" w:top="1393"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AGREEMENT</w:t>
      </w:r>
    </w:p>
    <w:p>
      <w:pPr>
        <w:spacing w:after="0" w:line="182" w:lineRule="exact"/>
        <w:rPr>
          <w:sz w:val="20"/>
          <w:szCs w:val="20"/>
          <w:color w:val="auto"/>
        </w:rPr>
      </w:pPr>
    </w:p>
    <w:p>
      <w:pPr>
        <w:ind w:firstLine="615"/>
        <w:spacing w:after="0" w:line="229" w:lineRule="auto"/>
        <w:rPr>
          <w:sz w:val="20"/>
          <w:szCs w:val="20"/>
          <w:color w:val="auto"/>
        </w:rPr>
      </w:pPr>
      <w:r>
        <w:rPr>
          <w:rFonts w:ascii="Arial" w:cs="Arial" w:eastAsia="Arial" w:hAnsi="Arial"/>
          <w:sz w:val="19"/>
          <w:szCs w:val="19"/>
          <w:color w:val="auto"/>
        </w:rPr>
        <w:t>Capitalized terms not specifically defined in this Agreement have the meanings specified in the Grant Notice or, if not defined in the Grant Notice, in the Plan.</w:t>
      </w:r>
    </w:p>
    <w:p>
      <w:pPr>
        <w:spacing w:after="0" w:line="379"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ARTICLE I.</w:t>
      </w:r>
    </w:p>
    <w:p>
      <w:pPr>
        <w:ind w:left="5160"/>
        <w:spacing w:after="0"/>
        <w:rPr>
          <w:sz w:val="20"/>
          <w:szCs w:val="20"/>
          <w:color w:val="auto"/>
        </w:rPr>
      </w:pPr>
      <w:r>
        <w:rPr>
          <w:rFonts w:ascii="Arial" w:cs="Arial" w:eastAsia="Arial" w:hAnsi="Arial"/>
          <w:sz w:val="19"/>
          <w:szCs w:val="19"/>
          <w:b w:val="1"/>
          <w:bCs w:val="1"/>
          <w:color w:val="auto"/>
        </w:rPr>
        <w:t>GENERAL</w:t>
      </w:r>
    </w:p>
    <w:p>
      <w:pPr>
        <w:spacing w:after="0" w:line="150"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u w:val="single" w:color="auto"/>
          <w:color w:val="auto"/>
        </w:rPr>
        <w:t>Award of RSUs and Dividend Equivalents</w:t>
      </w:r>
      <w:r>
        <w:rPr>
          <w:rFonts w:ascii="Arial" w:cs="Arial" w:eastAsia="Arial" w:hAnsi="Arial"/>
          <w:sz w:val="17"/>
          <w:szCs w:val="17"/>
          <w:color w:val="auto"/>
        </w:rPr>
        <w:t>.</w:t>
      </w:r>
    </w:p>
    <w:p>
      <w:pPr>
        <w:spacing w:after="0" w:line="178" w:lineRule="exact"/>
        <w:rPr>
          <w:sz w:val="20"/>
          <w:szCs w:val="20"/>
          <w:color w:val="auto"/>
        </w:rPr>
      </w:pPr>
    </w:p>
    <w:p>
      <w:pPr>
        <w:jc w:val="both"/>
        <w:ind w:firstLine="1539"/>
        <w:spacing w:after="0" w:line="223" w:lineRule="auto"/>
        <w:tabs>
          <w:tab w:leader="none" w:pos="1974"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has granted the RSUs to Participant effective as of the grant date set forth in the Grant Notice (the “</w:t>
      </w:r>
      <w:r>
        <w:rPr>
          <w:rFonts w:ascii="Arial" w:cs="Arial" w:eastAsia="Arial" w:hAnsi="Arial"/>
          <w:sz w:val="19"/>
          <w:szCs w:val="19"/>
          <w:b w:val="1"/>
          <w:bCs w:val="1"/>
          <w:i w:val="1"/>
          <w:iCs w:val="1"/>
          <w:color w:val="auto"/>
        </w:rPr>
        <w:t>Grant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Each RSU represents the right to receive one Share as set forth in this Agreement. Participant will have no right to the distribution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Shares until the time (if ever) the RSUs have vested.</w:t>
      </w:r>
    </w:p>
    <w:p>
      <w:pPr>
        <w:spacing w:after="0" w:line="159" w:lineRule="exact"/>
        <w:rPr>
          <w:rFonts w:ascii="Arial" w:cs="Arial" w:eastAsia="Arial" w:hAnsi="Arial"/>
          <w:sz w:val="19"/>
          <w:szCs w:val="19"/>
          <w:color w:val="auto"/>
        </w:rPr>
      </w:pPr>
    </w:p>
    <w:p>
      <w:pPr>
        <w:jc w:val="both"/>
        <w:ind w:firstLine="1539"/>
        <w:spacing w:after="0" w:line="212" w:lineRule="auto"/>
        <w:tabs>
          <w:tab w:leader="none" w:pos="194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hereby grants to Participant an Award of Dividend Equivalents with respect to each RSU granted pursuant to the Grant Notice for all ordinary cash dividends or distributions that are paid to all or substantially all holders of the outstanding Shares between the Grant Date and the date when the applicable RSU is distributed or paid to Participant or is forfeited or expires. Each Dividend Equivalent entitles Participant to receive the equivalent value of any such ordinary cash dividends or distributions paid on a single Share. The Company will establish a separate Dividend Equivalent bookkeeping account (a “</w:t>
      </w:r>
      <w:r>
        <w:rPr>
          <w:rFonts w:ascii="Arial" w:cs="Arial" w:eastAsia="Arial" w:hAnsi="Arial"/>
          <w:sz w:val="19"/>
          <w:szCs w:val="19"/>
          <w:u w:val="single" w:color="auto"/>
          <w:color w:val="auto"/>
        </w:rPr>
        <w:t>Dividend Equivalent Account</w:t>
      </w:r>
      <w:r>
        <w:rPr>
          <w:rFonts w:ascii="Arial" w:cs="Arial" w:eastAsia="Arial" w:hAnsi="Arial"/>
          <w:sz w:val="19"/>
          <w:szCs w:val="19"/>
          <w:color w:val="auto"/>
        </w:rPr>
        <w:t>”) for each Dividend Equivalent and credit the Dividend Equivalent Account (without interest) on the applicable dividend payment date with the amount of any such cash paid. Any Dividend Equivalents granted in connection with the RSUs issued hereunder, and any amounts that may become distributable in respect thereof, shall be treated separately from such RSUs and the rights arising in connection therewith for purposes of the designation of time and form of payments required by Section 409A.</w:t>
      </w:r>
    </w:p>
    <w:p>
      <w:pPr>
        <w:spacing w:after="0" w:line="158" w:lineRule="exact"/>
        <w:rPr>
          <w:sz w:val="20"/>
          <w:szCs w:val="20"/>
          <w:color w:val="auto"/>
        </w:rPr>
      </w:pPr>
    </w:p>
    <w:p>
      <w:pPr>
        <w:ind w:firstLine="922"/>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Incorporation of Terms of Plan</w:t>
      </w:r>
      <w:r>
        <w:rPr>
          <w:rFonts w:ascii="Arial" w:cs="Arial" w:eastAsia="Arial" w:hAnsi="Arial"/>
          <w:sz w:val="17"/>
          <w:szCs w:val="17"/>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05" w:lineRule="exact"/>
        <w:rPr>
          <w:sz w:val="20"/>
          <w:szCs w:val="20"/>
          <w:color w:val="auto"/>
        </w:rPr>
      </w:pPr>
    </w:p>
    <w:p>
      <w:pPr>
        <w:ind w:firstLine="922"/>
        <w:spacing w:after="0" w:line="236"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Unsecured Promise</w:t>
      </w:r>
      <w:r>
        <w:rPr>
          <w:rFonts w:ascii="Arial" w:cs="Arial" w:eastAsia="Arial" w:hAnsi="Arial"/>
          <w:sz w:val="19"/>
          <w:szCs w:val="19"/>
          <w:color w:val="auto"/>
        </w:rPr>
        <w:t>. The RSUs and Dividend Equivalents will at all times prior to settlement represent an unsecured Company obligation payable only from the Company’s general assets.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jc w:val="center"/>
        <w:spacing w:after="0"/>
        <w:rPr>
          <w:sz w:val="20"/>
          <w:szCs w:val="20"/>
          <w:color w:val="auto"/>
        </w:rPr>
      </w:pPr>
      <w:r>
        <w:rPr>
          <w:rFonts w:ascii="Arial" w:cs="Arial" w:eastAsia="Arial" w:hAnsi="Arial"/>
          <w:sz w:val="19"/>
          <w:szCs w:val="19"/>
          <w:b w:val="1"/>
          <w:bCs w:val="1"/>
          <w:color w:val="auto"/>
        </w:rPr>
        <w:t>VESTING; FORFEITURE AND SETTLEMENT</w:t>
      </w:r>
    </w:p>
    <w:p>
      <w:pPr>
        <w:spacing w:after="0" w:line="150" w:lineRule="exact"/>
        <w:rPr>
          <w:sz w:val="20"/>
          <w:szCs w:val="20"/>
          <w:color w:val="auto"/>
        </w:rPr>
      </w:pPr>
    </w:p>
    <w:p>
      <w:pPr>
        <w:ind w:firstLine="922"/>
        <w:spacing w:after="0" w:line="24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Vesting; Forfeiture</w:t>
      </w:r>
      <w:r>
        <w:rPr>
          <w:rFonts w:ascii="Arial" w:cs="Arial" w:eastAsia="Arial" w:hAnsi="Arial"/>
          <w:sz w:val="17"/>
          <w:szCs w:val="17"/>
          <w:color w:val="auto"/>
        </w:rPr>
        <w:t>. The RSUs will vest according to the vesting schedule in the Grant Notice except that any fraction of an RSU that would otherwise be vested will be accumulated and will vest only when a whole RSU has accumulated. In the event of Participant’s Termination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w:t>
      </w:r>
    </w:p>
    <w:p>
      <w:pPr>
        <w:spacing w:after="0" w:line="2" w:lineRule="exact"/>
        <w:rPr>
          <w:sz w:val="20"/>
          <w:szCs w:val="20"/>
          <w:color w:val="auto"/>
        </w:rPr>
      </w:pPr>
    </w:p>
    <w:p>
      <w:pPr>
        <w:spacing w:after="0" w:line="203" w:lineRule="auto"/>
        <w:rPr>
          <w:sz w:val="20"/>
          <w:szCs w:val="20"/>
          <w:color w:val="auto"/>
        </w:rPr>
      </w:pPr>
      <w:r>
        <w:rPr>
          <w:rFonts w:ascii="Arial" w:cs="Arial" w:eastAsia="Arial" w:hAnsi="Arial"/>
          <w:sz w:val="19"/>
          <w:szCs w:val="19"/>
          <w:color w:val="auto"/>
        </w:rPr>
        <w:t>Equivalent Account balance) will vest or be forfeited, as applicable, upon the vesting or forfeiture of the RSU with respect to which the Dividend Equivalent (including the Dividend Equivalent Account) relates.</w:t>
      </w:r>
    </w:p>
    <w:p>
      <w:pPr>
        <w:spacing w:after="0" w:line="2" w:lineRule="exact"/>
        <w:rPr>
          <w:sz w:val="20"/>
          <w:szCs w:val="20"/>
          <w:color w:val="auto"/>
        </w:rPr>
      </w:pPr>
    </w:p>
    <w:p>
      <w:pPr>
        <w:ind w:firstLine="922"/>
        <w:spacing w:after="0" w:line="23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Settlement</w:t>
      </w:r>
      <w:r>
        <w:rPr>
          <w:rFonts w:ascii="Arial" w:cs="Arial" w:eastAsia="Arial" w:hAnsi="Arial"/>
          <w:sz w:val="17"/>
          <w:szCs w:val="17"/>
          <w:color w:val="auto"/>
        </w:rPr>
        <w:t>. RSUs will be paid in Shares as soon as administratively practicable after the vesting of the applicable RSU, but in no event more than sixty (60) days after the RSU’s vesting date. Dividend Equivalents (including any Dividend Equivalent Account balance) will be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paid in cash as soon as administratively practicable after the vesting of the applicable RSU, but in no event more than sixty (60) days after the RSU’s vesting date. Notwithstanding the foregoing, the Company may delay any payment under this Agreement that the Company reasonably determines</w:t>
      </w:r>
    </w:p>
    <w:p>
      <w:pPr>
        <w:spacing w:after="0" w:line="237" w:lineRule="auto"/>
        <w:rPr>
          <w:sz w:val="20"/>
          <w:szCs w:val="20"/>
          <w:color w:val="auto"/>
        </w:rPr>
      </w:pPr>
      <w:r>
        <w:rPr>
          <w:rFonts w:ascii="Arial" w:cs="Arial" w:eastAsia="Arial" w:hAnsi="Arial"/>
          <w:sz w:val="17"/>
          <w:szCs w:val="17"/>
          <w:color w:val="auto"/>
        </w:rPr>
        <w:t>would violate Applicable Law until the earliest date the Company reasonably determines the making of the payment will not cause such a violation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 accordance with Treasury Regulation Section 1.409A-2(b)(7)(ii)), provided the Company reasonably believes the delay will not result in the imposition of excise taxes under Section 409A. For the avoidance of doubt, any Dividend Equivalents granted in connection with the RSUs issued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hereunder, and any amounts that may become distributable in respect thereof, shall be treated separately from such RSUs</w:t>
      </w:r>
    </w:p>
    <w:p>
      <w:pPr>
        <w:sectPr>
          <w:pgSz w:w="11900" w:h="16838" w:orient="portrait"/>
          <w:cols w:equalWidth="0" w:num="1">
            <w:col w:w="11240"/>
          </w:cols>
          <w:pgMar w:left="320" w:top="105" w:right="3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and the rights arising in connection therewith for purposes of the designation of time and form of payments required by Section 409A.</w:t>
      </w:r>
    </w:p>
    <w:p>
      <w:pPr>
        <w:ind w:left="5040"/>
        <w:spacing w:after="0" w:line="196" w:lineRule="auto"/>
        <w:rPr>
          <w:sz w:val="20"/>
          <w:szCs w:val="20"/>
          <w:color w:val="auto"/>
        </w:rPr>
      </w:pPr>
      <w:r>
        <w:rPr>
          <w:rFonts w:ascii="Arial" w:cs="Arial" w:eastAsia="Arial" w:hAnsi="Arial"/>
          <w:sz w:val="19"/>
          <w:szCs w:val="19"/>
          <w:b w:val="1"/>
          <w:bCs w:val="1"/>
          <w:color w:val="auto"/>
        </w:rPr>
        <w:t>ARTICLE III.</w:t>
      </w:r>
    </w:p>
    <w:p>
      <w:pPr>
        <w:spacing w:after="0" w:line="1" w:lineRule="exact"/>
        <w:rPr>
          <w:sz w:val="20"/>
          <w:szCs w:val="20"/>
          <w:color w:val="auto"/>
        </w:rPr>
      </w:pPr>
    </w:p>
    <w:p>
      <w:pPr>
        <w:ind w:left="3940"/>
        <w:spacing w:after="0"/>
        <w:rPr>
          <w:sz w:val="20"/>
          <w:szCs w:val="20"/>
          <w:color w:val="auto"/>
        </w:rPr>
      </w:pPr>
      <w:r>
        <w:rPr>
          <w:rFonts w:ascii="Arial" w:cs="Arial" w:eastAsia="Arial" w:hAnsi="Arial"/>
          <w:sz w:val="19"/>
          <w:szCs w:val="19"/>
          <w:b w:val="1"/>
          <w:bCs w:val="1"/>
          <w:color w:val="auto"/>
        </w:rPr>
        <w:t>TAXATION AND TAX WITHHOLDING</w:t>
      </w:r>
    </w:p>
    <w:p>
      <w:pPr>
        <w:spacing w:after="0" w:line="152"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w:t>
      </w:r>
      <w:r>
        <w:rPr>
          <w:rFonts w:ascii="Arial" w:cs="Arial" w:eastAsia="Arial" w:hAnsi="Arial"/>
          <w:sz w:val="17"/>
          <w:szCs w:val="17"/>
          <w:color w:val="auto"/>
        </w:rPr>
        <w:t>. Participant represents to the Company that Participant has reviewed with Participant’s own tax advisors the tax</w:t>
      </w:r>
    </w:p>
    <w:p>
      <w:pPr>
        <w:spacing w:after="0" w:line="207" w:lineRule="auto"/>
        <w:rPr>
          <w:sz w:val="20"/>
          <w:szCs w:val="20"/>
          <w:color w:val="auto"/>
        </w:rPr>
      </w:pPr>
      <w:r>
        <w:rPr>
          <w:rFonts w:ascii="Arial" w:cs="Arial" w:eastAsia="Arial" w:hAnsi="Arial"/>
          <w:sz w:val="18"/>
          <w:szCs w:val="18"/>
          <w:color w:val="auto"/>
        </w:rPr>
        <w:t>consequences of this Award of RSUs and Dividend Equivalents and the transactions contemplated by the Grant Notice and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Participant is relying solely on such advisors and not on any statements or representations of the Company or any of its agents.</w:t>
      </w:r>
    </w:p>
    <w:p>
      <w:pPr>
        <w:spacing w:after="0" w:line="162"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178" w:lineRule="exact"/>
        <w:rPr>
          <w:sz w:val="20"/>
          <w:szCs w:val="20"/>
          <w:color w:val="auto"/>
        </w:rPr>
      </w:pPr>
    </w:p>
    <w:p>
      <w:pPr>
        <w:jc w:val="both"/>
        <w:ind w:firstLine="1539"/>
        <w:spacing w:after="0" w:line="223" w:lineRule="auto"/>
        <w:tabs>
          <w:tab w:leader="none" w:pos="21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59" w:lineRule="exact"/>
        <w:rPr>
          <w:rFonts w:ascii="Arial" w:cs="Arial" w:eastAsia="Arial" w:hAnsi="Arial"/>
          <w:sz w:val="19"/>
          <w:szCs w:val="19"/>
          <w:color w:val="auto"/>
        </w:rPr>
      </w:pPr>
    </w:p>
    <w:p>
      <w:pPr>
        <w:jc w:val="both"/>
        <w:ind w:firstLine="1539"/>
        <w:spacing w:after="0" w:line="214" w:lineRule="auto"/>
        <w:tabs>
          <w:tab w:leader="none" w:pos="2025"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RSUs and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jc w:val="center"/>
        <w:spacing w:after="0"/>
        <w:rPr>
          <w:sz w:val="20"/>
          <w:szCs w:val="20"/>
          <w:color w:val="auto"/>
        </w:rPr>
      </w:pPr>
      <w:r>
        <w:rPr>
          <w:rFonts w:ascii="Arial" w:cs="Arial" w:eastAsia="Arial" w:hAnsi="Arial"/>
          <w:sz w:val="19"/>
          <w:szCs w:val="19"/>
          <w:b w:val="1"/>
          <w:bCs w:val="1"/>
          <w:color w:val="auto"/>
        </w:rPr>
        <w:t>OTHER PROVISIONS</w:t>
      </w:r>
    </w:p>
    <w:p>
      <w:pPr>
        <w:spacing w:after="0" w:line="162" w:lineRule="exact"/>
        <w:rPr>
          <w:sz w:val="20"/>
          <w:szCs w:val="20"/>
          <w:color w:val="auto"/>
        </w:rPr>
      </w:pPr>
    </w:p>
    <w:p>
      <w:pPr>
        <w:ind w:firstLine="922"/>
        <w:spacing w:after="0" w:line="23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Adjustments</w:t>
      </w:r>
      <w:r>
        <w:rPr>
          <w:rFonts w:ascii="Arial" w:cs="Arial" w:eastAsia="Arial" w:hAnsi="Arial"/>
          <w:sz w:val="19"/>
          <w:szCs w:val="19"/>
          <w:color w:val="auto"/>
        </w:rPr>
        <w:t>. Participant acknowledges that the RSUs, the Shares subject to the RSUs, and the Dividend Equivalents are subject to adjustment, modification and termination in certain events as provided in this Agreement and the Plan.</w:t>
      </w:r>
    </w:p>
    <w:p>
      <w:pPr>
        <w:spacing w:after="0" w:line="147" w:lineRule="exact"/>
        <w:rPr>
          <w:sz w:val="20"/>
          <w:szCs w:val="20"/>
          <w:color w:val="auto"/>
        </w:rPr>
      </w:pPr>
    </w:p>
    <w:p>
      <w:pPr>
        <w:jc w:val="both"/>
        <w:ind w:firstLine="922"/>
        <w:spacing w:after="0" w:line="24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w:t>
      </w:r>
    </w:p>
    <w:p>
      <w:pPr>
        <w:spacing w:after="0" w:line="237" w:lineRule="auto"/>
        <w:rPr>
          <w:sz w:val="20"/>
          <w:szCs w:val="20"/>
          <w:color w:val="auto"/>
        </w:rPr>
      </w:pPr>
      <w:r>
        <w:rPr>
          <w:rFonts w:ascii="Arial" w:cs="Arial" w:eastAsia="Arial" w:hAnsi="Arial"/>
          <w:sz w:val="17"/>
          <w:szCs w:val="17"/>
          <w:color w:val="auto"/>
        </w:rPr>
        <w:t>designate a different address for notices to be given to that party. Any notice will be deemed duly given when actually received, when sent by email,</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confirmation.</w:t>
      </w:r>
    </w:p>
    <w:p>
      <w:pPr>
        <w:spacing w:after="0" w:line="139"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w:t>
      </w:r>
    </w:p>
    <w:p>
      <w:pPr>
        <w:spacing w:after="0"/>
        <w:rPr>
          <w:sz w:val="20"/>
          <w:szCs w:val="20"/>
          <w:color w:val="auto"/>
        </w:rPr>
      </w:pPr>
      <w:r>
        <w:rPr>
          <w:rFonts w:ascii="Arial" w:cs="Arial" w:eastAsia="Arial" w:hAnsi="Arial"/>
          <w:sz w:val="19"/>
          <w:szCs w:val="19"/>
          <w:color w:val="auto"/>
        </w:rPr>
        <w:t>Agreement.</w:t>
      </w:r>
    </w:p>
    <w:p>
      <w:pPr>
        <w:spacing w:after="0" w:line="152" w:lineRule="exact"/>
        <w:rPr>
          <w:sz w:val="20"/>
          <w:szCs w:val="20"/>
          <w:color w:val="auto"/>
        </w:rPr>
      </w:pPr>
    </w:p>
    <w:p>
      <w:pPr>
        <w:ind w:left="920"/>
        <w:spacing w:after="0"/>
        <w:tabs>
          <w:tab w:leader="none" w:pos="142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the Grant Notice and this Agreement are intended to</w:t>
      </w:r>
    </w:p>
    <w:p>
      <w:pPr>
        <w:spacing w:after="0" w:line="221" w:lineRule="auto"/>
        <w:rPr>
          <w:sz w:val="20"/>
          <w:szCs w:val="20"/>
          <w:color w:val="auto"/>
        </w:rPr>
      </w:pPr>
      <w:r>
        <w:rPr>
          <w:rFonts w:ascii="Arial" w:cs="Arial" w:eastAsia="Arial" w:hAnsi="Arial"/>
          <w:sz w:val="19"/>
          <w:szCs w:val="19"/>
          <w:color w:val="auto"/>
        </w:rPr>
        <w:t>conform to the extent necessary with all Applicable Laws and, to the extent Applicable Laws permit, will be deemed amended as necessary to conform to Applicable Laws.</w:t>
      </w:r>
    </w:p>
    <w:p>
      <w:pPr>
        <w:spacing w:after="0" w:line="158" w:lineRule="exact"/>
        <w:rPr>
          <w:sz w:val="20"/>
          <w:szCs w:val="20"/>
          <w:color w:val="auto"/>
        </w:rPr>
      </w:pPr>
    </w:p>
    <w:p>
      <w:pPr>
        <w:ind w:firstLine="922"/>
        <w:spacing w:after="0" w:line="23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the Plan,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will be binding upon and inure to the benefit of the heirs, legatees, legal representatives, successors and assigns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w:t>
      </w:r>
    </w:p>
    <w:p>
      <w:pPr>
        <w:sectPr>
          <w:pgSz w:w="11900" w:h="16838" w:orient="portrait"/>
          <w:cols w:equalWidth="0" w:num="1">
            <w:col w:w="11240"/>
          </w:cols>
          <w:pgMar w:left="320" w:top="1329" w:right="339" w:bottom="1440" w:gutter="0" w:footer="0" w:header="0"/>
        </w:sectPr>
      </w:pPr>
    </w:p>
    <w:bookmarkStart w:id="60" w:name="page61"/>
    <w:bookmarkEnd w:id="60"/>
    <w:p>
      <w:pPr>
        <w:ind w:left="920"/>
        <w:spacing w:after="0"/>
        <w:tabs>
          <w:tab w:leader="none" w:pos="136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or this Agreement, if Participant is</w:t>
      </w:r>
    </w:p>
    <w:p>
      <w:pPr>
        <w:jc w:val="both"/>
        <w:spacing w:after="0" w:line="227" w:lineRule="auto"/>
        <w:rPr>
          <w:sz w:val="20"/>
          <w:szCs w:val="20"/>
          <w:color w:val="auto"/>
        </w:rPr>
      </w:pPr>
      <w:r>
        <w:rPr>
          <w:rFonts w:ascii="Arial" w:cs="Arial" w:eastAsia="Arial" w:hAnsi="Arial"/>
          <w:sz w:val="17"/>
          <w:szCs w:val="17"/>
          <w:color w:val="auto"/>
        </w:rPr>
        <w:t>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are requirements for the application of such exemptive rule. To the extent Applicable Laws permit, this Agreement will be deemed amended as necessary to conform to such applicable exemptive rule.</w:t>
      </w:r>
    </w:p>
    <w:p>
      <w:pPr>
        <w:spacing w:after="0" w:line="145" w:lineRule="exact"/>
        <w:rPr>
          <w:sz w:val="20"/>
          <w:szCs w:val="20"/>
          <w:color w:val="auto"/>
        </w:rPr>
      </w:pPr>
    </w:p>
    <w:p>
      <w:pPr>
        <w:jc w:val="both"/>
        <w:ind w:firstLine="922"/>
        <w:spacing w:after="0" w:line="228"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6" w:lineRule="exact"/>
        <w:rPr>
          <w:sz w:val="20"/>
          <w:szCs w:val="20"/>
          <w:color w:val="auto"/>
        </w:rPr>
      </w:pPr>
    </w:p>
    <w:p>
      <w:pPr>
        <w:jc w:val="both"/>
        <w:ind w:firstLine="922"/>
        <w:spacing w:after="0" w:line="228"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Agreement Severable</w:t>
      </w:r>
      <w:r>
        <w:rPr>
          <w:rFonts w:ascii="Arial" w:cs="Arial" w:eastAsia="Arial" w:hAnsi="Arial"/>
          <w:sz w:val="19"/>
          <w:szCs w:val="19"/>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4" w:lineRule="exact"/>
        <w:rPr>
          <w:sz w:val="20"/>
          <w:szCs w:val="20"/>
          <w:color w:val="auto"/>
        </w:rPr>
      </w:pPr>
    </w:p>
    <w:p>
      <w:pPr>
        <w:jc w:val="both"/>
        <w:ind w:firstLine="922"/>
        <w:spacing w:after="0" w:line="237"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w:t>
      </w:r>
    </w:p>
    <w:p>
      <w:pPr>
        <w:spacing w:after="0" w:line="237" w:lineRule="auto"/>
        <w:rPr>
          <w:sz w:val="20"/>
          <w:szCs w:val="20"/>
          <w:color w:val="auto"/>
        </w:rPr>
      </w:pPr>
      <w:r>
        <w:rPr>
          <w:rFonts w:ascii="Arial" w:cs="Arial" w:eastAsia="Arial" w:hAnsi="Arial"/>
          <w:sz w:val="17"/>
          <w:szCs w:val="17"/>
          <w:color w:val="auto"/>
        </w:rPr>
        <w:t>Neither the Plan nor any underlying program, in and of itself, has any assets. Participant will have only the rights of a general unsecured creditor of</w:t>
      </w:r>
    </w:p>
    <w:p>
      <w:pPr>
        <w:jc w:val="both"/>
        <w:spacing w:after="0" w:line="242" w:lineRule="auto"/>
        <w:rPr>
          <w:sz w:val="20"/>
          <w:szCs w:val="20"/>
          <w:color w:val="auto"/>
        </w:rPr>
      </w:pPr>
      <w:r>
        <w:rPr>
          <w:rFonts w:ascii="Arial" w:cs="Arial" w:eastAsia="Arial" w:hAnsi="Arial"/>
          <w:sz w:val="16"/>
          <w:szCs w:val="16"/>
          <w:color w:val="auto"/>
        </w:rPr>
        <w:t>the Company with respect to amounts credited and benefits payable, if any, with respect to the RSUs and Dividend Equivalents, and rights no greater than the right to receive the Shares as a general unsecured creditor with respect to the RSUs and Dividend Equivalents, as and when settled pursuant</w:t>
      </w:r>
    </w:p>
    <w:p>
      <w:pPr>
        <w:spacing w:after="0"/>
        <w:rPr>
          <w:sz w:val="20"/>
          <w:szCs w:val="20"/>
          <w:color w:val="auto"/>
        </w:rPr>
      </w:pPr>
      <w:r>
        <w:rPr>
          <w:rFonts w:ascii="Arial" w:cs="Arial" w:eastAsia="Arial" w:hAnsi="Arial"/>
          <w:sz w:val="19"/>
          <w:szCs w:val="19"/>
          <w:color w:val="auto"/>
        </w:rPr>
        <w:t>to the terms of this Agreement.</w:t>
      </w:r>
    </w:p>
    <w:p>
      <w:pPr>
        <w:spacing w:after="0" w:line="188" w:lineRule="exact"/>
        <w:rPr>
          <w:sz w:val="20"/>
          <w:szCs w:val="20"/>
          <w:color w:val="auto"/>
        </w:rPr>
      </w:pPr>
    </w:p>
    <w:p>
      <w:pPr>
        <w:jc w:val="both"/>
        <w:ind w:firstLine="922"/>
        <w:spacing w:after="0" w:line="237"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Nothing in the Plan, the Grant Notice or this Agreement confers upon Participant any right to continue in the employ or service of the Company or any Subsidiary or interferes with or restricts in any way the rights of the Company and its</w:t>
      </w:r>
    </w:p>
    <w:p>
      <w:pPr>
        <w:spacing w:after="0" w:line="237" w:lineRule="auto"/>
        <w:rPr>
          <w:sz w:val="20"/>
          <w:szCs w:val="20"/>
          <w:color w:val="auto"/>
        </w:rPr>
      </w:pPr>
      <w:r>
        <w:rPr>
          <w:rFonts w:ascii="Arial" w:cs="Arial" w:eastAsia="Arial" w:hAnsi="Arial"/>
          <w:sz w:val="17"/>
          <w:szCs w:val="17"/>
          <w:color w:val="auto"/>
        </w:rPr>
        <w:t>Subsidiaries, which rights are hereby expressly reserved, to discharge or terminate the services of Participant at any time for any reason whatsoever,</w:t>
      </w:r>
    </w:p>
    <w:p>
      <w:pPr>
        <w:jc w:val="both"/>
        <w:spacing w:after="0" w:line="221" w:lineRule="auto"/>
        <w:rPr>
          <w:sz w:val="20"/>
          <w:szCs w:val="20"/>
          <w:color w:val="auto"/>
        </w:rPr>
      </w:pPr>
      <w:r>
        <w:rPr>
          <w:rFonts w:ascii="Arial" w:cs="Arial" w:eastAsia="Arial" w:hAnsi="Arial"/>
          <w:sz w:val="19"/>
          <w:szCs w:val="19"/>
          <w:color w:val="auto"/>
        </w:rPr>
        <w:t>with or without Cause, except to the extent expressly provided otherwise in a written agreement between the Company or a Subsidiary and Participant.</w:t>
      </w:r>
    </w:p>
    <w:p>
      <w:pPr>
        <w:spacing w:after="0" w:line="183" w:lineRule="exact"/>
        <w:rPr>
          <w:sz w:val="20"/>
          <w:szCs w:val="20"/>
          <w:color w:val="auto"/>
        </w:rPr>
      </w:pPr>
    </w:p>
    <w:p>
      <w:pPr>
        <w:jc w:val="both"/>
        <w:ind w:firstLine="922"/>
        <w:spacing w:after="0" w:line="236"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A-3</w:t>
      </w:r>
    </w:p>
    <w:p>
      <w:pPr>
        <w:sectPr>
          <w:pgSz w:w="11900" w:h="16838" w:orient="portrait"/>
          <w:cols w:equalWidth="0" w:num="1">
            <w:col w:w="11240"/>
          </w:cols>
          <w:pgMar w:left="320" w:top="1329"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204470</wp:posOffset>
            </wp:positionH>
            <wp:positionV relativeFrom="page">
              <wp:posOffset>885825</wp:posOffset>
            </wp:positionV>
            <wp:extent cx="7147560" cy="284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7560" cy="284480"/>
                    </a:xfrm>
                    <a:prstGeom prst="rect">
                      <a:avLst/>
                    </a:prstGeom>
                    <a:noFill/>
                  </pic:spPr>
                </pic:pic>
              </a:graphicData>
            </a:graphic>
          </wp:anchor>
        </w:drawing>
        <w:t>MARKETWISE, INC.</w:t>
      </w:r>
    </w:p>
    <w:p>
      <w:pPr>
        <w:jc w:val="center"/>
        <w:ind w:right="-19"/>
        <w:spacing w:after="0"/>
        <w:rPr>
          <w:sz w:val="20"/>
          <w:szCs w:val="20"/>
          <w:color w:val="auto"/>
        </w:rPr>
      </w:pPr>
      <w:r>
        <w:rPr>
          <w:rFonts w:ascii="Arial" w:cs="Arial" w:eastAsia="Arial" w:hAnsi="Arial"/>
          <w:sz w:val="19"/>
          <w:szCs w:val="19"/>
          <w:b w:val="1"/>
          <w:bCs w:val="1"/>
          <w:color w:val="auto"/>
        </w:rPr>
        <w:t>2021 INCENTIVE AWARD PLAN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GRANT NOTICE</w:t>
      </w:r>
    </w:p>
    <w:p>
      <w:pPr>
        <w:spacing w:after="0" w:line="170"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Capitalized terms not specifically defined in this Restricted Stock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have the meanings given to them in the 2021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of MarketWise,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w:t>
      </w:r>
    </w:p>
    <w:p>
      <w:pPr>
        <w:spacing w:after="0" w:line="159" w:lineRule="exact"/>
        <w:rPr>
          <w:sz w:val="20"/>
          <w:szCs w:val="20"/>
          <w:color w:val="auto"/>
        </w:rPr>
      </w:pPr>
    </w:p>
    <w:p>
      <w:pPr>
        <w:jc w:val="both"/>
        <w:ind w:firstLine="615"/>
        <w:spacing w:after="0" w:line="237" w:lineRule="auto"/>
        <w:rPr>
          <w:sz w:val="20"/>
          <w:szCs w:val="20"/>
          <w:color w:val="auto"/>
        </w:rPr>
      </w:pPr>
      <w:r>
        <w:rPr>
          <w:rFonts w:ascii="Arial" w:cs="Arial" w:eastAsia="Arial" w:hAnsi="Arial"/>
          <w:sz w:val="17"/>
          <w:szCs w:val="17"/>
          <w:color w:val="auto"/>
        </w:rPr>
        <w:t>The Company has granted to the participant listed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shares of Restricted Stock described in this Grant Notice (the “</w:t>
      </w:r>
      <w:r>
        <w:rPr>
          <w:rFonts w:ascii="Arial" w:cs="Arial" w:eastAsia="Arial" w:hAnsi="Arial"/>
          <w:sz w:val="17"/>
          <w:szCs w:val="17"/>
          <w:b w:val="1"/>
          <w:bCs w:val="1"/>
          <w:i w:val="1"/>
          <w:iCs w:val="1"/>
          <w:color w:val="auto"/>
        </w:rPr>
        <w:t>Restricted Shares</w:t>
      </w:r>
      <w:r>
        <w:rPr>
          <w:rFonts w:ascii="Arial" w:cs="Arial" w:eastAsia="Arial" w:hAnsi="Arial"/>
          <w:sz w:val="17"/>
          <w:szCs w:val="17"/>
          <w:color w:val="auto"/>
        </w:rPr>
        <w:t xml:space="preserve">”), subject to the terms and conditions of the Plan and the Restricted Stock Agreement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both of which are incorporated into this Grant Notice by reference.</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Participant:</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Grant Date: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Number of Restricted Shares:</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Vesting Commencement Date: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Vesting Schedule:</w:t>
      </w:r>
    </w:p>
    <w:p>
      <w:pPr>
        <w:spacing w:after="0" w:line="200" w:lineRule="exact"/>
        <w:rPr>
          <w:sz w:val="20"/>
          <w:szCs w:val="20"/>
          <w:color w:val="auto"/>
        </w:rPr>
      </w:pPr>
    </w:p>
    <w:p>
      <w:pPr>
        <w:spacing w:after="0" w:line="354" w:lineRule="exact"/>
        <w:rPr>
          <w:sz w:val="20"/>
          <w:szCs w:val="20"/>
          <w:color w:val="auto"/>
        </w:rPr>
      </w:pPr>
    </w:p>
    <w:p>
      <w:pPr>
        <w:ind w:firstLine="615"/>
        <w:spacing w:after="0" w:line="245" w:lineRule="auto"/>
        <w:rPr>
          <w:sz w:val="20"/>
          <w:szCs w:val="20"/>
          <w:color w:val="auto"/>
        </w:rPr>
      </w:pPr>
      <w:r>
        <w:rPr>
          <w:rFonts w:ascii="Arial" w:cs="Arial" w:eastAsia="Arial" w:hAnsi="Arial"/>
          <w:sz w:val="17"/>
          <w:szCs w:val="17"/>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Agreement.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00" w:type="dxa"/>
            <w:vAlign w:val="bottom"/>
            <w:gridSpan w:val="3"/>
          </w:tcPr>
          <w:p>
            <w:pPr>
              <w:ind w:left="40"/>
              <w:spacing w:after="0"/>
              <w:rPr>
                <w:sz w:val="20"/>
                <w:szCs w:val="20"/>
                <w:color w:val="auto"/>
              </w:rPr>
            </w:pPr>
            <w:r>
              <w:rPr>
                <w:rFonts w:ascii="Arial" w:cs="Arial" w:eastAsia="Arial" w:hAnsi="Arial"/>
                <w:sz w:val="19"/>
                <w:szCs w:val="19"/>
                <w:b w:val="1"/>
                <w:bCs w:val="1"/>
                <w:color w:val="auto"/>
              </w:rPr>
              <w:t>MARKETWISE, INC.</w:t>
            </w:r>
          </w:p>
        </w:tc>
        <w:tc>
          <w:tcPr>
            <w:tcW w:w="3600" w:type="dxa"/>
            <w:vAlign w:val="bottom"/>
          </w:tcPr>
          <w:p>
            <w:pPr>
              <w:ind w:left="2320"/>
              <w:spacing w:after="0"/>
              <w:rPr>
                <w:sz w:val="20"/>
                <w:szCs w:val="20"/>
                <w:color w:val="auto"/>
              </w:rPr>
            </w:pPr>
            <w:r>
              <w:rPr>
                <w:rFonts w:ascii="Arial" w:cs="Arial" w:eastAsia="Arial" w:hAnsi="Arial"/>
                <w:sz w:val="19"/>
                <w:szCs w:val="19"/>
                <w:b w:val="1"/>
                <w:bCs w:val="1"/>
                <w:color w:val="auto"/>
                <w:w w:val="98"/>
              </w:rPr>
              <w:t>PARTICIPANT</w:t>
            </w:r>
          </w:p>
        </w:tc>
      </w:tr>
      <w:tr>
        <w:trPr>
          <w:trHeight w:val="307"/>
        </w:trPr>
        <w:tc>
          <w:tcPr>
            <w:tcW w:w="880" w:type="dxa"/>
            <w:vAlign w:val="bottom"/>
          </w:tcPr>
          <w:p>
            <w:pPr>
              <w:spacing w:after="0"/>
              <w:rPr>
                <w:sz w:val="20"/>
                <w:szCs w:val="20"/>
                <w:color w:val="auto"/>
              </w:rPr>
            </w:pPr>
            <w:r>
              <w:rPr>
                <w:rFonts w:ascii="Arial" w:cs="Arial" w:eastAsia="Arial" w:hAnsi="Arial"/>
                <w:sz w:val="19"/>
                <w:szCs w:val="19"/>
                <w:color w:val="auto"/>
              </w:rPr>
              <w:t>By:</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9"/>
                <w:szCs w:val="19"/>
                <w:color w:val="auto"/>
              </w:rPr>
              <w:t>Name:</w:t>
            </w:r>
          </w:p>
        </w:tc>
        <w:tc>
          <w:tcPr>
            <w:tcW w:w="2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0"/>
              </w:rPr>
              <w:t>Cynthia Cherry, SHRM-SCP</w:t>
            </w:r>
          </w:p>
        </w:tc>
        <w:tc>
          <w:tcPr>
            <w:tcW w:w="24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287"/>
        </w:trPr>
        <w:tc>
          <w:tcPr>
            <w:tcW w:w="880" w:type="dxa"/>
            <w:vAlign w:val="bottom"/>
          </w:tcPr>
          <w:p>
            <w:pPr>
              <w:spacing w:after="0"/>
              <w:rPr>
                <w:sz w:val="20"/>
                <w:szCs w:val="20"/>
                <w:color w:val="auto"/>
              </w:rPr>
            </w:pPr>
            <w:r>
              <w:rPr>
                <w:rFonts w:ascii="Arial" w:cs="Arial" w:eastAsia="Arial" w:hAnsi="Arial"/>
                <w:sz w:val="19"/>
                <w:szCs w:val="19"/>
                <w:color w:val="auto"/>
              </w:rPr>
              <w:t>Title:</w:t>
            </w:r>
          </w:p>
        </w:tc>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89"/>
              </w:rPr>
              <w:t>Chief Human Resources Officer</w:t>
            </w:r>
          </w:p>
        </w:tc>
        <w:tc>
          <w:tcPr>
            <w:tcW w:w="3600" w:type="dxa"/>
            <w:vAlign w:val="bottom"/>
          </w:tcPr>
          <w:p>
            <w:pPr>
              <w:spacing w:after="0"/>
              <w:rPr>
                <w:sz w:val="24"/>
                <w:szCs w:val="24"/>
                <w:color w:val="auto"/>
              </w:rPr>
            </w:pPr>
          </w:p>
        </w:tc>
      </w:tr>
    </w:tbl>
    <w:p>
      <w:pPr>
        <w:sectPr>
          <w:pgSz w:w="11900" w:h="16838" w:orient="portrait"/>
          <w:cols w:equalWidth="0" w:num="1">
            <w:col w:w="11240"/>
          </w:cols>
          <w:pgMar w:left="320" w:top="139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AGREEMENT</w:t>
      </w:r>
    </w:p>
    <w:p>
      <w:pPr>
        <w:spacing w:after="0" w:line="182" w:lineRule="exact"/>
        <w:rPr>
          <w:sz w:val="20"/>
          <w:szCs w:val="20"/>
          <w:color w:val="auto"/>
        </w:rPr>
      </w:pPr>
    </w:p>
    <w:p>
      <w:pPr>
        <w:jc w:val="both"/>
        <w:ind w:firstLine="615"/>
        <w:spacing w:after="0" w:line="229" w:lineRule="auto"/>
        <w:rPr>
          <w:sz w:val="20"/>
          <w:szCs w:val="20"/>
          <w:color w:val="auto"/>
        </w:rPr>
      </w:pPr>
      <w:r>
        <w:rPr>
          <w:rFonts w:ascii="Arial" w:cs="Arial" w:eastAsia="Arial" w:hAnsi="Arial"/>
          <w:sz w:val="19"/>
          <w:szCs w:val="19"/>
          <w:color w:val="auto"/>
        </w:rPr>
        <w:t>Capitalized terms not specifically defined in this Agreement have the meanings specified in the Grant Notice or, if not defined in the Grant Notice, in the Plan.</w:t>
      </w:r>
    </w:p>
    <w:p>
      <w:pPr>
        <w:spacing w:after="0" w:line="149"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ARTICLE I.</w:t>
      </w:r>
    </w:p>
    <w:p>
      <w:pPr>
        <w:ind w:left="5160"/>
        <w:spacing w:after="0"/>
        <w:rPr>
          <w:sz w:val="20"/>
          <w:szCs w:val="20"/>
          <w:color w:val="auto"/>
        </w:rPr>
      </w:pPr>
      <w:r>
        <w:rPr>
          <w:rFonts w:ascii="Arial" w:cs="Arial" w:eastAsia="Arial" w:hAnsi="Arial"/>
          <w:sz w:val="19"/>
          <w:szCs w:val="19"/>
          <w:b w:val="1"/>
          <w:bCs w:val="1"/>
          <w:color w:val="auto"/>
        </w:rPr>
        <w:t>GENERAL</w:t>
      </w:r>
    </w:p>
    <w:p>
      <w:pPr>
        <w:spacing w:after="0" w:line="150"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Issuance of Restricted Shares</w:t>
      </w:r>
      <w:r>
        <w:rPr>
          <w:rFonts w:ascii="Arial" w:cs="Arial" w:eastAsia="Arial" w:hAnsi="Arial"/>
          <w:sz w:val="17"/>
          <w:szCs w:val="17"/>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Shares are held in book-entry form, then the book-entry will indicate that the Restricted Shares are subject to the restrictions of this Agreement.</w:t>
      </w:r>
    </w:p>
    <w:p>
      <w:pPr>
        <w:spacing w:after="0" w:line="185" w:lineRule="exact"/>
        <w:rPr>
          <w:sz w:val="20"/>
          <w:szCs w:val="20"/>
          <w:color w:val="auto"/>
        </w:rPr>
      </w:pPr>
    </w:p>
    <w:p>
      <w:pPr>
        <w:jc w:val="both"/>
        <w:ind w:firstLine="615"/>
        <w:spacing w:after="0" w:line="27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Incorporation of Terms of Plan</w:t>
      </w:r>
      <w:r>
        <w:rPr>
          <w:rFonts w:ascii="Arial" w:cs="Arial" w:eastAsia="Arial" w:hAnsi="Arial"/>
          <w:sz w:val="17"/>
          <w:szCs w:val="17"/>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jc w:val="center"/>
        <w:spacing w:after="0"/>
        <w:rPr>
          <w:sz w:val="20"/>
          <w:szCs w:val="20"/>
          <w:color w:val="auto"/>
        </w:rPr>
      </w:pPr>
      <w:r>
        <w:rPr>
          <w:rFonts w:ascii="Arial" w:cs="Arial" w:eastAsia="Arial" w:hAnsi="Arial"/>
          <w:sz w:val="19"/>
          <w:szCs w:val="19"/>
          <w:b w:val="1"/>
          <w:bCs w:val="1"/>
          <w:color w:val="auto"/>
        </w:rPr>
        <w:t>VESTING, FORFEITURE AND ESCROW</w:t>
      </w:r>
    </w:p>
    <w:p>
      <w:pPr>
        <w:spacing w:after="0" w:line="150" w:lineRule="exact"/>
        <w:rPr>
          <w:sz w:val="20"/>
          <w:szCs w:val="20"/>
          <w:color w:val="auto"/>
        </w:rPr>
      </w:pPr>
    </w:p>
    <w:p>
      <w:pPr>
        <w:jc w:val="both"/>
        <w:ind w:firstLine="615"/>
        <w:spacing w:after="0" w:line="22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w:t>
      </w:r>
      <w:r>
        <w:rPr>
          <w:rFonts w:ascii="Arial" w:cs="Arial" w:eastAsia="Arial" w:hAnsi="Arial"/>
          <w:sz w:val="19"/>
          <w:szCs w:val="19"/>
          <w:color w:val="auto"/>
        </w:rPr>
        <w:t>. The Restricted Shares will become vested Shares (the “</w:t>
      </w:r>
      <w:r>
        <w:rPr>
          <w:rFonts w:ascii="Arial" w:cs="Arial" w:eastAsia="Arial" w:hAnsi="Arial"/>
          <w:sz w:val="19"/>
          <w:szCs w:val="19"/>
          <w:b w:val="1"/>
          <w:bCs w:val="1"/>
          <w:i w:val="1"/>
          <w:iCs w:val="1"/>
          <w:color w:val="auto"/>
        </w:rPr>
        <w:t>Vested Shares</w:t>
      </w:r>
      <w:r>
        <w:rPr>
          <w:rFonts w:ascii="Arial" w:cs="Arial" w:eastAsia="Arial" w:hAnsi="Arial"/>
          <w:sz w:val="19"/>
          <w:szCs w:val="19"/>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46"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u w:val="single" w:color="auto"/>
          <w:color w:val="auto"/>
        </w:rPr>
        <w:t>Forfeiture</w:t>
      </w:r>
      <w:r>
        <w:rPr>
          <w:rFonts w:ascii="Arial" w:cs="Arial" w:eastAsia="Arial" w:hAnsi="Arial"/>
          <w:sz w:val="17"/>
          <w:szCs w:val="17"/>
          <w:color w:val="auto"/>
        </w:rPr>
        <w:t>.</w:t>
      </w:r>
    </w:p>
    <w:p>
      <w:pPr>
        <w:spacing w:after="0" w:line="178" w:lineRule="exact"/>
        <w:rPr>
          <w:sz w:val="20"/>
          <w:szCs w:val="20"/>
          <w:color w:val="auto"/>
        </w:rPr>
      </w:pPr>
    </w:p>
    <w:p>
      <w:pPr>
        <w:jc w:val="both"/>
        <w:ind w:firstLine="1539"/>
        <w:spacing w:after="0" w:line="215" w:lineRule="auto"/>
        <w:tabs>
          <w:tab w:leader="none" w:pos="1935"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the event of Participant’s Termination of Service for any reason, Participant will immediately and automatically forfeit to the Company any Shares that are not Vested Shares (the “</w:t>
      </w:r>
      <w:r>
        <w:rPr>
          <w:rFonts w:ascii="Arial" w:cs="Arial" w:eastAsia="Arial" w:hAnsi="Arial"/>
          <w:sz w:val="19"/>
          <w:szCs w:val="19"/>
          <w:b w:val="1"/>
          <w:bCs w:val="1"/>
          <w:i w:val="1"/>
          <w:iCs w:val="1"/>
          <w:color w:val="auto"/>
        </w:rPr>
        <w:t>Unvested Shares</w:t>
      </w:r>
      <w:r>
        <w:rPr>
          <w:rFonts w:ascii="Arial" w:cs="Arial" w:eastAsia="Arial" w:hAnsi="Arial"/>
          <w:sz w:val="19"/>
          <w:szCs w:val="19"/>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61" w:lineRule="exact"/>
        <w:rPr>
          <w:sz w:val="20"/>
          <w:szCs w:val="20"/>
          <w:color w:val="auto"/>
        </w:rPr>
      </w:pPr>
    </w:p>
    <w:p>
      <w:pPr>
        <w:jc w:val="both"/>
        <w:ind w:firstLine="1539"/>
        <w:spacing w:after="0" w:line="237" w:lineRule="auto"/>
        <w:tabs>
          <w:tab w:leader="none" w:pos="2033" w:val="left"/>
        </w:tabs>
        <w:numPr>
          <w:ilvl w:val="1"/>
          <w:numId w:val="26"/>
        </w:numPr>
        <w:rPr>
          <w:rFonts w:ascii="Arial" w:cs="Arial" w:eastAsia="Arial" w:hAnsi="Arial"/>
          <w:sz w:val="17"/>
          <w:szCs w:val="17"/>
          <w:color w:val="auto"/>
        </w:rPr>
      </w:pPr>
      <w:r>
        <w:rPr>
          <w:rFonts w:ascii="Arial" w:cs="Arial" w:eastAsia="Arial" w:hAnsi="Arial"/>
          <w:sz w:val="17"/>
          <w:szCs w:val="17"/>
          <w:color w:val="auto"/>
        </w:rPr>
        <w:t>Notwithstanding the Grant Notice or the provisions of Section 2.1 and Section 2.2(a), (i) in the event of Participant’s Termination of Service due to death, the Unvested Shares shall become vested in full upon such date of Participant’s Termination of Service so long as circumstances which would constitute Cause do not exist at the time of (and did not exist at any time prior to) such Termination of Service, and</w:t>
      </w:r>
    </w:p>
    <w:p>
      <w:pPr>
        <w:jc w:val="both"/>
        <w:ind w:firstLine="2"/>
        <w:spacing w:after="0" w:line="217" w:lineRule="auto"/>
        <w:tabs>
          <w:tab w:leader="none" w:pos="277"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event of Participant’s Termination of Service due to Disability, the Unvested Shares will remain outstanding and eligible to vest pursuant to the vesting schedule in the Grant Notice without regard for any requirement of continued service so long as circumstances which would constitute Cause do not exist at any time prior to or following such Termination of Service.</w:t>
      </w:r>
    </w:p>
    <w:p>
      <w:pPr>
        <w:spacing w:after="0" w:line="149"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jc w:val="both"/>
        <w:ind w:firstLine="1539"/>
        <w:spacing w:after="0" w:line="223" w:lineRule="auto"/>
        <w:tabs>
          <w:tab w:leader="none" w:pos="19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40"/>
          </w:cols>
          <w:pgMar w:left="320" w:top="10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representative, will not be liable for any good faith act or omission with respect to the holding in escrow or transfer of the Restricted Shares.</w:t>
      </w:r>
    </w:p>
    <w:p>
      <w:pPr>
        <w:spacing w:after="0" w:line="190" w:lineRule="exact"/>
        <w:rPr>
          <w:sz w:val="20"/>
          <w:szCs w:val="20"/>
          <w:color w:val="auto"/>
        </w:rPr>
      </w:pPr>
    </w:p>
    <w:p>
      <w:pPr>
        <w:jc w:val="both"/>
        <w:ind w:firstLine="1539"/>
        <w:spacing w:after="0" w:line="226" w:lineRule="auto"/>
        <w:tabs>
          <w:tab w:leader="none" w:pos="20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cash dividends and other distributions made or declared with respect to Unvested Shares (“</w:t>
      </w:r>
      <w:r>
        <w:rPr>
          <w:rFonts w:ascii="Arial" w:cs="Arial" w:eastAsia="Arial" w:hAnsi="Arial"/>
          <w:sz w:val="18"/>
          <w:szCs w:val="18"/>
          <w:b w:val="1"/>
          <w:bCs w:val="1"/>
          <w:i w:val="1"/>
          <w:iCs w:val="1"/>
          <w:color w:val="auto"/>
        </w:rPr>
        <w:t>Retained Distributions</w:t>
      </w:r>
      <w:r>
        <w:rPr>
          <w:rFonts w:ascii="Arial" w:cs="Arial" w:eastAsia="Arial" w:hAnsi="Arial"/>
          <w:sz w:val="18"/>
          <w:szCs w:val="18"/>
          <w:color w:val="auto"/>
        </w:rPr>
        <w:t>”) will be held by the Company until the time (if ever) when the Unvested Shares to which such Retained Distributions relate become Vested Shares. The Company will establish a separate Retained Distribution bookkeeping account (“</w:t>
      </w:r>
      <w:r>
        <w:rPr>
          <w:rFonts w:ascii="Arial" w:cs="Arial" w:eastAsia="Arial" w:hAnsi="Arial"/>
          <w:sz w:val="18"/>
          <w:szCs w:val="18"/>
          <w:b w:val="1"/>
          <w:bCs w:val="1"/>
          <w:i w:val="1"/>
          <w:iCs w:val="1"/>
          <w:color w:val="auto"/>
        </w:rPr>
        <w:t>Retained Distribution Account</w:t>
      </w:r>
      <w:r>
        <w:rPr>
          <w:rFonts w:ascii="Arial" w:cs="Arial" w:eastAsia="Arial" w:hAnsi="Arial"/>
          <w:sz w:val="18"/>
          <w:szCs w:val="18"/>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46" w:lineRule="exact"/>
        <w:rPr>
          <w:rFonts w:ascii="Arial" w:cs="Arial" w:eastAsia="Arial" w:hAnsi="Arial"/>
          <w:sz w:val="18"/>
          <w:szCs w:val="18"/>
          <w:color w:val="auto"/>
        </w:rPr>
      </w:pPr>
    </w:p>
    <w:p>
      <w:pPr>
        <w:jc w:val="both"/>
        <w:ind w:firstLine="1539"/>
        <w:spacing w:after="0" w:line="232" w:lineRule="auto"/>
        <w:tabs>
          <w:tab w:leader="none" w:pos="19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50"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7"/>
          <w:szCs w:val="17"/>
          <w:u w:val="single" w:color="auto"/>
          <w:color w:val="auto"/>
        </w:rPr>
        <w:t>Rights as Stockholder</w:t>
      </w:r>
      <w:r>
        <w:rPr>
          <w:rFonts w:ascii="Arial" w:cs="Arial" w:eastAsia="Arial" w:hAnsi="Arial"/>
          <w:sz w:val="17"/>
          <w:szCs w:val="17"/>
          <w:color w:val="auto"/>
        </w:rPr>
        <w:t>. Except as otherwise provided in this Agreement or the Plan, upon issuance of the Restricted Shares by the</w:t>
      </w:r>
    </w:p>
    <w:p>
      <w:pPr>
        <w:spacing w:after="0" w:line="221" w:lineRule="auto"/>
        <w:rPr>
          <w:sz w:val="20"/>
          <w:szCs w:val="20"/>
          <w:color w:val="auto"/>
        </w:rPr>
      </w:pPr>
      <w:r>
        <w:rPr>
          <w:rFonts w:ascii="Arial" w:cs="Arial" w:eastAsia="Arial" w:hAnsi="Arial"/>
          <w:sz w:val="19"/>
          <w:szCs w:val="19"/>
          <w:color w:val="auto"/>
        </w:rPr>
        <w:t>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III.</w:t>
      </w:r>
    </w:p>
    <w:p>
      <w:pPr>
        <w:jc w:val="center"/>
        <w:spacing w:after="0"/>
        <w:rPr>
          <w:sz w:val="20"/>
          <w:szCs w:val="20"/>
          <w:color w:val="auto"/>
        </w:rPr>
      </w:pPr>
      <w:r>
        <w:rPr>
          <w:rFonts w:ascii="Arial" w:cs="Arial" w:eastAsia="Arial" w:hAnsi="Arial"/>
          <w:sz w:val="19"/>
          <w:szCs w:val="19"/>
          <w:b w:val="1"/>
          <w:bCs w:val="1"/>
          <w:color w:val="auto"/>
        </w:rPr>
        <w:t>TAXATION AND TAX WITHHOLDING</w:t>
      </w:r>
    </w:p>
    <w:p>
      <w:pPr>
        <w:spacing w:after="0" w:line="139"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w:t>
      </w:r>
      <w:r>
        <w:rPr>
          <w:rFonts w:ascii="Arial" w:cs="Arial" w:eastAsia="Arial" w:hAnsi="Arial"/>
          <w:sz w:val="17"/>
          <w:szCs w:val="17"/>
          <w:color w:val="auto"/>
        </w:rPr>
        <w:t>. Participant represents to the Company that Participant has reviewed with Participant’s own tax advisors the tax</w:t>
      </w:r>
    </w:p>
    <w:p>
      <w:pPr>
        <w:spacing w:after="0" w:line="221" w:lineRule="auto"/>
        <w:rPr>
          <w:sz w:val="20"/>
          <w:szCs w:val="20"/>
          <w:color w:val="auto"/>
        </w:rPr>
      </w:pPr>
      <w:r>
        <w:rPr>
          <w:rFonts w:ascii="Arial" w:cs="Arial" w:eastAsia="Arial" w:hAnsi="Arial"/>
          <w:sz w:val="19"/>
          <w:szCs w:val="19"/>
          <w:color w:val="auto"/>
        </w:rPr>
        <w:t>consequences of the Restricted Shares and the transactions contemplated by the Grant Notice and this Agreement. Participant is relying solely on such advisors and not on any statements or representations of the Company or any of its agents.</w:t>
      </w:r>
    </w:p>
    <w:p>
      <w:pPr>
        <w:spacing w:after="0" w:line="158" w:lineRule="exact"/>
        <w:rPr>
          <w:sz w:val="20"/>
          <w:szCs w:val="20"/>
          <w:color w:val="auto"/>
        </w:rPr>
      </w:pPr>
    </w:p>
    <w:p>
      <w:pPr>
        <w:ind w:firstLine="615"/>
        <w:spacing w:after="0" w:line="260"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28"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178" w:lineRule="exact"/>
        <w:rPr>
          <w:sz w:val="20"/>
          <w:szCs w:val="20"/>
          <w:color w:val="auto"/>
        </w:rPr>
      </w:pPr>
    </w:p>
    <w:p>
      <w:pPr>
        <w:jc w:val="both"/>
        <w:ind w:firstLine="1539"/>
        <w:spacing w:after="0" w:line="245" w:lineRule="auto"/>
        <w:tabs>
          <w:tab w:leader="none" w:pos="196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Participant shall satisfy all applicable federal, state and local taxes required by law to be withheld with respect to any taxable event arising in connection with the Restricted Shares through the surrender of Shares, as set forth in Sections 9.5 of the Plan.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Participant’s applicable jurisdictions for federal, state, local and foreign income tax and payroll tax purposes that are applicable to such taxable income.</w:t>
      </w:r>
    </w:p>
    <w:p>
      <w:pPr>
        <w:spacing w:after="0" w:line="141" w:lineRule="exact"/>
        <w:rPr>
          <w:rFonts w:ascii="Arial" w:cs="Arial" w:eastAsia="Arial" w:hAnsi="Arial"/>
          <w:sz w:val="17"/>
          <w:szCs w:val="17"/>
          <w:color w:val="auto"/>
        </w:rPr>
      </w:pPr>
    </w:p>
    <w:p>
      <w:pPr>
        <w:jc w:val="both"/>
        <w:ind w:firstLine="1539"/>
        <w:spacing w:after="0" w:line="217" w:lineRule="auto"/>
        <w:tabs>
          <w:tab w:leader="none" w:pos="2025"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39"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9"/>
          <w:szCs w:val="19"/>
          <w:b w:val="1"/>
          <w:bCs w:val="1"/>
          <w:color w:val="auto"/>
        </w:rPr>
        <w:t>ARTICLE IV.</w:t>
      </w:r>
    </w:p>
    <w:p>
      <w:pPr>
        <w:jc w:val="center"/>
        <w:spacing w:after="0"/>
        <w:rPr>
          <w:sz w:val="20"/>
          <w:szCs w:val="20"/>
          <w:color w:val="auto"/>
        </w:rPr>
      </w:pPr>
      <w:r>
        <w:rPr>
          <w:rFonts w:ascii="Arial" w:cs="Arial" w:eastAsia="Arial" w:hAnsi="Arial"/>
          <w:sz w:val="19"/>
          <w:szCs w:val="19"/>
          <w:b w:val="1"/>
          <w:bCs w:val="1"/>
          <w:color w:val="auto"/>
        </w:rPr>
        <w:t>RESTRICTIVE LEGENDS AND TRANSFERABILITY</w:t>
      </w:r>
    </w:p>
    <w:p>
      <w:pPr>
        <w:spacing w:after="0" w:line="139"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u w:val="single" w:color="auto"/>
          <w:color w:val="auto"/>
        </w:rPr>
        <w:t>Legends</w:t>
      </w:r>
      <w:r>
        <w:rPr>
          <w:rFonts w:ascii="Arial" w:cs="Arial" w:eastAsia="Arial" w:hAnsi="Arial"/>
          <w:sz w:val="17"/>
          <w:szCs w:val="17"/>
          <w:color w:val="auto"/>
        </w:rPr>
        <w:t>. Any certificate representing a Restricted Share will bear the following legend until the Restricted Share becomes a Vested</w:t>
      </w:r>
    </w:p>
    <w:p>
      <w:pPr>
        <w:spacing w:after="0"/>
        <w:rPr>
          <w:sz w:val="20"/>
          <w:szCs w:val="20"/>
          <w:color w:val="auto"/>
        </w:rPr>
      </w:pPr>
      <w:r>
        <w:rPr>
          <w:rFonts w:ascii="Arial" w:cs="Arial" w:eastAsia="Arial" w:hAnsi="Arial"/>
          <w:sz w:val="19"/>
          <w:szCs w:val="19"/>
          <w:color w:val="auto"/>
        </w:rPr>
        <w:t>Share:</w:t>
      </w:r>
    </w:p>
    <w:p>
      <w:pPr>
        <w:spacing w:after="0" w:line="162" w:lineRule="exact"/>
        <w:rPr>
          <w:sz w:val="20"/>
          <w:szCs w:val="20"/>
          <w:color w:val="auto"/>
        </w:rPr>
      </w:pPr>
    </w:p>
    <w:p>
      <w:pPr>
        <w:ind w:left="1240" w:right="1220"/>
        <w:spacing w:after="0" w:line="224" w:lineRule="auto"/>
        <w:rPr>
          <w:sz w:val="20"/>
          <w:szCs w:val="20"/>
          <w:color w:val="auto"/>
        </w:rPr>
      </w:pPr>
      <w:r>
        <w:rPr>
          <w:rFonts w:ascii="Arial" w:cs="Arial" w:eastAsia="Arial" w:hAnsi="Arial"/>
          <w:sz w:val="18"/>
          <w:szCs w:val="18"/>
          <w:color w:val="auto"/>
        </w:rPr>
        <w:t>THE SHARES REPRESENTED BY THIS CERTIFICATE ARE SUBJECT TO FORFEITURE IN FAVOR OF THE COMPANY AND MAY BE TRANSFERRED ONLY IN ACCORDANCE WITH THE TERMS OF A</w:t>
      </w:r>
    </w:p>
    <w:p>
      <w:pPr>
        <w:spacing w:after="0" w:line="1" w:lineRule="exact"/>
        <w:rPr>
          <w:sz w:val="20"/>
          <w:szCs w:val="20"/>
          <w:color w:val="auto"/>
        </w:rPr>
      </w:pPr>
    </w:p>
    <w:p>
      <w:pPr>
        <w:ind w:left="1240" w:right="1240"/>
        <w:spacing w:after="0" w:line="228" w:lineRule="auto"/>
        <w:rPr>
          <w:sz w:val="20"/>
          <w:szCs w:val="20"/>
          <w:color w:val="auto"/>
        </w:rPr>
      </w:pPr>
      <w:r>
        <w:rPr>
          <w:rFonts w:ascii="Arial" w:cs="Arial" w:eastAsia="Arial" w:hAnsi="Arial"/>
          <w:sz w:val="19"/>
          <w:szCs w:val="19"/>
          <w:color w:val="auto"/>
        </w:rPr>
        <w:t>RESTRICTED STOCK AGREEMENT BETWEEN THE COMPANY AND THE STOCKHOLDER, A COPY OF WHICH IS ON FILE WITH THE SECRETARY OF THE COMPANY.</w:t>
      </w:r>
    </w:p>
    <w:p>
      <w:pPr>
        <w:spacing w:after="0" w:line="14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Transferability</w:t>
      </w:r>
      <w:r>
        <w:rPr>
          <w:rFonts w:ascii="Arial" w:cs="Arial" w:eastAsia="Arial" w:hAnsi="Arial"/>
          <w:sz w:val="16"/>
          <w:szCs w:val="16"/>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w:t>
      </w:r>
    </w:p>
    <w:p>
      <w:pPr>
        <w:spacing w:after="0" w:line="237" w:lineRule="auto"/>
        <w:rPr>
          <w:sz w:val="20"/>
          <w:szCs w:val="20"/>
          <w:color w:val="auto"/>
        </w:rPr>
      </w:pPr>
      <w:r>
        <w:rPr>
          <w:rFonts w:ascii="Arial" w:cs="Arial" w:eastAsia="Arial" w:hAnsi="Arial"/>
          <w:sz w:val="17"/>
          <w:szCs w:val="17"/>
          <w:color w:val="auto"/>
        </w:rPr>
        <w:t>owner of such Restricted Share or accord the right to vote or pay dividends to any purchaser or other transferee to whom such Restricted Share has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been so transferred. The Company may issue appropriate “stop transfer” instructions to its transfer agent, if any, or make appropriate notations to the same effect in its records.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w:t>
      </w:r>
    </w:p>
    <w:p>
      <w:pPr>
        <w:jc w:val="center"/>
        <w:spacing w:after="0"/>
        <w:rPr>
          <w:sz w:val="20"/>
          <w:szCs w:val="20"/>
          <w:color w:val="auto"/>
        </w:rPr>
      </w:pPr>
      <w:r>
        <w:rPr>
          <w:rFonts w:ascii="Arial" w:cs="Arial" w:eastAsia="Arial" w:hAnsi="Arial"/>
          <w:sz w:val="19"/>
          <w:szCs w:val="19"/>
          <w:b w:val="1"/>
          <w:bCs w:val="1"/>
          <w:color w:val="auto"/>
        </w:rPr>
        <w:t>OTHER PROVISIONS</w:t>
      </w:r>
    </w:p>
    <w:p>
      <w:pPr>
        <w:spacing w:after="0" w:line="150" w:lineRule="exact"/>
        <w:rPr>
          <w:sz w:val="20"/>
          <w:szCs w:val="20"/>
          <w:color w:val="auto"/>
        </w:rPr>
      </w:pPr>
    </w:p>
    <w:p>
      <w:pPr>
        <w:jc w:val="both"/>
        <w:ind w:firstLine="615"/>
        <w:spacing w:after="0" w:line="23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Adjustments</w:t>
      </w:r>
      <w:r>
        <w:rPr>
          <w:rFonts w:ascii="Arial" w:cs="Arial" w:eastAsia="Arial" w:hAnsi="Arial"/>
          <w:sz w:val="19"/>
          <w:szCs w:val="19"/>
          <w:color w:val="auto"/>
        </w:rPr>
        <w:t>. Participant acknowledges that the Restricted Shares are subject to adjustment, modification and termination in certain events as provided in this Agreement and the Plan.</w:t>
      </w:r>
    </w:p>
    <w:p>
      <w:pPr>
        <w:spacing w:after="0" w:line="147"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w:t>
      </w:r>
    </w:p>
    <w:p>
      <w:pPr>
        <w:spacing w:after="0" w:line="224" w:lineRule="auto"/>
        <w:rPr>
          <w:sz w:val="20"/>
          <w:szCs w:val="20"/>
          <w:color w:val="auto"/>
        </w:rPr>
      </w:pPr>
      <w:r>
        <w:rPr>
          <w:rFonts w:ascii="Arial" w:cs="Arial" w:eastAsia="Arial" w:hAnsi="Arial"/>
          <w:sz w:val="18"/>
          <w:szCs w:val="18"/>
          <w:color w:val="auto"/>
        </w:rPr>
        <w:t>address for notices to be given to that party. Any notice will be deemed duly given when actually received, when sent by email, when sent by</w:t>
      </w:r>
    </w:p>
    <w:p>
      <w:pPr>
        <w:jc w:val="both"/>
        <w:spacing w:after="0" w:line="254" w:lineRule="auto"/>
        <w:rPr>
          <w:sz w:val="20"/>
          <w:szCs w:val="20"/>
          <w:color w:val="auto"/>
        </w:rPr>
      </w:pPr>
      <w:r>
        <w:rPr>
          <w:rFonts w:ascii="Arial" w:cs="Arial" w:eastAsia="Arial" w:hAnsi="Arial"/>
          <w:sz w:val="17"/>
          <w:szCs w:val="17"/>
          <w:color w:val="auto"/>
        </w:rPr>
        <w:t>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46" w:lineRule="exact"/>
        <w:rPr>
          <w:sz w:val="20"/>
          <w:szCs w:val="20"/>
          <w:color w:val="auto"/>
        </w:rPr>
      </w:pPr>
    </w:p>
    <w:p>
      <w:pPr>
        <w:jc w:val="both"/>
        <w:ind w:firstLine="615"/>
        <w:spacing w:after="0" w:line="236"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Titles</w:t>
      </w:r>
      <w:r>
        <w:rPr>
          <w:rFonts w:ascii="Arial" w:cs="Arial" w:eastAsia="Arial" w:hAnsi="Arial"/>
          <w:sz w:val="19"/>
          <w:szCs w:val="19"/>
          <w:color w:val="auto"/>
        </w:rPr>
        <w:t>. Titles are provided herein for convenience only and are not to serve as a basis for interpretation or construction of this Agreement.</w:t>
      </w:r>
    </w:p>
    <w:p>
      <w:pPr>
        <w:spacing w:after="0" w:line="147" w:lineRule="exact"/>
        <w:rPr>
          <w:sz w:val="20"/>
          <w:szCs w:val="20"/>
          <w:color w:val="auto"/>
        </w:rPr>
      </w:pPr>
    </w:p>
    <w:p>
      <w:pPr>
        <w:jc w:val="both"/>
        <w:ind w:firstLine="615"/>
        <w:spacing w:after="0" w:line="228"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6"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this Agreement or</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the Plan, this Agreement will be binding upon and inure to the benefit of the heirs, legatees, legal representatives, successors and assigns of the parties hereto.</w:t>
      </w:r>
    </w:p>
    <w:p>
      <w:pPr>
        <w:spacing w:after="0" w:line="147"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9"/>
          <w:szCs w:val="19"/>
          <w:color w:val="auto"/>
        </w:rPr>
        <w:t>5.6</w:t>
      </w:r>
      <w:r>
        <w:rPr>
          <w:sz w:val="20"/>
          <w:szCs w:val="20"/>
          <w:color w:val="auto"/>
        </w:rPr>
        <w:tab/>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or this Agreement, if Participant is</w:t>
      </w:r>
    </w:p>
    <w:p>
      <w:pPr>
        <w:jc w:val="both"/>
        <w:spacing w:after="0" w:line="227" w:lineRule="auto"/>
        <w:rPr>
          <w:sz w:val="20"/>
          <w:szCs w:val="20"/>
          <w:color w:val="auto"/>
        </w:rPr>
      </w:pPr>
      <w:r>
        <w:rPr>
          <w:rFonts w:ascii="Arial" w:cs="Arial" w:eastAsia="Arial" w:hAnsi="Arial"/>
          <w:sz w:val="17"/>
          <w:szCs w:val="17"/>
          <w:color w:val="auto"/>
        </w:rPr>
        <w:t>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requirements for the application of such exemptive rule. To the extent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29" w:right="33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permit, this Agreement will be deemed amended as necessary to conform to such applicable exemptive rule.</w:t>
      </w:r>
    </w:p>
    <w:p>
      <w:pPr>
        <w:spacing w:after="0" w:line="178" w:lineRule="exact"/>
        <w:rPr>
          <w:sz w:val="20"/>
          <w:szCs w:val="20"/>
          <w:color w:val="auto"/>
        </w:rPr>
      </w:pPr>
    </w:p>
    <w:p>
      <w:pPr>
        <w:jc w:val="both"/>
        <w:ind w:firstLine="615"/>
        <w:spacing w:after="0" w:line="30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98"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of the Grant Notice or this Agreement is held illegal or invalid, the provision will</w:t>
      </w:r>
    </w:p>
    <w:p>
      <w:pPr>
        <w:spacing w:after="0" w:line="221" w:lineRule="auto"/>
        <w:rPr>
          <w:sz w:val="20"/>
          <w:szCs w:val="20"/>
          <w:color w:val="auto"/>
        </w:rPr>
      </w:pPr>
      <w:r>
        <w:rPr>
          <w:rFonts w:ascii="Arial" w:cs="Arial" w:eastAsia="Arial" w:hAnsi="Arial"/>
          <w:sz w:val="19"/>
          <w:szCs w:val="19"/>
          <w:color w:val="auto"/>
        </w:rPr>
        <w:t>be severable from, and the illegality or invalidity of the provision will not be construed to have any effect on, the remaining provisions of the Grant Notice or this Agreement.</w:t>
      </w:r>
    </w:p>
    <w:p>
      <w:pPr>
        <w:spacing w:after="0" w:line="147"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9"/>
          <w:szCs w:val="19"/>
          <w:color w:val="auto"/>
        </w:rPr>
        <w:t>5.9</w:t>
      </w:r>
      <w:r>
        <w:rPr>
          <w:sz w:val="20"/>
          <w:szCs w:val="20"/>
          <w:color w:val="auto"/>
        </w:rPr>
        <w:tab/>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w:t>
      </w:r>
    </w:p>
    <w:p>
      <w:pPr>
        <w:spacing w:after="0" w:line="242" w:lineRule="auto"/>
        <w:rPr>
          <w:sz w:val="20"/>
          <w:szCs w:val="20"/>
          <w:color w:val="auto"/>
        </w:rPr>
      </w:pPr>
      <w:r>
        <w:rPr>
          <w:rFonts w:ascii="Arial" w:cs="Arial" w:eastAsia="Arial" w:hAnsi="Arial"/>
          <w:sz w:val="16"/>
          <w:szCs w:val="16"/>
          <w:color w:val="auto"/>
        </w:rPr>
        <w:t>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w:t>
      </w:r>
    </w:p>
    <w:p>
      <w:pPr>
        <w:spacing w:after="0"/>
        <w:rPr>
          <w:sz w:val="20"/>
          <w:szCs w:val="20"/>
          <w:color w:val="auto"/>
        </w:rPr>
      </w:pPr>
      <w:r>
        <w:rPr>
          <w:rFonts w:ascii="Arial" w:cs="Arial" w:eastAsia="Arial" w:hAnsi="Arial"/>
          <w:sz w:val="19"/>
          <w:szCs w:val="19"/>
          <w:color w:val="auto"/>
        </w:rPr>
        <w:t>respect to amounts credited and benefits payable, if any, with respect to the Award.</w:t>
      </w:r>
    </w:p>
    <w:p>
      <w:pPr>
        <w:spacing w:after="0" w:line="162" w:lineRule="exact"/>
        <w:rPr>
          <w:sz w:val="20"/>
          <w:szCs w:val="20"/>
          <w:color w:val="auto"/>
        </w:rPr>
      </w:pPr>
    </w:p>
    <w:p>
      <w:pPr>
        <w:ind w:firstLine="615"/>
        <w:spacing w:after="0" w:line="237"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Nothing in the Plan, the Grant Notice or this Agreement confers upon Participant any right to continue in the employ or service of the Company or any Subsidiary or interferes with or restricts in any way the rights of the Company and its</w:t>
      </w:r>
    </w:p>
    <w:p>
      <w:pPr>
        <w:spacing w:after="0" w:line="237" w:lineRule="auto"/>
        <w:rPr>
          <w:sz w:val="20"/>
          <w:szCs w:val="20"/>
          <w:color w:val="auto"/>
        </w:rPr>
      </w:pPr>
      <w:r>
        <w:rPr>
          <w:rFonts w:ascii="Arial" w:cs="Arial" w:eastAsia="Arial" w:hAnsi="Arial"/>
          <w:sz w:val="17"/>
          <w:szCs w:val="17"/>
          <w:color w:val="auto"/>
        </w:rPr>
        <w:t>Subsidiaries, which rights are hereby expressly reserved, to discharge or terminate the services of Participant at any time for any reason whatsoever,</w:t>
      </w:r>
    </w:p>
    <w:p>
      <w:pPr>
        <w:spacing w:after="0" w:line="221" w:lineRule="auto"/>
        <w:rPr>
          <w:sz w:val="20"/>
          <w:szCs w:val="20"/>
          <w:color w:val="auto"/>
        </w:rPr>
      </w:pPr>
      <w:r>
        <w:rPr>
          <w:rFonts w:ascii="Arial" w:cs="Arial" w:eastAsia="Arial" w:hAnsi="Arial"/>
          <w:sz w:val="19"/>
          <w:szCs w:val="19"/>
          <w:color w:val="auto"/>
        </w:rPr>
        <w:t>with or without cause, except to the extent expressly provided otherwise in a written agreement between the Company or a Subsidiary and Participant.</w:t>
      </w:r>
    </w:p>
    <w:p>
      <w:pPr>
        <w:spacing w:after="0" w:line="158" w:lineRule="exact"/>
        <w:rPr>
          <w:sz w:val="20"/>
          <w:szCs w:val="20"/>
          <w:color w:val="auto"/>
        </w:rPr>
      </w:pPr>
    </w:p>
    <w:p>
      <w:pPr>
        <w:ind w:firstLine="615"/>
        <w:spacing w:after="0" w:line="236"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A-4</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39"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299"/>
        <w:spacing w:after="0" w:line="268" w:lineRule="auto"/>
        <w:rPr>
          <w:sz w:val="20"/>
          <w:szCs w:val="20"/>
          <w:color w:val="auto"/>
        </w:rPr>
      </w:pPr>
      <w:r>
        <w:rPr>
          <w:rFonts w:ascii="Arial" w:cs="Arial" w:eastAsia="Arial" w:hAnsi="Arial"/>
          <w:sz w:val="61"/>
          <w:szCs w:val="61"/>
          <w:b w:val="1"/>
          <w:bCs w:val="1"/>
          <w:color w:val="auto"/>
        </w:rPr>
        <w:t>Non-Employee Director Compensation Policy</w:t>
      </w:r>
    </w:p>
    <w:p>
      <w:pPr>
        <w:spacing w:after="0" w:line="4" w:lineRule="exact"/>
        <w:rPr>
          <w:sz w:val="20"/>
          <w:szCs w:val="20"/>
          <w:color w:val="auto"/>
        </w:rPr>
      </w:pPr>
    </w:p>
    <w:p>
      <w:pPr>
        <w:spacing w:after="0"/>
        <w:rPr>
          <w:sz w:val="20"/>
          <w:szCs w:val="20"/>
          <w:color w:val="auto"/>
        </w:rPr>
      </w:pPr>
      <w:r>
        <w:rPr>
          <w:rFonts w:ascii="Arial" w:cs="Arial" w:eastAsia="Arial" w:hAnsi="Arial"/>
          <w:sz w:val="44"/>
          <w:szCs w:val="44"/>
          <w:color w:val="auto"/>
        </w:rPr>
        <w:t>Effective August 2, 2023</w:t>
      </w:r>
    </w:p>
    <w:p>
      <w:pPr>
        <w:sectPr>
          <w:pgSz w:w="11900" w:h="16838" w:orient="portrait"/>
          <w:cols w:equalWidth="0" w:num="1">
            <w:col w:w="10139"/>
          </w:cols>
          <w:pgMar w:left="320" w:top="1440" w:right="1440" w:bottom="1440" w:gutter="0" w:footer="0" w:header="0"/>
        </w:sectPr>
      </w:pPr>
    </w:p>
    <w:bookmarkStart w:id="67" w:name="page68"/>
    <w:bookmarkEnd w:id="67"/>
    <w:p>
      <w:pPr>
        <w:ind w:left="7180"/>
        <w:spacing w:after="0"/>
        <w:rPr>
          <w:sz w:val="20"/>
          <w:szCs w:val="20"/>
          <w:color w:val="auto"/>
        </w:rPr>
      </w:pPr>
      <w:r>
        <w:rPr>
          <w:rFonts w:ascii="Arial" w:cs="Arial" w:eastAsia="Arial" w:hAnsi="Arial"/>
          <w:sz w:val="15"/>
          <w:szCs w:val="15"/>
          <w:color w:val="auto"/>
        </w:rPr>
        <w:t>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17780</wp:posOffset>
            </wp:positionV>
            <wp:extent cx="7139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30480</wp:posOffset>
            </wp:positionV>
            <wp:extent cx="71393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MarketWise,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be eligible to receive cash</w:t>
      </w:r>
    </w:p>
    <w:p>
      <w:pPr>
        <w:spacing w:after="0" w:line="215" w:lineRule="auto"/>
        <w:rPr>
          <w:sz w:val="20"/>
          <w:szCs w:val="20"/>
          <w:color w:val="auto"/>
        </w:rPr>
      </w:pPr>
      <w:r>
        <w:rPr>
          <w:rFonts w:ascii="Arial" w:cs="Arial" w:eastAsia="Arial" w:hAnsi="Arial"/>
          <w:sz w:val="18"/>
          <w:szCs w:val="18"/>
          <w:color w:val="auto"/>
        </w:rPr>
        <w:t>and equity compensation as set forth in this Non-Employee Director Compensation Policy (this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The cash and equity compensation described in this Policy shall be paid or be made, as applicable, automatically and without further action of the Board, to</w:t>
      </w:r>
    </w:p>
    <w:p>
      <w:pPr>
        <w:spacing w:after="0" w:line="211" w:lineRule="auto"/>
        <w:rPr>
          <w:sz w:val="20"/>
          <w:szCs w:val="20"/>
          <w:color w:val="auto"/>
        </w:rPr>
      </w:pPr>
      <w:r>
        <w:rPr>
          <w:rFonts w:ascii="Arial" w:cs="Arial" w:eastAsia="Arial" w:hAnsi="Arial"/>
          <w:sz w:val="19"/>
          <w:szCs w:val="19"/>
          <w:color w:val="auto"/>
        </w:rPr>
        <w:t>each member of the Board who is not an employee of the Company or any parent or subsidiary of the Company (each, a “</w:t>
      </w:r>
      <w:r>
        <w:rPr>
          <w:rFonts w:ascii="Arial" w:cs="Arial" w:eastAsia="Arial" w:hAnsi="Arial"/>
          <w:sz w:val="19"/>
          <w:szCs w:val="19"/>
          <w:b w:val="1"/>
          <w:bCs w:val="1"/>
          <w:i w:val="1"/>
          <w:iCs w:val="1"/>
          <w:color w:val="auto"/>
        </w:rPr>
        <w:t>Non-</w:t>
      </w:r>
    </w:p>
    <w:p>
      <w:pPr>
        <w:spacing w:after="0" w:line="1" w:lineRule="exact"/>
        <w:rPr>
          <w:sz w:val="20"/>
          <w:szCs w:val="20"/>
          <w:color w:val="auto"/>
        </w:rPr>
      </w:pPr>
    </w:p>
    <w:p>
      <w:pPr>
        <w:spacing w:after="0" w:line="203" w:lineRule="auto"/>
        <w:rPr>
          <w:sz w:val="20"/>
          <w:szCs w:val="20"/>
          <w:color w:val="auto"/>
        </w:rPr>
      </w:pPr>
      <w:r>
        <w:rPr>
          <w:rFonts w:ascii="Arial" w:cs="Arial" w:eastAsia="Arial" w:hAnsi="Arial"/>
          <w:sz w:val="19"/>
          <w:szCs w:val="19"/>
          <w:b w:val="1"/>
          <w:bCs w:val="1"/>
          <w:i w:val="1"/>
          <w:iCs w:val="1"/>
          <w:color w:val="auto"/>
        </w:rPr>
        <w:t>Employee Director</w:t>
      </w:r>
      <w:r>
        <w:rPr>
          <w:rFonts w:ascii="Arial" w:cs="Arial" w:eastAsia="Arial" w:hAnsi="Arial"/>
          <w:sz w:val="19"/>
          <w:szCs w:val="19"/>
          <w:color w:val="auto"/>
        </w:rPr>
        <w:t>”) unless such Non-Employee Director declines the receipt of such cash or equity compensation by written notice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Company. This Policy shall apply as of the Effective Date reflected and shall remain in effect until it is revised or rescinded by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further action of the Board. This Policy may be amended, modified or terminated by the Board at any time in its sole discretion.</w:t>
      </w:r>
    </w:p>
    <w:p>
      <w:pPr>
        <w:spacing w:after="0" w:line="32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1. Cash Compensation</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Annual Retainers</w:t>
      </w:r>
      <w:r>
        <w:rPr>
          <w:rFonts w:ascii="Arial" w:cs="Arial" w:eastAsia="Arial" w:hAnsi="Arial"/>
          <w:sz w:val="17"/>
          <w:szCs w:val="17"/>
          <w:color w:val="auto"/>
        </w:rPr>
        <w:t>. Each Non-Employee Director shall receive an annual retainer as follows and where applicable:</w:t>
      </w:r>
    </w:p>
    <w:p>
      <w:pPr>
        <w:spacing w:after="0" w:line="61" w:lineRule="exact"/>
        <w:rPr>
          <w:sz w:val="20"/>
          <w:szCs w:val="20"/>
          <w:color w:val="auto"/>
        </w:rPr>
      </w:pPr>
    </w:p>
    <w:p>
      <w:pPr>
        <w:ind w:left="1660" w:hanging="525"/>
        <w:spacing w:after="0"/>
        <w:tabs>
          <w:tab w:leader="none" w:pos="1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$60,000 for service on the Board;</w:t>
      </w:r>
    </w:p>
    <w:p>
      <w:pPr>
        <w:spacing w:after="0" w:line="67" w:lineRule="exact"/>
        <w:rPr>
          <w:rFonts w:ascii="Arial" w:cs="Arial" w:eastAsia="Arial" w:hAnsi="Arial"/>
          <w:sz w:val="17"/>
          <w:szCs w:val="17"/>
          <w:color w:val="auto"/>
        </w:rPr>
      </w:pPr>
    </w:p>
    <w:p>
      <w:pPr>
        <w:ind w:left="1660" w:hanging="525"/>
        <w:spacing w:after="0"/>
        <w:tabs>
          <w:tab w:leader="none" w:pos="1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$75,000 for service as the </w:t>
      </w:r>
      <w:r>
        <w:rPr>
          <w:rFonts w:ascii="Arial" w:cs="Arial" w:eastAsia="Arial" w:hAnsi="Arial"/>
          <w:sz w:val="17"/>
          <w:szCs w:val="17"/>
          <w:i w:val="1"/>
          <w:iCs w:val="1"/>
          <w:color w:val="auto"/>
        </w:rPr>
        <w:t>Lead Independent Director</w:t>
      </w:r>
      <w:r>
        <w:rPr>
          <w:rFonts w:ascii="Arial" w:cs="Arial" w:eastAsia="Arial" w:hAnsi="Arial"/>
          <w:sz w:val="17"/>
          <w:szCs w:val="17"/>
          <w:color w:val="auto"/>
        </w:rPr>
        <w:t xml:space="preserve"> on the Board; or</w:t>
      </w:r>
    </w:p>
    <w:p>
      <w:pPr>
        <w:spacing w:after="0" w:line="92" w:lineRule="exact"/>
        <w:rPr>
          <w:rFonts w:ascii="Arial" w:cs="Arial" w:eastAsia="Arial" w:hAnsi="Arial"/>
          <w:sz w:val="17"/>
          <w:szCs w:val="17"/>
          <w:color w:val="auto"/>
        </w:rPr>
      </w:pPr>
    </w:p>
    <w:p>
      <w:pPr>
        <w:ind w:left="1660" w:hanging="525"/>
        <w:spacing w:after="0"/>
        <w:tabs>
          <w:tab w:leader="none" w:pos="1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$90,000 for service as the Non-Employee Chairperson on the Board.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Additional Annual Retainers</w:t>
      </w:r>
      <w:r>
        <w:rPr>
          <w:rFonts w:ascii="Arial" w:cs="Arial" w:eastAsia="Arial" w:hAnsi="Arial"/>
          <w:sz w:val="17"/>
          <w:szCs w:val="17"/>
          <w:color w:val="auto"/>
        </w:rPr>
        <w:t>. In addition, a Non-Employee Director shall receive the following annual retainers:</w:t>
      </w:r>
    </w:p>
    <w:p>
      <w:pPr>
        <w:spacing w:after="0" w:line="79" w:lineRule="exact"/>
        <w:rPr>
          <w:sz w:val="20"/>
          <w:szCs w:val="20"/>
          <w:color w:val="auto"/>
        </w:rPr>
      </w:pPr>
    </w:p>
    <w:p>
      <w:pPr>
        <w:jc w:val="both"/>
        <w:ind w:left="1680" w:right="20" w:hanging="304"/>
        <w:spacing w:after="0" w:line="230" w:lineRule="auto"/>
        <w:tabs>
          <w:tab w:leader="none" w:pos="167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A Non-Employee Director serving as Chairperson of the Audit Committee shall receive an additional annual retainer of $20,000 for such service. A Non-Employee Director serving as a member of the Audit Committee (other than the Chairperson of the Audit Committee) shall receive an additional annual retainer of $9,000 for such service.</w:t>
      </w:r>
    </w:p>
    <w:p>
      <w:pPr>
        <w:spacing w:after="0" w:line="52" w:lineRule="exact"/>
        <w:rPr>
          <w:rFonts w:ascii="Arial" w:cs="Arial" w:eastAsia="Arial" w:hAnsi="Arial"/>
          <w:sz w:val="17"/>
          <w:szCs w:val="17"/>
          <w:color w:val="auto"/>
        </w:rPr>
      </w:pPr>
    </w:p>
    <w:p>
      <w:pPr>
        <w:jc w:val="both"/>
        <w:ind w:left="1680" w:hanging="304"/>
        <w:spacing w:after="0" w:line="223" w:lineRule="auto"/>
        <w:tabs>
          <w:tab w:leader="none" w:pos="167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A Non-Employee Director serving as Chairperson of the Compensation Committee shall receive an additional annual retainer of $15,000 for such service. A Non-Employee Director serving as a member of the Compensation Committee (other than the Chairperson of the Compensation Committee) shall receive an additional annual retainer of $6,000 for such service.</w:t>
      </w:r>
    </w:p>
    <w:p>
      <w:pPr>
        <w:spacing w:after="0" w:line="54" w:lineRule="exact"/>
        <w:rPr>
          <w:rFonts w:ascii="Arial" w:cs="Arial" w:eastAsia="Arial" w:hAnsi="Arial"/>
          <w:sz w:val="17"/>
          <w:szCs w:val="17"/>
          <w:color w:val="auto"/>
        </w:rPr>
      </w:pPr>
    </w:p>
    <w:p>
      <w:pPr>
        <w:jc w:val="both"/>
        <w:ind w:left="1680" w:right="20" w:hanging="304"/>
        <w:spacing w:after="0" w:line="223" w:lineRule="auto"/>
        <w:tabs>
          <w:tab w:leader="none" w:pos="167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Nominating and Corporate Governance Committee</w:t>
      </w:r>
      <w:r>
        <w:rPr>
          <w:rFonts w:ascii="Arial" w:cs="Arial" w:eastAsia="Arial" w:hAnsi="Arial"/>
          <w:sz w:val="17"/>
          <w:szCs w:val="17"/>
          <w:color w:val="auto"/>
        </w:rPr>
        <w:t>. A Non-Employee Director serving as Chairperson of the Nominating and Corporate Governance Committee shall receive an additional annual retainer of $12,000 for such service. A Non-Employee Director serving as a member of the Nominating and Corporate Governance Committee (other than the Chairperson of the Nominating and Corporate Governance Committee) shall receive an additional annual retainer of $5,000 for such service.</w:t>
      </w:r>
    </w:p>
    <w:p>
      <w:pPr>
        <w:spacing w:after="0" w:line="113" w:lineRule="exact"/>
        <w:rPr>
          <w:sz w:val="20"/>
          <w:szCs w:val="20"/>
          <w:color w:val="auto"/>
        </w:rPr>
      </w:pPr>
    </w:p>
    <w:p>
      <w:pPr>
        <w:jc w:val="both"/>
        <w:ind w:left="960" w:right="20" w:hanging="303"/>
        <w:spacing w:after="0" w:line="216"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i w:val="1"/>
          <w:iCs w:val="1"/>
          <w:color w:val="auto"/>
        </w:rPr>
        <w:t>Payment of Retainers</w:t>
      </w:r>
      <w:r>
        <w:rPr>
          <w:rFonts w:ascii="Arial" w:cs="Arial" w:eastAsia="Arial" w:hAnsi="Arial"/>
          <w:sz w:val="17"/>
          <w:szCs w:val="17"/>
          <w:color w:val="auto"/>
        </w:rPr>
        <w:t>. The annual retainers described in Sections 1.1 and 1.2 shall be earned on a quarterly basis based on a calendar quarter and shall be paid by the Company in arrears on a quarterly prorated portion basis (where applicable) not later than the fifteenth day following the end of each calendar quarter. In the event a Non-Employee Director does not serve as a Non-Employee</w:t>
      </w:r>
    </w:p>
    <w:p>
      <w:pPr>
        <w:spacing w:after="0" w:line="2" w:lineRule="exact"/>
        <w:rPr>
          <w:sz w:val="20"/>
          <w:szCs w:val="20"/>
          <w:color w:val="auto"/>
        </w:rPr>
      </w:pPr>
    </w:p>
    <w:p>
      <w:pPr>
        <w:jc w:val="both"/>
        <w:ind w:left="960" w:right="20"/>
        <w:spacing w:after="0" w:line="209" w:lineRule="auto"/>
        <w:rPr>
          <w:sz w:val="20"/>
          <w:szCs w:val="20"/>
          <w:color w:val="auto"/>
        </w:rPr>
      </w:pPr>
      <w:r>
        <w:rPr>
          <w:rFonts w:ascii="Arial" w:cs="Arial" w:eastAsia="Arial" w:hAnsi="Arial"/>
          <w:sz w:val="17"/>
          <w:szCs w:val="17"/>
          <w:color w:val="auto"/>
        </w:rPr>
        <w:t>Director, or in the applicable positions described in Section 1.1 and 1.2, for an entire calendar quarter, such Non-Employee Director shall receive a prorated portion of the annual retainer(s) otherwise payable to such Non-Employee Director for such calendar quarter pursuant to Sections 1.1 and 1.2, with such prorated portion determined by multiplying such otherwise payable retainer(s) by a fraction,</w:t>
      </w:r>
    </w:p>
    <w:p>
      <w:pPr>
        <w:spacing w:after="0" w:line="2" w:lineRule="exact"/>
        <w:rPr>
          <w:sz w:val="20"/>
          <w:szCs w:val="20"/>
          <w:color w:val="auto"/>
        </w:rPr>
      </w:pPr>
    </w:p>
    <w:p>
      <w:pPr>
        <w:jc w:val="both"/>
        <w:ind w:left="960" w:right="20"/>
        <w:spacing w:after="0" w:line="219" w:lineRule="auto"/>
        <w:rPr>
          <w:sz w:val="20"/>
          <w:szCs w:val="20"/>
          <w:color w:val="auto"/>
        </w:rPr>
      </w:pPr>
      <w:r>
        <w:rPr>
          <w:rFonts w:ascii="Arial" w:cs="Arial" w:eastAsia="Arial" w:hAnsi="Arial"/>
          <w:sz w:val="17"/>
          <w:szCs w:val="17"/>
          <w:color w:val="auto"/>
        </w:rPr>
        <w:t>the numerator of which is the number of days during which the Non-Employee Director serves as a Non-Employee Director or in the applicable positions described in Section 1.1 and 1.2 during the applicable calendar quarter and the denominator of which is the number of days in the applicable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636270</wp:posOffset>
            </wp:positionV>
            <wp:extent cx="7139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CONFIDENTIAL &amp; PROPRIETARY – FOR INTERNAL DISTRIBUTION ONLY</w:t>
      </w:r>
    </w:p>
    <w:p>
      <w:pPr>
        <w:sectPr>
          <w:pgSz w:w="11900" w:h="16838" w:orient="portrait"/>
          <w:cols w:equalWidth="0" w:num="1">
            <w:col w:w="11180"/>
          </w:cols>
          <w:pgMar w:left="360" w:top="170" w:right="359" w:bottom="1440" w:gutter="0" w:footer="0" w:header="0"/>
        </w:sectPr>
      </w:pPr>
    </w:p>
    <w:bookmarkStart w:id="68" w:name="page69"/>
    <w:bookmarkEnd w:id="68"/>
    <w:p>
      <w:pPr>
        <w:ind w:left="7180"/>
        <w:spacing w:after="0"/>
        <w:rPr>
          <w:sz w:val="20"/>
          <w:szCs w:val="20"/>
          <w:color w:val="auto"/>
        </w:rPr>
      </w:pPr>
      <w:r>
        <w:rPr>
          <w:rFonts w:ascii="Arial" w:cs="Arial" w:eastAsia="Arial" w:hAnsi="Arial"/>
          <w:sz w:val="15"/>
          <w:szCs w:val="15"/>
          <w:color w:val="auto"/>
        </w:rPr>
        <w:t>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17780</wp:posOffset>
            </wp:positionV>
            <wp:extent cx="7139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 Equity Compensation</w:t>
      </w:r>
    </w:p>
    <w:p>
      <w:pPr>
        <w:spacing w:after="0" w:line="60" w:lineRule="exact"/>
        <w:rPr>
          <w:sz w:val="20"/>
          <w:szCs w:val="20"/>
          <w:color w:val="auto"/>
        </w:rPr>
      </w:pPr>
    </w:p>
    <w:p>
      <w:pPr>
        <w:jc w:val="right"/>
        <w:ind w:left="660"/>
        <w:spacing w:after="0" w:line="212" w:lineRule="auto"/>
        <w:rPr>
          <w:sz w:val="20"/>
          <w:szCs w:val="20"/>
          <w:color w:val="auto"/>
        </w:rPr>
      </w:pPr>
      <w:r>
        <w:rPr>
          <w:rFonts w:ascii="Arial" w:cs="Arial" w:eastAsia="Arial" w:hAnsi="Arial"/>
          <w:sz w:val="17"/>
          <w:szCs w:val="17"/>
          <w:color w:val="auto"/>
        </w:rPr>
        <w:t>2.1 Non-Employee Directors shall be granted the equity awards described below. The awards described below shall be granted under and shall be subject to the terms and provisions of the Company’s 2021 Incentive Award Plan or any other applicable Company equity</w:t>
      </w:r>
    </w:p>
    <w:p>
      <w:pPr>
        <w:jc w:val="both"/>
        <w:ind w:left="1000"/>
        <w:spacing w:after="0" w:line="209" w:lineRule="auto"/>
        <w:rPr>
          <w:sz w:val="20"/>
          <w:szCs w:val="20"/>
          <w:color w:val="auto"/>
        </w:rPr>
      </w:pPr>
      <w:r>
        <w:rPr>
          <w:rFonts w:ascii="Arial" w:cs="Arial" w:eastAsia="Arial" w:hAnsi="Arial"/>
          <w:sz w:val="17"/>
          <w:szCs w:val="17"/>
          <w:color w:val="auto"/>
        </w:rPr>
        <w:t>incentive plan maintained by the Company (such plan, as may be amended from time to time, the “</w:t>
      </w:r>
      <w:r>
        <w:rPr>
          <w:rFonts w:ascii="Arial" w:cs="Arial" w:eastAsia="Arial" w:hAnsi="Arial"/>
          <w:sz w:val="17"/>
          <w:szCs w:val="17"/>
          <w:b w:val="1"/>
          <w:bCs w:val="1"/>
          <w:i w:val="1"/>
          <w:iCs w:val="1"/>
          <w:color w:val="auto"/>
        </w:rPr>
        <w:t>Equity Plan</w:t>
      </w:r>
      <w:r>
        <w:rPr>
          <w:rFonts w:ascii="Arial" w:cs="Arial" w:eastAsia="Arial" w:hAnsi="Arial"/>
          <w:sz w:val="17"/>
          <w:szCs w:val="17"/>
          <w:color w:val="auto"/>
        </w:rPr>
        <w:t>”) and shall be granted subject to the execution and delivery of award agreements, in substantially the forms previously approved by the Board. All applicable terms of the Equity Plan apply to this Policy as if fully set forth herein, and all equity grants hereunder are subject in all respects to the</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terms of the Equity Plan.</w:t>
      </w:r>
    </w:p>
    <w:p>
      <w:pPr>
        <w:spacing w:after="0" w:line="61" w:lineRule="exact"/>
        <w:rPr>
          <w:sz w:val="20"/>
          <w:szCs w:val="20"/>
          <w:color w:val="auto"/>
        </w:rPr>
      </w:pPr>
    </w:p>
    <w:p>
      <w:pPr>
        <w:jc w:val="both"/>
        <w:ind w:left="1720" w:hanging="313"/>
        <w:spacing w:after="0" w:line="215" w:lineRule="auto"/>
        <w:tabs>
          <w:tab w:leader="none" w:pos="171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Annual Awards</w:t>
      </w:r>
      <w:r>
        <w:rPr>
          <w:rFonts w:ascii="Arial" w:cs="Arial" w:eastAsia="Arial" w:hAnsi="Arial"/>
          <w:sz w:val="17"/>
          <w:szCs w:val="17"/>
          <w:color w:val="auto"/>
        </w:rPr>
        <w:t>. Each Non-Employee Director who (i) serves on the Board as of the date of any annual meeting of the Company’s stockholders (an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after the Effective Date and (ii) will continue to serve as a Non-Employee Director immediately following such Annual Meeting, shall be automatically granted, on the date of such Annual Meeting, an award of restricted stock units that has an aggregate fair value on the date of grant of $125,000, except for any Lead Independent Director and any Non-Employee Board Chairperson whose awards of restricted stock units shall each have an aggregate fair value on the date of grant of $135,000 (as determined in accordance with ASC 718 and subject to adjustment as provided in the Equity Plan). The awards described in this Section 2.1(a) shall be referred to as the “Annual Awards.”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54" w:lineRule="exact"/>
        <w:rPr>
          <w:rFonts w:ascii="Arial" w:cs="Arial" w:eastAsia="Arial" w:hAnsi="Arial"/>
          <w:sz w:val="17"/>
          <w:szCs w:val="17"/>
          <w:color w:val="auto"/>
        </w:rPr>
      </w:pPr>
    </w:p>
    <w:p>
      <w:pPr>
        <w:jc w:val="both"/>
        <w:ind w:left="1720" w:hanging="313"/>
        <w:spacing w:after="0" w:line="216" w:lineRule="auto"/>
        <w:tabs>
          <w:tab w:leader="none" w:pos="171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Initial Awards</w:t>
      </w:r>
      <w:r>
        <w:rPr>
          <w:rFonts w:ascii="Arial" w:cs="Arial" w:eastAsia="Arial" w:hAnsi="Arial"/>
          <w:sz w:val="17"/>
          <w:szCs w:val="17"/>
          <w:color w:val="auto"/>
        </w:rPr>
        <w:t>. Except as otherwise determined by the Board, each Non-Employee Director who is initially elected or appointed to the Board after the Effective Date on any date other than the date of an Annual Meeting shall be automatically granted, on the date of such Non-Employee Director’s initial election or appointment (such Non-Employee Director’s “Start Date”), an award of restricted stock units that has an aggregate fair value on such Non-Employee Director’s Start Date (as determined in accordance with ASC 718) equal to the product of (i) $125,000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The awards described in this Section 2.1(b) shall be referred to as “Initial Awards.” For the avoidance of doubt, no Non-Employee Director shall be granted more than one Initial Award.</w:t>
      </w:r>
    </w:p>
    <w:p>
      <w:pPr>
        <w:spacing w:after="0" w:line="55" w:lineRule="exact"/>
        <w:rPr>
          <w:rFonts w:ascii="Arial" w:cs="Arial" w:eastAsia="Arial" w:hAnsi="Arial"/>
          <w:sz w:val="17"/>
          <w:szCs w:val="17"/>
          <w:color w:val="auto"/>
        </w:rPr>
      </w:pPr>
    </w:p>
    <w:p>
      <w:pPr>
        <w:jc w:val="both"/>
        <w:ind w:left="1720" w:hanging="313"/>
        <w:spacing w:after="0" w:line="222" w:lineRule="auto"/>
        <w:tabs>
          <w:tab w:leader="none" w:pos="171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of Employee Directors</w:t>
      </w:r>
      <w:r>
        <w:rPr>
          <w:rFonts w:ascii="Arial" w:cs="Arial" w:eastAsia="Arial" w:hAnsi="Arial"/>
          <w:sz w:val="17"/>
          <w:szCs w:val="17"/>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2.1(b) above, but to the extent that they are otherwise eligible, will be eligible to receive, after termination from employment with the Company and any parent or subsidiary of the Company, Annual Awards as described in Section 2.1(a) above.</w:t>
      </w:r>
    </w:p>
    <w:p>
      <w:pPr>
        <w:spacing w:after="0" w:line="56" w:lineRule="exact"/>
        <w:rPr>
          <w:rFonts w:ascii="Arial" w:cs="Arial" w:eastAsia="Arial" w:hAnsi="Arial"/>
          <w:sz w:val="17"/>
          <w:szCs w:val="17"/>
          <w:color w:val="auto"/>
        </w:rPr>
      </w:pPr>
    </w:p>
    <w:p>
      <w:pPr>
        <w:jc w:val="both"/>
        <w:ind w:left="1720" w:hanging="313"/>
        <w:spacing w:after="0" w:line="217" w:lineRule="auto"/>
        <w:tabs>
          <w:tab w:leader="none" w:pos="171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Vesting of Awards Granted to Non-Employee Directors</w:t>
      </w:r>
      <w:r>
        <w:rPr>
          <w:rFonts w:ascii="Arial" w:cs="Arial" w:eastAsia="Arial" w:hAnsi="Arial"/>
          <w:sz w:val="17"/>
          <w:szCs w:val="17"/>
          <w:color w:val="auto"/>
        </w:rPr>
        <w:t>. Each Annual Award and Initial Award shall vest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Annual Award or Initial Award that is unvested at the time of a Non-Employee Director’s termination of service on the Board shall become vested thereafter. All of a Non-Employee Director’s Annual Awards and Initial Awards shall vest in full immediately prior to the occurrence of a Change in Control (as defined in the Equity Plan), to the extent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629285</wp:posOffset>
            </wp:positionV>
            <wp:extent cx="7139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CONFIDENTIAL &amp; PROPRIETARY – FOR INTERNAL DISTRIBUTION ONLY</w:t>
      </w:r>
    </w:p>
    <w:p>
      <w:pPr>
        <w:sectPr>
          <w:pgSz w:w="11900" w:h="16838" w:orient="portrait"/>
          <w:cols w:equalWidth="0" w:num="1">
            <w:col w:w="11140"/>
          </w:cols>
          <w:pgMar w:left="360" w:top="170" w:right="399" w:bottom="1440" w:gutter="0" w:footer="0" w:header="0"/>
        </w:sectPr>
      </w:pPr>
    </w:p>
    <w:bookmarkStart w:id="69" w:name="page70"/>
    <w:bookmarkEnd w:id="69"/>
    <w:p>
      <w:pPr>
        <w:ind w:left="7180"/>
        <w:spacing w:after="0"/>
        <w:rPr>
          <w:sz w:val="20"/>
          <w:szCs w:val="20"/>
          <w:color w:val="auto"/>
        </w:rPr>
      </w:pPr>
      <w:r>
        <w:rPr>
          <w:rFonts w:ascii="Arial" w:cs="Arial" w:eastAsia="Arial" w:hAnsi="Arial"/>
          <w:sz w:val="15"/>
          <w:szCs w:val="15"/>
          <w:color w:val="auto"/>
        </w:rPr>
        <w:t>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17780</wp:posOffset>
            </wp:positionV>
            <wp:extent cx="7139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3. Expenses</w:t>
      </w:r>
    </w:p>
    <w:p>
      <w:pPr>
        <w:spacing w:after="0" w:line="60" w:lineRule="exact"/>
        <w:rPr>
          <w:sz w:val="20"/>
          <w:szCs w:val="20"/>
          <w:color w:val="auto"/>
        </w:rPr>
      </w:pPr>
    </w:p>
    <w:p>
      <w:pPr>
        <w:jc w:val="both"/>
        <w:ind w:left="320"/>
        <w:spacing w:after="0" w:line="212" w:lineRule="auto"/>
        <w:rPr>
          <w:sz w:val="20"/>
          <w:szCs w:val="20"/>
          <w:color w:val="auto"/>
        </w:rPr>
      </w:pPr>
      <w:r>
        <w:rPr>
          <w:rFonts w:ascii="Arial" w:cs="Arial" w:eastAsia="Arial" w:hAnsi="Arial"/>
          <w:sz w:val="17"/>
          <w:szCs w:val="17"/>
          <w:color w:val="auto"/>
        </w:rPr>
        <w:t>The Company will reimburse each Non-Employee Director for ordinary, necessary, and reasonable out-of-pocket travel expenses to cover in-person attendance at and participation in Board meetings and meetings of any committee of the Board; provided, that the Non-Employee</w:t>
      </w:r>
    </w:p>
    <w:p>
      <w:pPr>
        <w:jc w:val="both"/>
        <w:ind w:left="320" w:right="20"/>
        <w:spacing w:after="0" w:line="209" w:lineRule="auto"/>
        <w:rPr>
          <w:sz w:val="20"/>
          <w:szCs w:val="20"/>
          <w:color w:val="auto"/>
        </w:rPr>
      </w:pPr>
      <w:r>
        <w:rPr>
          <w:rFonts w:ascii="Arial" w:cs="Arial" w:eastAsia="Arial" w:hAnsi="Arial"/>
          <w:sz w:val="17"/>
          <w:szCs w:val="17"/>
          <w:color w:val="auto"/>
        </w:rPr>
        <w:t>Director timely submits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w:t>
      </w:r>
    </w:p>
    <w:p>
      <w:pPr>
        <w:spacing w:after="0" w:line="2" w:lineRule="exact"/>
        <w:rPr>
          <w:sz w:val="20"/>
          <w:szCs w:val="20"/>
          <w:color w:val="auto"/>
        </w:rPr>
      </w:pPr>
    </w:p>
    <w:p>
      <w:pPr>
        <w:jc w:val="both"/>
        <w:ind w:left="320"/>
        <w:spacing w:after="0" w:line="209" w:lineRule="auto"/>
        <w:rPr>
          <w:sz w:val="20"/>
          <w:szCs w:val="20"/>
          <w:color w:val="auto"/>
        </w:rPr>
      </w:pPr>
      <w:r>
        <w:rPr>
          <w:rFonts w:ascii="Arial" w:cs="Arial" w:eastAsia="Arial" w:hAnsi="Arial"/>
          <w:sz w:val="17"/>
          <w:szCs w:val="17"/>
          <w:color w:val="auto"/>
        </w:rPr>
        <w:t>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 immediately follows the taxable year in which the expense was incurred; and (iii) the</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right to any reimbursement may not be subject to liquidation or exchange for another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697865</wp:posOffset>
            </wp:positionV>
            <wp:extent cx="7139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CONFIDENTIAL &amp; PROPRIETARY – FOR INTERNAL DISTRIBUTION ONLY</w:t>
      </w:r>
    </w:p>
    <w:p>
      <w:pPr>
        <w:sectPr>
          <w:pgSz w:w="11900" w:h="16838" w:orient="portrait"/>
          <w:cols w:equalWidth="0" w:num="1">
            <w:col w:w="11180"/>
          </w:cols>
          <w:pgMar w:left="360" w:top="170"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31.1</w:t>
      </w:r>
    </w:p>
    <w:p>
      <w:pPr>
        <w:spacing w:after="0" w:line="163"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Certification by the Chief Executive Officer pursuant to</w:t>
      </w:r>
    </w:p>
    <w:p>
      <w:pPr>
        <w:spacing w:after="0" w:line="25"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I, Porter Stansberry, certify that:</w:t>
      </w:r>
    </w:p>
    <w:p>
      <w:pPr>
        <w:spacing w:after="0" w:line="163" w:lineRule="exact"/>
        <w:rPr>
          <w:sz w:val="20"/>
          <w:szCs w:val="20"/>
          <w:color w:val="auto"/>
        </w:rPr>
      </w:pPr>
    </w:p>
    <w:p>
      <w:pPr>
        <w:ind w:left="620" w:hanging="310"/>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MarketWise, Inc. (the “registrant”) for the fiscal quarter ended September 30, 2023;</w:t>
      </w:r>
    </w:p>
    <w:p>
      <w:pPr>
        <w:spacing w:after="0" w:line="163" w:lineRule="exact"/>
        <w:rPr>
          <w:rFonts w:ascii="Arial" w:cs="Arial" w:eastAsia="Arial" w:hAnsi="Arial"/>
          <w:sz w:val="17"/>
          <w:szCs w:val="17"/>
          <w:color w:val="auto"/>
        </w:rPr>
      </w:pPr>
    </w:p>
    <w:p>
      <w:pPr>
        <w:ind w:left="620" w:right="220" w:hanging="310"/>
        <w:spacing w:after="0" w:line="345"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5"/>
          <w:szCs w:val="15"/>
          <w:color w:val="auto"/>
        </w:rPr>
      </w:pPr>
    </w:p>
    <w:p>
      <w:pPr>
        <w:ind w:left="620" w:right="20" w:hanging="310"/>
        <w:spacing w:after="0" w:line="276"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7"/>
          <w:szCs w:val="17"/>
          <w:color w:val="auto"/>
        </w:rPr>
      </w:pPr>
    </w:p>
    <w:p>
      <w:pPr>
        <w:ind w:left="620" w:hanging="310"/>
        <w:spacing w:after="0" w:line="264"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340" w:hanging="316"/>
        <w:spacing w:after="0" w:line="264" w:lineRule="auto"/>
        <w:tabs>
          <w:tab w:leader="none" w:pos="123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40" w:hanging="316"/>
        <w:spacing w:after="0" w:line="264" w:lineRule="auto"/>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jc w:val="both"/>
        <w:ind w:left="1240" w:right="780" w:hanging="316"/>
        <w:spacing w:after="0" w:line="345" w:lineRule="auto"/>
        <w:tabs>
          <w:tab w:leader="none" w:pos="123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5"/>
          <w:szCs w:val="15"/>
          <w:color w:val="auto"/>
        </w:rPr>
      </w:pPr>
    </w:p>
    <w:p>
      <w:pPr>
        <w:ind w:left="1240" w:right="60" w:hanging="316"/>
        <w:spacing w:after="0" w:line="264" w:lineRule="auto"/>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600" w:hanging="310"/>
        <w:spacing w:after="0" w:line="309"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240" w:right="240" w:hanging="316"/>
        <w:spacing w:after="0" w:line="276" w:lineRule="auto"/>
        <w:tabs>
          <w:tab w:leader="none" w:pos="123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7"/>
          <w:szCs w:val="17"/>
          <w:color w:val="auto"/>
        </w:rPr>
      </w:pPr>
    </w:p>
    <w:p>
      <w:pPr>
        <w:ind w:left="1240" w:right="200" w:hanging="316"/>
        <w:spacing w:after="0" w:line="276" w:lineRule="auto"/>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800" w:type="dxa"/>
            <w:vAlign w:val="bottom"/>
          </w:tcPr>
          <w:p>
            <w:pPr>
              <w:spacing w:after="0"/>
              <w:rPr>
                <w:sz w:val="21"/>
                <w:szCs w:val="21"/>
                <w:color w:val="auto"/>
              </w:rPr>
            </w:pPr>
          </w:p>
        </w:tc>
        <w:tc>
          <w:tcPr>
            <w:tcW w:w="7400" w:type="dxa"/>
            <w:vAlign w:val="bottom"/>
            <w:gridSpan w:val="2"/>
          </w:tcPr>
          <w:p>
            <w:pPr>
              <w:ind w:left="2120"/>
              <w:spacing w:after="0"/>
              <w:rPr>
                <w:sz w:val="20"/>
                <w:szCs w:val="20"/>
                <w:color w:val="auto"/>
              </w:rPr>
            </w:pPr>
            <w:r>
              <w:rPr>
                <w:rFonts w:ascii="Arial" w:cs="Arial" w:eastAsia="Arial" w:hAnsi="Arial"/>
                <w:sz w:val="19"/>
                <w:szCs w:val="19"/>
                <w:b w:val="1"/>
                <w:bCs w:val="1"/>
                <w:color w:val="auto"/>
              </w:rPr>
              <w:t>MarketWise, Inc.</w:t>
            </w:r>
          </w:p>
        </w:tc>
        <w:tc>
          <w:tcPr>
            <w:tcW w:w="0" w:type="dxa"/>
            <w:vAlign w:val="bottom"/>
          </w:tcPr>
          <w:p>
            <w:pPr>
              <w:spacing w:after="0"/>
              <w:rPr>
                <w:sz w:val="1"/>
                <w:szCs w:val="1"/>
                <w:color w:val="auto"/>
              </w:rPr>
            </w:pPr>
          </w:p>
        </w:tc>
      </w:tr>
      <w:tr>
        <w:trPr>
          <w:trHeight w:val="493"/>
        </w:trPr>
        <w:tc>
          <w:tcPr>
            <w:tcW w:w="3800" w:type="dxa"/>
            <w:vAlign w:val="bottom"/>
          </w:tcPr>
          <w:p>
            <w:pPr>
              <w:spacing w:after="0"/>
              <w:rPr>
                <w:sz w:val="20"/>
                <w:szCs w:val="20"/>
                <w:color w:val="auto"/>
              </w:rPr>
            </w:pPr>
            <w:r>
              <w:rPr>
                <w:rFonts w:ascii="Arial" w:cs="Arial" w:eastAsia="Arial" w:hAnsi="Arial"/>
                <w:sz w:val="17"/>
                <w:szCs w:val="17"/>
                <w:color w:val="auto"/>
              </w:rPr>
              <w:t>Date: November 9, 2023</w:t>
            </w:r>
          </w:p>
        </w:tc>
        <w:tc>
          <w:tcPr>
            <w:tcW w:w="2940" w:type="dxa"/>
            <w:vAlign w:val="bottom"/>
          </w:tcPr>
          <w:p>
            <w:pPr>
              <w:ind w:left="2120"/>
              <w:spacing w:after="0"/>
              <w:rPr>
                <w:sz w:val="20"/>
                <w:szCs w:val="20"/>
                <w:color w:val="auto"/>
              </w:rPr>
            </w:pPr>
            <w:r>
              <w:rPr>
                <w:rFonts w:ascii="Arial" w:cs="Arial" w:eastAsia="Arial" w:hAnsi="Arial"/>
                <w:sz w:val="17"/>
                <w:szCs w:val="17"/>
                <w:color w:val="auto"/>
              </w:rPr>
              <w:t>By:</w:t>
            </w:r>
          </w:p>
        </w:tc>
        <w:tc>
          <w:tcPr>
            <w:tcW w:w="4460" w:type="dxa"/>
            <w:vAlign w:val="bottom"/>
          </w:tcPr>
          <w:p>
            <w:pPr>
              <w:ind w:left="40"/>
              <w:spacing w:after="0"/>
              <w:rPr>
                <w:sz w:val="20"/>
                <w:szCs w:val="20"/>
                <w:color w:val="auto"/>
              </w:rPr>
            </w:pPr>
            <w:r>
              <w:rPr>
                <w:rFonts w:ascii="Arial" w:cs="Arial" w:eastAsia="Arial" w:hAnsi="Arial"/>
                <w:sz w:val="17"/>
                <w:szCs w:val="17"/>
                <w:color w:val="auto"/>
              </w:rPr>
              <w:t>/s/ Porter Stansberry</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2940" w:type="dxa"/>
            <w:vAlign w:val="bottom"/>
            <w:vMerge w:val="restart"/>
          </w:tcPr>
          <w:p>
            <w:pPr>
              <w:ind w:left="2120"/>
              <w:spacing w:after="0"/>
              <w:rPr>
                <w:sz w:val="20"/>
                <w:szCs w:val="20"/>
                <w:color w:val="auto"/>
              </w:rPr>
            </w:pPr>
            <w:r>
              <w:rPr>
                <w:rFonts w:ascii="Arial" w:cs="Arial" w:eastAsia="Arial" w:hAnsi="Arial"/>
                <w:sz w:val="17"/>
                <w:szCs w:val="17"/>
                <w:color w:val="auto"/>
              </w:rPr>
              <w:t>Name:</w:t>
            </w:r>
          </w:p>
        </w:tc>
        <w:tc>
          <w:tcPr>
            <w:tcW w:w="4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460" w:type="dxa"/>
            <w:vAlign w:val="bottom"/>
          </w:tcPr>
          <w:p>
            <w:pPr>
              <w:ind w:left="40"/>
              <w:spacing w:after="0"/>
              <w:rPr>
                <w:sz w:val="20"/>
                <w:szCs w:val="20"/>
                <w:color w:val="auto"/>
              </w:rPr>
            </w:pPr>
            <w:r>
              <w:rPr>
                <w:rFonts w:ascii="Arial" w:cs="Arial" w:eastAsia="Arial" w:hAnsi="Arial"/>
                <w:sz w:val="17"/>
                <w:szCs w:val="17"/>
                <w:color w:val="auto"/>
              </w:rPr>
              <w:t>Porter Stansberry</w:t>
            </w:r>
          </w:p>
        </w:tc>
        <w:tc>
          <w:tcPr>
            <w:tcW w:w="0" w:type="dxa"/>
            <w:vAlign w:val="bottom"/>
          </w:tcPr>
          <w:p>
            <w:pPr>
              <w:spacing w:after="0"/>
              <w:rPr>
                <w:sz w:val="1"/>
                <w:szCs w:val="1"/>
                <w:color w:val="auto"/>
              </w:rPr>
            </w:pPr>
          </w:p>
        </w:tc>
      </w:tr>
      <w:tr>
        <w:trPr>
          <w:trHeight w:val="410"/>
        </w:trPr>
        <w:tc>
          <w:tcPr>
            <w:tcW w:w="3800" w:type="dxa"/>
            <w:vAlign w:val="bottom"/>
          </w:tcPr>
          <w:p>
            <w:pPr>
              <w:spacing w:after="0"/>
              <w:rPr>
                <w:sz w:val="24"/>
                <w:szCs w:val="24"/>
                <w:color w:val="auto"/>
              </w:rPr>
            </w:pPr>
          </w:p>
        </w:tc>
        <w:tc>
          <w:tcPr>
            <w:tcW w:w="2940" w:type="dxa"/>
            <w:vAlign w:val="bottom"/>
          </w:tcPr>
          <w:p>
            <w:pPr>
              <w:ind w:left="2120"/>
              <w:spacing w:after="0"/>
              <w:rPr>
                <w:sz w:val="20"/>
                <w:szCs w:val="20"/>
                <w:color w:val="auto"/>
              </w:rPr>
            </w:pPr>
            <w:r>
              <w:rPr>
                <w:rFonts w:ascii="Arial" w:cs="Arial" w:eastAsia="Arial" w:hAnsi="Arial"/>
                <w:sz w:val="17"/>
                <w:szCs w:val="17"/>
                <w:color w:val="auto"/>
              </w:rPr>
              <w:t>Title:</w:t>
            </w:r>
          </w:p>
        </w:tc>
        <w:tc>
          <w:tcPr>
            <w:tcW w:w="4460" w:type="dxa"/>
            <w:vAlign w:val="bottom"/>
          </w:tcPr>
          <w:p>
            <w:pPr>
              <w:ind w:left="40"/>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31.2</w:t>
      </w:r>
    </w:p>
    <w:p>
      <w:pPr>
        <w:spacing w:after="0" w:line="163"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Certification by the Chief Financial Officer pursuant to</w:t>
      </w:r>
    </w:p>
    <w:p>
      <w:pPr>
        <w:spacing w:after="0" w:line="25"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I, Erik Mickels, certify that:</w:t>
      </w:r>
    </w:p>
    <w:p>
      <w:pPr>
        <w:spacing w:after="0" w:line="163" w:lineRule="exact"/>
        <w:rPr>
          <w:sz w:val="20"/>
          <w:szCs w:val="20"/>
          <w:color w:val="auto"/>
        </w:rPr>
      </w:pPr>
    </w:p>
    <w:p>
      <w:pPr>
        <w:ind w:left="620" w:hanging="31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MarketWise, Inc. (the “registrant”) for the fiscal quarter ended September 30, 2023;</w:t>
      </w:r>
    </w:p>
    <w:p>
      <w:pPr>
        <w:spacing w:after="0" w:line="163" w:lineRule="exact"/>
        <w:rPr>
          <w:rFonts w:ascii="Arial" w:cs="Arial" w:eastAsia="Arial" w:hAnsi="Arial"/>
          <w:sz w:val="17"/>
          <w:szCs w:val="17"/>
          <w:color w:val="auto"/>
        </w:rPr>
      </w:pPr>
    </w:p>
    <w:p>
      <w:pPr>
        <w:ind w:left="620" w:right="220" w:hanging="310"/>
        <w:spacing w:after="0" w:line="345"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5"/>
          <w:szCs w:val="15"/>
          <w:color w:val="auto"/>
        </w:rPr>
      </w:pPr>
    </w:p>
    <w:p>
      <w:pPr>
        <w:ind w:left="620" w:right="20" w:hanging="310"/>
        <w:spacing w:after="0" w:line="276"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7"/>
          <w:szCs w:val="17"/>
          <w:color w:val="auto"/>
        </w:rPr>
      </w:pPr>
    </w:p>
    <w:p>
      <w:pPr>
        <w:ind w:left="620" w:hanging="310"/>
        <w:spacing w:after="0" w:line="264"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340" w:hanging="316"/>
        <w:spacing w:after="0" w:line="264" w:lineRule="auto"/>
        <w:tabs>
          <w:tab w:leader="none" w:pos="123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40" w:hanging="316"/>
        <w:spacing w:after="0" w:line="264" w:lineRule="auto"/>
        <w:tabs>
          <w:tab w:leader="none" w:pos="12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jc w:val="both"/>
        <w:ind w:left="1240" w:right="780" w:hanging="316"/>
        <w:spacing w:after="0" w:line="345" w:lineRule="auto"/>
        <w:tabs>
          <w:tab w:leader="none" w:pos="1230"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5"/>
          <w:szCs w:val="15"/>
          <w:color w:val="auto"/>
        </w:rPr>
      </w:pPr>
    </w:p>
    <w:p>
      <w:pPr>
        <w:ind w:left="1240" w:right="60" w:hanging="316"/>
        <w:spacing w:after="0" w:line="264" w:lineRule="auto"/>
        <w:tabs>
          <w:tab w:leader="none" w:pos="12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600" w:hanging="310"/>
        <w:spacing w:after="0" w:line="309" w:lineRule="auto"/>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240" w:right="240" w:hanging="316"/>
        <w:spacing w:after="0" w:line="276" w:lineRule="auto"/>
        <w:tabs>
          <w:tab w:leader="none" w:pos="123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7"/>
          <w:szCs w:val="17"/>
          <w:color w:val="auto"/>
        </w:rPr>
      </w:pPr>
    </w:p>
    <w:p>
      <w:pPr>
        <w:ind w:left="1240" w:right="200" w:hanging="316"/>
        <w:spacing w:after="0" w:line="276" w:lineRule="auto"/>
        <w:tabs>
          <w:tab w:leader="none" w:pos="12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800" w:type="dxa"/>
            <w:vAlign w:val="bottom"/>
          </w:tcPr>
          <w:p>
            <w:pPr>
              <w:spacing w:after="0"/>
              <w:rPr>
                <w:sz w:val="21"/>
                <w:szCs w:val="21"/>
                <w:color w:val="auto"/>
              </w:rPr>
            </w:pPr>
          </w:p>
        </w:tc>
        <w:tc>
          <w:tcPr>
            <w:tcW w:w="7400" w:type="dxa"/>
            <w:vAlign w:val="bottom"/>
            <w:gridSpan w:val="2"/>
          </w:tcPr>
          <w:p>
            <w:pPr>
              <w:ind w:left="2120"/>
              <w:spacing w:after="0"/>
              <w:rPr>
                <w:sz w:val="20"/>
                <w:szCs w:val="20"/>
                <w:color w:val="auto"/>
              </w:rPr>
            </w:pPr>
            <w:r>
              <w:rPr>
                <w:rFonts w:ascii="Arial" w:cs="Arial" w:eastAsia="Arial" w:hAnsi="Arial"/>
                <w:sz w:val="19"/>
                <w:szCs w:val="19"/>
                <w:b w:val="1"/>
                <w:bCs w:val="1"/>
                <w:color w:val="auto"/>
              </w:rPr>
              <w:t>MarketWise, Inc.</w:t>
            </w:r>
          </w:p>
        </w:tc>
        <w:tc>
          <w:tcPr>
            <w:tcW w:w="0" w:type="dxa"/>
            <w:vAlign w:val="bottom"/>
          </w:tcPr>
          <w:p>
            <w:pPr>
              <w:spacing w:after="0"/>
              <w:rPr>
                <w:sz w:val="1"/>
                <w:szCs w:val="1"/>
                <w:color w:val="auto"/>
              </w:rPr>
            </w:pPr>
          </w:p>
        </w:tc>
      </w:tr>
      <w:tr>
        <w:trPr>
          <w:trHeight w:val="493"/>
        </w:trPr>
        <w:tc>
          <w:tcPr>
            <w:tcW w:w="3800" w:type="dxa"/>
            <w:vAlign w:val="bottom"/>
          </w:tcPr>
          <w:p>
            <w:pPr>
              <w:spacing w:after="0"/>
              <w:rPr>
                <w:sz w:val="20"/>
                <w:szCs w:val="20"/>
                <w:color w:val="auto"/>
              </w:rPr>
            </w:pPr>
            <w:r>
              <w:rPr>
                <w:rFonts w:ascii="Arial" w:cs="Arial" w:eastAsia="Arial" w:hAnsi="Arial"/>
                <w:sz w:val="17"/>
                <w:szCs w:val="17"/>
                <w:color w:val="auto"/>
              </w:rPr>
              <w:t>Date: November 9, 2023</w:t>
            </w:r>
          </w:p>
        </w:tc>
        <w:tc>
          <w:tcPr>
            <w:tcW w:w="2940" w:type="dxa"/>
            <w:vAlign w:val="bottom"/>
          </w:tcPr>
          <w:p>
            <w:pPr>
              <w:ind w:left="2120"/>
              <w:spacing w:after="0"/>
              <w:rPr>
                <w:sz w:val="20"/>
                <w:szCs w:val="20"/>
                <w:color w:val="auto"/>
              </w:rPr>
            </w:pPr>
            <w:r>
              <w:rPr>
                <w:rFonts w:ascii="Arial" w:cs="Arial" w:eastAsia="Arial" w:hAnsi="Arial"/>
                <w:sz w:val="17"/>
                <w:szCs w:val="17"/>
                <w:color w:val="auto"/>
              </w:rPr>
              <w:t>By:</w:t>
            </w:r>
          </w:p>
        </w:tc>
        <w:tc>
          <w:tcPr>
            <w:tcW w:w="4460" w:type="dxa"/>
            <w:vAlign w:val="bottom"/>
          </w:tcPr>
          <w:p>
            <w:pPr>
              <w:ind w:left="20"/>
              <w:spacing w:after="0"/>
              <w:rPr>
                <w:sz w:val="20"/>
                <w:szCs w:val="20"/>
                <w:color w:val="auto"/>
              </w:rPr>
            </w:pPr>
            <w:r>
              <w:rPr>
                <w:rFonts w:ascii="Arial" w:cs="Arial" w:eastAsia="Arial" w:hAnsi="Arial"/>
                <w:sz w:val="17"/>
                <w:szCs w:val="17"/>
                <w:color w:val="auto"/>
              </w:rPr>
              <w:t>/s/ Erik Mickels</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2940" w:type="dxa"/>
            <w:vAlign w:val="bottom"/>
            <w:vMerge w:val="restart"/>
          </w:tcPr>
          <w:p>
            <w:pPr>
              <w:ind w:left="2120"/>
              <w:spacing w:after="0"/>
              <w:rPr>
                <w:sz w:val="20"/>
                <w:szCs w:val="20"/>
                <w:color w:val="auto"/>
              </w:rPr>
            </w:pPr>
            <w:r>
              <w:rPr>
                <w:rFonts w:ascii="Arial" w:cs="Arial" w:eastAsia="Arial" w:hAnsi="Arial"/>
                <w:sz w:val="17"/>
                <w:szCs w:val="17"/>
                <w:color w:val="auto"/>
              </w:rPr>
              <w:t>Name:</w:t>
            </w:r>
          </w:p>
        </w:tc>
        <w:tc>
          <w:tcPr>
            <w:tcW w:w="4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Erik Mickels</w:t>
            </w:r>
          </w:p>
        </w:tc>
        <w:tc>
          <w:tcPr>
            <w:tcW w:w="0" w:type="dxa"/>
            <w:vAlign w:val="bottom"/>
          </w:tcPr>
          <w:p>
            <w:pPr>
              <w:spacing w:after="0"/>
              <w:rPr>
                <w:sz w:val="1"/>
                <w:szCs w:val="1"/>
                <w:color w:val="auto"/>
              </w:rPr>
            </w:pPr>
          </w:p>
        </w:tc>
      </w:tr>
      <w:tr>
        <w:trPr>
          <w:trHeight w:val="410"/>
        </w:trPr>
        <w:tc>
          <w:tcPr>
            <w:tcW w:w="3800" w:type="dxa"/>
            <w:vAlign w:val="bottom"/>
          </w:tcPr>
          <w:p>
            <w:pPr>
              <w:spacing w:after="0"/>
              <w:rPr>
                <w:sz w:val="24"/>
                <w:szCs w:val="24"/>
                <w:color w:val="auto"/>
              </w:rPr>
            </w:pPr>
          </w:p>
        </w:tc>
        <w:tc>
          <w:tcPr>
            <w:tcW w:w="2940" w:type="dxa"/>
            <w:vAlign w:val="bottom"/>
          </w:tcPr>
          <w:p>
            <w:pPr>
              <w:ind w:left="2120"/>
              <w:spacing w:after="0"/>
              <w:rPr>
                <w:sz w:val="20"/>
                <w:szCs w:val="20"/>
                <w:color w:val="auto"/>
              </w:rPr>
            </w:pPr>
            <w:r>
              <w:rPr>
                <w:rFonts w:ascii="Arial" w:cs="Arial" w:eastAsia="Arial" w:hAnsi="Arial"/>
                <w:sz w:val="17"/>
                <w:szCs w:val="17"/>
                <w:color w:val="auto"/>
              </w:rPr>
              <w:t>Title:</w:t>
            </w:r>
          </w:p>
        </w:tc>
        <w:tc>
          <w:tcPr>
            <w:tcW w:w="446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1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8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 Porter Stansberry, certify, pursuant to 18 U.S.C. Section 1350, as adopted pursuant to Section 906 of the Sarbanes-Oxley Act of 2002, that the Quarterly Report on Form 10-Q of MarketWise, Inc. for the fiscal quarter ended September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800" w:type="dxa"/>
            <w:vAlign w:val="bottom"/>
          </w:tcPr>
          <w:p>
            <w:pPr>
              <w:spacing w:after="0"/>
              <w:rPr>
                <w:sz w:val="21"/>
                <w:szCs w:val="21"/>
                <w:color w:val="auto"/>
              </w:rPr>
            </w:pPr>
          </w:p>
        </w:tc>
        <w:tc>
          <w:tcPr>
            <w:tcW w:w="7400" w:type="dxa"/>
            <w:vAlign w:val="bottom"/>
            <w:gridSpan w:val="2"/>
          </w:tcPr>
          <w:p>
            <w:pPr>
              <w:ind w:left="2120"/>
              <w:spacing w:after="0"/>
              <w:rPr>
                <w:sz w:val="20"/>
                <w:szCs w:val="20"/>
                <w:color w:val="auto"/>
              </w:rPr>
            </w:pPr>
            <w:r>
              <w:rPr>
                <w:rFonts w:ascii="Arial" w:cs="Arial" w:eastAsia="Arial" w:hAnsi="Arial"/>
                <w:sz w:val="19"/>
                <w:szCs w:val="19"/>
                <w:b w:val="1"/>
                <w:bCs w:val="1"/>
                <w:color w:val="auto"/>
              </w:rPr>
              <w:t>MarketWise, Inc.</w:t>
            </w:r>
          </w:p>
        </w:tc>
        <w:tc>
          <w:tcPr>
            <w:tcW w:w="0" w:type="dxa"/>
            <w:vAlign w:val="bottom"/>
          </w:tcPr>
          <w:p>
            <w:pPr>
              <w:spacing w:after="0"/>
              <w:rPr>
                <w:sz w:val="1"/>
                <w:szCs w:val="1"/>
                <w:color w:val="auto"/>
              </w:rPr>
            </w:pPr>
          </w:p>
        </w:tc>
      </w:tr>
      <w:tr>
        <w:trPr>
          <w:trHeight w:val="493"/>
        </w:trPr>
        <w:tc>
          <w:tcPr>
            <w:tcW w:w="3800" w:type="dxa"/>
            <w:vAlign w:val="bottom"/>
          </w:tcPr>
          <w:p>
            <w:pPr>
              <w:spacing w:after="0"/>
              <w:rPr>
                <w:sz w:val="20"/>
                <w:szCs w:val="20"/>
                <w:color w:val="auto"/>
              </w:rPr>
            </w:pPr>
            <w:r>
              <w:rPr>
                <w:rFonts w:ascii="Arial" w:cs="Arial" w:eastAsia="Arial" w:hAnsi="Arial"/>
                <w:sz w:val="17"/>
                <w:szCs w:val="17"/>
                <w:color w:val="auto"/>
              </w:rPr>
              <w:t>Date: November 9, 2023</w:t>
            </w:r>
          </w:p>
        </w:tc>
        <w:tc>
          <w:tcPr>
            <w:tcW w:w="2940" w:type="dxa"/>
            <w:vAlign w:val="bottom"/>
          </w:tcPr>
          <w:p>
            <w:pPr>
              <w:ind w:left="2120"/>
              <w:spacing w:after="0"/>
              <w:rPr>
                <w:sz w:val="20"/>
                <w:szCs w:val="20"/>
                <w:color w:val="auto"/>
              </w:rPr>
            </w:pPr>
            <w:r>
              <w:rPr>
                <w:rFonts w:ascii="Arial" w:cs="Arial" w:eastAsia="Arial" w:hAnsi="Arial"/>
                <w:sz w:val="17"/>
                <w:szCs w:val="17"/>
                <w:color w:val="auto"/>
              </w:rPr>
              <w:t>By:</w:t>
            </w:r>
          </w:p>
        </w:tc>
        <w:tc>
          <w:tcPr>
            <w:tcW w:w="4460" w:type="dxa"/>
            <w:vAlign w:val="bottom"/>
          </w:tcPr>
          <w:p>
            <w:pPr>
              <w:ind w:left="40"/>
              <w:spacing w:after="0"/>
              <w:rPr>
                <w:sz w:val="20"/>
                <w:szCs w:val="20"/>
                <w:color w:val="auto"/>
              </w:rPr>
            </w:pPr>
            <w:r>
              <w:rPr>
                <w:rFonts w:ascii="Arial" w:cs="Arial" w:eastAsia="Arial" w:hAnsi="Arial"/>
                <w:sz w:val="17"/>
                <w:szCs w:val="17"/>
                <w:color w:val="auto"/>
              </w:rPr>
              <w:t>/s/ Porter Stansberry</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2940" w:type="dxa"/>
            <w:vAlign w:val="bottom"/>
            <w:vMerge w:val="restart"/>
          </w:tcPr>
          <w:p>
            <w:pPr>
              <w:ind w:left="2120"/>
              <w:spacing w:after="0"/>
              <w:rPr>
                <w:sz w:val="20"/>
                <w:szCs w:val="20"/>
                <w:color w:val="auto"/>
              </w:rPr>
            </w:pPr>
            <w:r>
              <w:rPr>
                <w:rFonts w:ascii="Arial" w:cs="Arial" w:eastAsia="Arial" w:hAnsi="Arial"/>
                <w:sz w:val="17"/>
                <w:szCs w:val="17"/>
                <w:color w:val="auto"/>
              </w:rPr>
              <w:t>Name:</w:t>
            </w:r>
          </w:p>
        </w:tc>
        <w:tc>
          <w:tcPr>
            <w:tcW w:w="4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460" w:type="dxa"/>
            <w:vAlign w:val="bottom"/>
          </w:tcPr>
          <w:p>
            <w:pPr>
              <w:ind w:left="40"/>
              <w:spacing w:after="0"/>
              <w:rPr>
                <w:sz w:val="20"/>
                <w:szCs w:val="20"/>
                <w:color w:val="auto"/>
              </w:rPr>
            </w:pPr>
            <w:r>
              <w:rPr>
                <w:rFonts w:ascii="Arial" w:cs="Arial" w:eastAsia="Arial" w:hAnsi="Arial"/>
                <w:sz w:val="17"/>
                <w:szCs w:val="17"/>
                <w:color w:val="auto"/>
              </w:rPr>
              <w:t>Porter Stansberry</w:t>
            </w:r>
          </w:p>
        </w:tc>
        <w:tc>
          <w:tcPr>
            <w:tcW w:w="0" w:type="dxa"/>
            <w:vAlign w:val="bottom"/>
          </w:tcPr>
          <w:p>
            <w:pPr>
              <w:spacing w:after="0"/>
              <w:rPr>
                <w:sz w:val="1"/>
                <w:szCs w:val="1"/>
                <w:color w:val="auto"/>
              </w:rPr>
            </w:pPr>
          </w:p>
        </w:tc>
      </w:tr>
      <w:tr>
        <w:trPr>
          <w:trHeight w:val="410"/>
        </w:trPr>
        <w:tc>
          <w:tcPr>
            <w:tcW w:w="3800" w:type="dxa"/>
            <w:vAlign w:val="bottom"/>
          </w:tcPr>
          <w:p>
            <w:pPr>
              <w:spacing w:after="0"/>
              <w:rPr>
                <w:sz w:val="24"/>
                <w:szCs w:val="24"/>
                <w:color w:val="auto"/>
              </w:rPr>
            </w:pPr>
          </w:p>
        </w:tc>
        <w:tc>
          <w:tcPr>
            <w:tcW w:w="2940" w:type="dxa"/>
            <w:vAlign w:val="bottom"/>
          </w:tcPr>
          <w:p>
            <w:pPr>
              <w:ind w:left="2120"/>
              <w:spacing w:after="0"/>
              <w:rPr>
                <w:sz w:val="20"/>
                <w:szCs w:val="20"/>
                <w:color w:val="auto"/>
              </w:rPr>
            </w:pPr>
            <w:r>
              <w:rPr>
                <w:rFonts w:ascii="Arial" w:cs="Arial" w:eastAsia="Arial" w:hAnsi="Arial"/>
                <w:sz w:val="17"/>
                <w:szCs w:val="17"/>
                <w:color w:val="auto"/>
              </w:rPr>
              <w:t>Title:</w:t>
            </w:r>
          </w:p>
        </w:tc>
        <w:tc>
          <w:tcPr>
            <w:tcW w:w="4460" w:type="dxa"/>
            <w:vAlign w:val="bottom"/>
          </w:tcPr>
          <w:p>
            <w:pPr>
              <w:ind w:left="40"/>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82" w:lineRule="exact"/>
        <w:rPr>
          <w:sz w:val="20"/>
          <w:szCs w:val="20"/>
          <w:color w:val="auto"/>
        </w:rPr>
      </w:pPr>
    </w:p>
    <w:p>
      <w:pPr>
        <w:jc w:val="both"/>
        <w:ind w:right="280"/>
        <w:spacing w:after="0" w:line="259" w:lineRule="auto"/>
        <w:rPr>
          <w:sz w:val="20"/>
          <w:szCs w:val="20"/>
          <w:color w:val="auto"/>
        </w:rPr>
      </w:pPr>
      <w:r>
        <w:rPr>
          <w:rFonts w:ascii="Arial" w:cs="Arial" w:eastAsia="Arial" w:hAnsi="Arial"/>
          <w:sz w:val="17"/>
          <w:szCs w:val="17"/>
          <w:color w:val="auto"/>
        </w:rPr>
        <w:t>I, Erik Mickels, certify, pursuant to 18 U.S.C. Section 1350, as adopted pursuant to Section 906 of the Sarbanes-Oxley Act of 2002, that the Quarterly Report on Form 10-Q of MarketWise, Inc. for the fiscal quarter ended September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800" w:type="dxa"/>
            <w:vAlign w:val="bottom"/>
          </w:tcPr>
          <w:p>
            <w:pPr>
              <w:spacing w:after="0"/>
              <w:rPr>
                <w:sz w:val="21"/>
                <w:szCs w:val="21"/>
                <w:color w:val="auto"/>
              </w:rPr>
            </w:pPr>
          </w:p>
        </w:tc>
        <w:tc>
          <w:tcPr>
            <w:tcW w:w="7400" w:type="dxa"/>
            <w:vAlign w:val="bottom"/>
            <w:gridSpan w:val="2"/>
          </w:tcPr>
          <w:p>
            <w:pPr>
              <w:ind w:left="2120"/>
              <w:spacing w:after="0"/>
              <w:rPr>
                <w:sz w:val="20"/>
                <w:szCs w:val="20"/>
                <w:color w:val="auto"/>
              </w:rPr>
            </w:pPr>
            <w:r>
              <w:rPr>
                <w:rFonts w:ascii="Arial" w:cs="Arial" w:eastAsia="Arial" w:hAnsi="Arial"/>
                <w:sz w:val="19"/>
                <w:szCs w:val="19"/>
                <w:b w:val="1"/>
                <w:bCs w:val="1"/>
                <w:color w:val="auto"/>
              </w:rPr>
              <w:t>MarketWise, Inc.</w:t>
            </w:r>
          </w:p>
        </w:tc>
        <w:tc>
          <w:tcPr>
            <w:tcW w:w="0" w:type="dxa"/>
            <w:vAlign w:val="bottom"/>
          </w:tcPr>
          <w:p>
            <w:pPr>
              <w:spacing w:after="0"/>
              <w:rPr>
                <w:sz w:val="1"/>
                <w:szCs w:val="1"/>
                <w:color w:val="auto"/>
              </w:rPr>
            </w:pPr>
          </w:p>
        </w:tc>
      </w:tr>
      <w:tr>
        <w:trPr>
          <w:trHeight w:val="493"/>
        </w:trPr>
        <w:tc>
          <w:tcPr>
            <w:tcW w:w="3800" w:type="dxa"/>
            <w:vAlign w:val="bottom"/>
          </w:tcPr>
          <w:p>
            <w:pPr>
              <w:spacing w:after="0"/>
              <w:rPr>
                <w:sz w:val="20"/>
                <w:szCs w:val="20"/>
                <w:color w:val="auto"/>
              </w:rPr>
            </w:pPr>
            <w:r>
              <w:rPr>
                <w:rFonts w:ascii="Arial" w:cs="Arial" w:eastAsia="Arial" w:hAnsi="Arial"/>
                <w:sz w:val="17"/>
                <w:szCs w:val="17"/>
                <w:color w:val="auto"/>
              </w:rPr>
              <w:t>Date: November 9, 2023</w:t>
            </w:r>
          </w:p>
        </w:tc>
        <w:tc>
          <w:tcPr>
            <w:tcW w:w="2940" w:type="dxa"/>
            <w:vAlign w:val="bottom"/>
          </w:tcPr>
          <w:p>
            <w:pPr>
              <w:ind w:left="2120"/>
              <w:spacing w:after="0"/>
              <w:rPr>
                <w:sz w:val="20"/>
                <w:szCs w:val="20"/>
                <w:color w:val="auto"/>
              </w:rPr>
            </w:pPr>
            <w:r>
              <w:rPr>
                <w:rFonts w:ascii="Arial" w:cs="Arial" w:eastAsia="Arial" w:hAnsi="Arial"/>
                <w:sz w:val="17"/>
                <w:szCs w:val="17"/>
                <w:color w:val="auto"/>
              </w:rPr>
              <w:t>By:</w:t>
            </w:r>
          </w:p>
        </w:tc>
        <w:tc>
          <w:tcPr>
            <w:tcW w:w="4460" w:type="dxa"/>
            <w:vAlign w:val="bottom"/>
          </w:tcPr>
          <w:p>
            <w:pPr>
              <w:ind w:left="40"/>
              <w:spacing w:after="0"/>
              <w:rPr>
                <w:sz w:val="20"/>
                <w:szCs w:val="20"/>
                <w:color w:val="auto"/>
              </w:rPr>
            </w:pPr>
            <w:r>
              <w:rPr>
                <w:rFonts w:ascii="Arial" w:cs="Arial" w:eastAsia="Arial" w:hAnsi="Arial"/>
                <w:sz w:val="17"/>
                <w:szCs w:val="17"/>
                <w:color w:val="auto"/>
              </w:rPr>
              <w:t>/s/ Erik Mickels</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2940" w:type="dxa"/>
            <w:vAlign w:val="bottom"/>
            <w:vMerge w:val="restart"/>
          </w:tcPr>
          <w:p>
            <w:pPr>
              <w:ind w:left="2120"/>
              <w:spacing w:after="0"/>
              <w:rPr>
                <w:sz w:val="20"/>
                <w:szCs w:val="20"/>
                <w:color w:val="auto"/>
              </w:rPr>
            </w:pPr>
            <w:r>
              <w:rPr>
                <w:rFonts w:ascii="Arial" w:cs="Arial" w:eastAsia="Arial" w:hAnsi="Arial"/>
                <w:sz w:val="17"/>
                <w:szCs w:val="17"/>
                <w:color w:val="auto"/>
              </w:rPr>
              <w:t>Name:</w:t>
            </w:r>
          </w:p>
        </w:tc>
        <w:tc>
          <w:tcPr>
            <w:tcW w:w="4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460" w:type="dxa"/>
            <w:vAlign w:val="bottom"/>
          </w:tcPr>
          <w:p>
            <w:pPr>
              <w:ind w:left="40"/>
              <w:spacing w:after="0"/>
              <w:rPr>
                <w:sz w:val="20"/>
                <w:szCs w:val="20"/>
                <w:color w:val="auto"/>
              </w:rPr>
            </w:pPr>
            <w:r>
              <w:rPr>
                <w:rFonts w:ascii="Arial" w:cs="Arial" w:eastAsia="Arial" w:hAnsi="Arial"/>
                <w:sz w:val="17"/>
                <w:szCs w:val="17"/>
                <w:color w:val="auto"/>
              </w:rPr>
              <w:t>Erik Mickels</w:t>
            </w:r>
          </w:p>
        </w:tc>
        <w:tc>
          <w:tcPr>
            <w:tcW w:w="0" w:type="dxa"/>
            <w:vAlign w:val="bottom"/>
          </w:tcPr>
          <w:p>
            <w:pPr>
              <w:spacing w:after="0"/>
              <w:rPr>
                <w:sz w:val="1"/>
                <w:szCs w:val="1"/>
                <w:color w:val="auto"/>
              </w:rPr>
            </w:pPr>
          </w:p>
        </w:tc>
      </w:tr>
      <w:tr>
        <w:trPr>
          <w:trHeight w:val="410"/>
        </w:trPr>
        <w:tc>
          <w:tcPr>
            <w:tcW w:w="3800" w:type="dxa"/>
            <w:vAlign w:val="bottom"/>
          </w:tcPr>
          <w:p>
            <w:pPr>
              <w:spacing w:after="0"/>
              <w:rPr>
                <w:sz w:val="24"/>
                <w:szCs w:val="24"/>
                <w:color w:val="auto"/>
              </w:rPr>
            </w:pPr>
          </w:p>
        </w:tc>
        <w:tc>
          <w:tcPr>
            <w:tcW w:w="2940" w:type="dxa"/>
            <w:vAlign w:val="bottom"/>
          </w:tcPr>
          <w:p>
            <w:pPr>
              <w:ind w:left="2120"/>
              <w:spacing w:after="0"/>
              <w:rPr>
                <w:sz w:val="20"/>
                <w:szCs w:val="20"/>
                <w:color w:val="auto"/>
              </w:rPr>
            </w:pPr>
            <w:r>
              <w:rPr>
                <w:rFonts w:ascii="Arial" w:cs="Arial" w:eastAsia="Arial" w:hAnsi="Arial"/>
                <w:sz w:val="17"/>
                <w:szCs w:val="17"/>
                <w:color w:val="auto"/>
              </w:rPr>
              <w:t>Title:</w:t>
            </w:r>
          </w:p>
        </w:tc>
        <w:tc>
          <w:tcPr>
            <w:tcW w:w="4460" w:type="dxa"/>
            <w:vAlign w:val="bottom"/>
          </w:tcPr>
          <w:p>
            <w:pPr>
              <w:ind w:left="4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5"/>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9"/>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0"/>
    </w:lvl>
    <w:lvl w:ilvl="1">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lvl w:ilvl="1">
      <w:lvlJc w:val="left"/>
      <w:lvlText w:val="%2"/>
      <w:numFmt w:val="decimal"/>
      <w:start w:val="104"/>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lvl w:ilvl="1">
      <w:lvlJc w:val="left"/>
      <w:lvlText w:val="(%2)"/>
      <w:numFmt w:val="lowerLetter"/>
      <w:start w:val="3"/>
    </w:lvl>
  </w:abstractNum>
  <w:abstractNum w:abstractNumId="26">
    <w:nsid w:val="7C3DBD3D"/>
    <w:multiLevelType w:val="hybridMultilevel"/>
    <w:lvl w:ilvl="0">
      <w:lvlJc w:val="left"/>
      <w:lvlText w:val="(%1)"/>
      <w:numFmt w:val="lowerLetter"/>
      <w:start w:val="35"/>
    </w:lvl>
    <w:lvl w:ilvl="1">
      <w:lvlJc w:val="left"/>
      <w:lvlText w:val="%2"/>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78" Type="http://schemas.openxmlformats.org/officeDocument/2006/relationships/hyperlink" Target="https://www.sec.gov/Archives/edgar/data/1805651/000162828021014543/super8-kxexhibit31.htm" TargetMode="External"/><Relationship Id="rId79" Type="http://schemas.openxmlformats.org/officeDocument/2006/relationships/hyperlink" Target="https://www.sec.gov/Archives/edgar/data/1805651/000162828021014543/super8-kxexhibit32.htm" TargetMode="External"/><Relationship Id="rId80" Type="http://schemas.openxmlformats.org/officeDocument/2006/relationships/hyperlink" Target="https://www.sec.gov/Archives/edgar/data/1805651/000162828023024473/offerletter-erikmickels.htm" TargetMode="External"/><Relationship Id="rId81" Type="http://schemas.openxmlformats.org/officeDocument/2006/relationships/hyperlink" Target="https://www.sec.gov/Archives/edgar/data/1805651/000162828023031870/exhibit101-settlemen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2023-11-09T05:49:36Z</dcterms:created>
  <dcterms:modified xsi:type="dcterms:W3CDTF">2023-11-09T05:49:36Z</dcterms:modified>
</cp:coreProperties>
</file>