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4"/>
        </w:rPr>
      </w:pPr>
      <w:r>
        <w:rPr>
          <w:rFonts w:ascii="Times New Roman;serif" w:hAnsi="Times New Roman;serif"/>
          <w:b/>
          <w:color w:val="000000"/>
          <w:sz w:val="34"/>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27" w:type="dxa"/>
        <w:jc w:val="center"/>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180"/>
              <w:ind w:left="0" w:right="0" w:hanging="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fiscal year ended December 31, 2025</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Commission File Number: 001-39405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40"/>
        </w:rPr>
      </w:pPr>
      <w:r>
        <w:rPr>
          <w:rFonts w:ascii="Times New Roman;serif" w:hAnsi="Times New Roman;serif"/>
          <w:b/>
          <w:color w:val="000000"/>
          <w:sz w:val="40"/>
        </w:rPr>
        <w:t>MarketWise, Inc.</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989" w:type="dxa"/>
        <w:jc w:val="left"/>
        <w:tblInd w:w="0" w:type="dxa"/>
        <w:tblLayout w:type="fixed"/>
        <w:tblCellMar>
          <w:top w:w="28" w:type="dxa"/>
          <w:left w:w="28" w:type="dxa"/>
          <w:bottom w:w="28" w:type="dxa"/>
          <w:right w:w="28" w:type="dxa"/>
        </w:tblCellMar>
      </w:tblPr>
      <w:tblGrid>
        <w:gridCol w:w="807"/>
        <w:gridCol w:w="711"/>
        <w:gridCol w:w="717"/>
        <w:gridCol w:w="511"/>
        <w:gridCol w:w="511"/>
        <w:gridCol w:w="732"/>
      </w:tblGrid>
      <w:tr>
        <w:trPr/>
        <w:tc>
          <w:tcPr>
            <w:tcW w:w="8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87-1767914</w:t>
            </w:r>
          </w:p>
        </w:tc>
      </w:tr>
      <w:tr>
        <w:trPr/>
        <w:tc>
          <w:tcPr>
            <w:tcW w:w="223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75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Number)</w:t>
            </w:r>
          </w:p>
        </w:tc>
      </w:tr>
    </w:tbl>
    <w:tbl>
      <w:tblPr>
        <w:tblW w:w="4424" w:type="dxa"/>
        <w:jc w:val="left"/>
        <w:tblInd w:w="0" w:type="dxa"/>
        <w:tblLayout w:type="fixed"/>
        <w:tblCellMar>
          <w:top w:w="28" w:type="dxa"/>
          <w:left w:w="28" w:type="dxa"/>
          <w:bottom w:w="28" w:type="dxa"/>
          <w:right w:w="28" w:type="dxa"/>
        </w:tblCellMar>
      </w:tblPr>
      <w:tblGrid>
        <w:gridCol w:w="1267"/>
        <w:gridCol w:w="1110"/>
        <w:gridCol w:w="1118"/>
        <w:gridCol w:w="272"/>
        <w:gridCol w:w="272"/>
        <w:gridCol w:w="385"/>
      </w:tblGrid>
      <w:tr>
        <w:trPr/>
        <w:tc>
          <w:tcPr>
            <w:tcW w:w="126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1125 N. Charles Street Baltimore, Maryland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21201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(Address of principal executive offices, including zip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(888) 261-2693</w:t>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(Former name or former address, if changed since last report)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988" w:type="dxa"/>
        <w:jc w:val="left"/>
        <w:tblInd w:w="0" w:type="dxa"/>
        <w:tblLayout w:type="fixed"/>
        <w:tblCellMar>
          <w:top w:w="28" w:type="dxa"/>
          <w:left w:w="28" w:type="dxa"/>
          <w:bottom w:w="28" w:type="dxa"/>
          <w:right w:w="28" w:type="dxa"/>
        </w:tblCellMar>
      </w:tblPr>
      <w:tblGrid>
        <w:gridCol w:w="1621"/>
        <w:gridCol w:w="1424"/>
        <w:gridCol w:w="1424"/>
        <w:gridCol w:w="565"/>
        <w:gridCol w:w="565"/>
        <w:gridCol w:w="565"/>
        <w:gridCol w:w="1120"/>
        <w:gridCol w:w="1120"/>
        <w:gridCol w:w="1584"/>
      </w:tblGrid>
      <w:tr>
        <w:trPr/>
        <w:tc>
          <w:tcPr>
            <w:tcW w:w="16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988" w:type="dxa"/>
            <w:gridSpan w:val="9"/>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MKTW</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a well-known seasoned issuer, as defined in Rule 405 of the Securities Act. ☐ Yes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if the registrant is not required to file reports pursuant to Section 13 or 15(d). ☐ Yes ☑ No</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12 (a) of the Exchange Act. ☐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aggregate market value of the voting and non-voting common equity held by non-affiliates of the registrant, based on the closing price of the registrant’s shares of Class A common stock as reported by The Nasdaq Global Market on </w:t>
      </w:r>
      <w:r>
        <w:rPr>
          <w:rFonts w:ascii="Times New Roman;serif" w:hAnsi="Times New Roman;serif"/>
          <w:b w:val="false"/>
          <w:color w:val="000000"/>
          <w:sz w:val="20"/>
        </w:rPr>
        <w:t>June 30, 2025 was approximately $45.4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2, 2026, there were 2,448,135 shares of the registrant’s Class A common stock, with a par value of $0.0001 per share (“Class A common stock”) and 13,612,641 shares of the registrant’s Class B common stock, with a par value of $0.0001 per share (“Class B common stock,” together with Class A common stock, the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3"/>
        <w:gridCol w:w="309"/>
        <w:gridCol w:w="314"/>
        <w:gridCol w:w="2911"/>
        <w:gridCol w:w="2895"/>
        <w:gridCol w:w="2910"/>
        <w:gridCol w:w="149"/>
        <w:gridCol w:w="149"/>
        <w:gridCol w:w="215"/>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487">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487">
              <w:r>
                <w:rPr>
                  <w:rStyle w:val="InternetLink"/>
                  <w:rFonts w:ascii="Times New Roman;serif" w:hAnsi="Times New Roman;serif"/>
                  <w:b w:val="false"/>
                  <w:color w:val="0000FF"/>
                  <w:sz w:val="20"/>
                  <w:u w:val="single"/>
                </w:rPr>
                <w:t>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493">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493">
              <w:r>
                <w:rPr>
                  <w:rStyle w:val="InternetLink"/>
                  <w:rFonts w:ascii="Times New Roman;serif" w:hAnsi="Times New Roman;serif"/>
                  <w:b w:val="false"/>
                  <w:color w:val="0000FF"/>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499">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499">
              <w:r>
                <w:rPr>
                  <w:rStyle w:val="InternetLink"/>
                  <w:rFonts w:ascii="Times New Roman;serif" w:hAnsi="Times New Roman;serif"/>
                  <w:b w:val="false"/>
                  <w:color w:val="0000FF"/>
                  <w:sz w:val="20"/>
                  <w:u w:val="singl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02">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502">
              <w:r>
                <w:rPr>
                  <w:rStyle w:val="InternetLink"/>
                  <w:rFonts w:ascii="Times New Roman;serif" w:hAnsi="Times New Roman;serif"/>
                  <w:b w:val="false"/>
                  <w:color w:val="0000FF"/>
                  <w:sz w:val="20"/>
                  <w:u w:val="single"/>
                </w:rPr>
                <w:t>37</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15">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15">
              <w:r>
                <w:rPr>
                  <w:rStyle w:val="InternetLink"/>
                  <w:rFonts w:ascii="Times New Roman;serif" w:hAnsi="Times New Roman;serif"/>
                  <w:b w:val="false"/>
                  <w:color w:val="0000FF"/>
                  <w:sz w:val="20"/>
                  <w:u w:val="singl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18">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18">
              <w:r>
                <w:rPr>
                  <w:rStyle w:val="InternetLink"/>
                  <w:rFonts w:ascii="Times New Roman;serif" w:hAnsi="Times New Roman;serif"/>
                  <w:b w:val="false"/>
                  <w:color w:val="0000FF"/>
                  <w:sz w:val="20"/>
                  <w:u w:val="singl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21">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21">
              <w:r>
                <w:rPr>
                  <w:rStyle w:val="InternetLink"/>
                  <w:rFonts w:ascii="Times New Roman;serif" w:hAnsi="Times New Roman;serif"/>
                  <w:b w:val="false"/>
                  <w:color w:val="0000FF"/>
                  <w:sz w:val="20"/>
                  <w:u w:val="single"/>
                </w:rPr>
                <w:t>38</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08">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508">
              <w:r>
                <w:rPr>
                  <w:rStyle w:val="InternetLink"/>
                  <w:rFonts w:ascii="Times New Roman;serif" w:hAnsi="Times New Roman;serif"/>
                  <w:b w:val="false"/>
                  <w:color w:val="0000FF"/>
                  <w:sz w:val="20"/>
                  <w:u w:val="single"/>
                </w:rPr>
                <w:t>39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14">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514">
              <w:r>
                <w:rPr>
                  <w:rStyle w:val="InternetLink"/>
                  <w:rFonts w:ascii="Times New Roman;serif" w:hAnsi="Times New Roman;serif"/>
                  <w:b w:val="false"/>
                  <w:color w:val="0000FF"/>
                  <w:sz w:val="20"/>
                  <w:u w:val="single"/>
                </w:rPr>
                <w:t>40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1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517">
              <w:r>
                <w:rPr>
                  <w:rStyle w:val="InternetLink"/>
                  <w:rFonts w:ascii="Times New Roman;serif" w:hAnsi="Times New Roman;serif"/>
                  <w:b w:val="false"/>
                  <w:color w:val="0000FF"/>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83">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1661486e69a4ef79c1723f2a7dca22b_583">
              <w:r>
                <w:rPr>
                  <w:rStyle w:val="InternetLink"/>
                  <w:rFonts w:ascii="Times New Roman;serif" w:hAnsi="Times New Roman;serif"/>
                  <w:b w:val="false"/>
                  <w:color w:val="0000FF"/>
                  <w:sz w:val="20"/>
                  <w:u w:val="single"/>
                </w:rPr>
                <w:t>59</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86">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586">
              <w:r>
                <w:rPr>
                  <w:rStyle w:val="InternetLink"/>
                  <w:rFonts w:ascii="Times New Roman;serif" w:hAnsi="Times New Roman;serif"/>
                  <w:b w:val="false"/>
                  <w:color w:val="0000FF"/>
                  <w:sz w:val="20"/>
                  <w:u w:val="single"/>
                </w:rPr>
                <w:t>60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0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03">
              <w:r>
                <w:rPr>
                  <w:rStyle w:val="InternetLink"/>
                  <w:rFonts w:ascii="Times New Roman;serif" w:hAnsi="Times New Roman;serif"/>
                  <w:b w:val="false"/>
                  <w:color w:val="0000FF"/>
                  <w:sz w:val="20"/>
                  <w:u w:val="single"/>
                </w:rPr>
                <w:t>104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06">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06">
              <w:r>
                <w:rPr>
                  <w:rStyle w:val="InternetLink"/>
                  <w:rFonts w:ascii="Times New Roman;serif" w:hAnsi="Times New Roman;serif"/>
                  <w:b w:val="false"/>
                  <w:color w:val="0000FF"/>
                  <w:sz w:val="20"/>
                  <w:u w:val="single"/>
                </w:rPr>
                <w:t>104</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09">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09">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12">
              <w:r>
                <w:rPr>
                  <w:rStyle w:val="InternetLink"/>
                  <w:rFonts w:ascii="Times New Roman;serif" w:hAnsi="Times New Roman;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12">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69">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27">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72">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30">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75">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33">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84">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36">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87">
              <w:r>
                <w:rPr>
                  <w:rStyle w:val="InternetLink"/>
                  <w:rFonts w:ascii="Times New Roman;serif" w:hAnsi="Times New Roman;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39">
              <w:r>
                <w:rPr>
                  <w:rStyle w:val="InternetLink"/>
                  <w:rFonts w:ascii="Times New Roman;serif" w:hAnsi="Times New Roman;serif"/>
                  <w:b w:val="false"/>
                  <w:color w:val="0000FF"/>
                  <w:sz w:val="20"/>
                  <w:u w:val="single"/>
                </w:rPr>
                <w:t>105</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45">
              <w:r>
                <w:rPr>
                  <w:rStyle w:val="InternetLink"/>
                  <w:rFonts w:ascii="Times New Roman;serif" w:hAnsi="Times New Roman;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hyperlink w:anchor="i81661486e69a4ef79c1723f2a7dca22b_745">
              <w:r>
                <w:rPr>
                  <w:rStyle w:val="InternetLink"/>
                  <w:rFonts w:ascii="Times New Roman;serif" w:hAnsi="Times New Roman;serif"/>
                  <w:b w:val="false"/>
                  <w:color w:val="0000FF"/>
                  <w:sz w:val="20"/>
                  <w:u w:val="single"/>
                </w:rPr>
                <w:t>106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48">
              <w:r>
                <w:rPr>
                  <w:rStyle w:val="InternetLink"/>
                  <w:rFonts w:ascii="Times New Roman;serif" w:hAnsi="Times New Roman;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1661486e69a4ef79c1723f2a7dca22b_745">
              <w:r>
                <w:rPr>
                  <w:rStyle w:val="InternetLink"/>
                  <w:rFonts w:ascii="Times New Roman;serif" w:hAnsi="Times New Roman;serif"/>
                  <w:b w:val="false"/>
                  <w:color w:val="0000FF"/>
                  <w:sz w:val="20"/>
                  <w:u w:val="single"/>
                </w:rPr>
                <w:t>106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751">
              <w:r>
                <w:rPr>
                  <w:rStyle w:val="InternetLink"/>
                  <w:rFonts w:ascii="Times New Roman;serif" w:hAnsi="Times New Roman;serif"/>
                  <w:b w:val="false"/>
                  <w:color w:val="0000FF"/>
                  <w:sz w:val="20"/>
                  <w:u w:val="single"/>
                </w:rPr>
                <w:t>Signatures</w:t>
              </w:r>
            </w:hyperlink>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1661486e69a4ef79c1723f2a7dca22b_751">
              <w:r>
                <w:rPr>
                  <w:rStyle w:val="InternetLink"/>
                  <w:rFonts w:ascii="Times New Roman;serif" w:hAnsi="Times New Roman;serif"/>
                  <w:b w:val="false"/>
                  <w:color w:val="0000FF"/>
                  <w:sz w:val="20"/>
                  <w:u w:val="single"/>
                </w:rPr>
                <w:t>109</w:t>
              </w:r>
            </w:hyperlink>
          </w:p>
        </w:tc>
      </w:tr>
    </w:tbl>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180"/>
        <w:jc w:val="center"/>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some of the risks, uncertainties, and assumptions that could harm our business’s financial position, operations, and cash flows, which could cause a decline in the price of our securities. You should read this summary together with the more detailed description of each risk factor contained below.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depends on our ability to attract new subscribers and persuade them to renew their subscriptions and purchase additional products and services from us. If we cannot attract new subscribers or continue to engage existing subscribers, our revenue and operating results may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Similarly, it would harm our business and financial condition if we: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Struggle to adequately market our products and services, or to monitor and manage our use of social media platforms as marketing tools;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 to maintain and protect our reputation for trustworthiness and independence. Damage to the reputation of any of our current or former directors, officers, key contributors, editors, or staff for any reason could hurt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effectively manage our growth;</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 to successfully integrate future acquisitions or dispose of assets and businesses;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comply with federal and state securities laws, regulations, or other regulatory 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 to comply with data privacy, data protection, and information security laws, regulations, and industry standards. That includes industry requirements such as the Payment Card Industry Data Security Standard;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Face increased tax obligations or if we discover a need to make back payments on previous years’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depends 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Attracting, developing, and retaining capable management, editors, and other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respond to and adapt to changes in technology and consumer behavior.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we recognize revenue from subscriptions for our services over the term of the subscription, our operating results may not immediately reflect downturns or upturns in new business. We are also subject to payment-processing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products, and facilities are at risk of a number of material disruptive events that our operational risk management and business continuity programs may not be adequate to address. These events could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Disruptions to our third-party technology providers and management systems.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database and network facilities, and those of our third-party service providers, could fail, become unavailable, or otherwise inadequate, and are subject to cybersecurity risks. Any failure of our internal security measures or breach of our privacy protections could cost us subscribers and subject us to liability.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use of artificial intelligence technologies may not be successful and may present business, compliance, and reputational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could face liability for the information and data we collect and distribute, or the reports and other documents produced by our software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Inc.’s sole material asset is its interest in MarketWise, LLC, and depends on distributions from MarketWise, LLC to pay its taxes and expenses. MarketWise, LLC’s ability to make such distributions may be subject to various limitations and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the terms of our Tax Receivable Agreement, distributions payable to MarketWise, Inc. may be substantial and exceed its tax liabilities and obligations. MarketWise, Inc. may choose to distribute the excess cash as a dividend. In that case, MarketWise Members (as defined below) would benefit from any payment if they exchange their LLC units (as defined below) for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may also be entitled to some tax benefits in cash, and those would be paid back to MarketWise Members. Those payments may be substantial.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Members have the right to redeem or exchange LLC Units for shares of Class A common stock, which, if exercised, will dilute shareholders stake in MarketWise, Inc. The MarketWise Members have significant influence over the company, including control over decisions that require the approval of MarketWise, Inc. stockholders.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contains forward-looking statements within the meaning of federal securities law. Statements regarding our financial position and business strategy, and the plans and objectives of management for our future operations are not historical or current facts. Forward-looking statements address things that we believe or estimate may happen. Where possible we express them in those terms. However, even in the absence of these words or expressions, all projections and predictions remain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are about future events and are based on current expectations and assumptions as of the date of the report. They involve a number of judgments and are subject to risks and uncertainties. Many factors could cause actual future events to differ from the forward-looking statements in this report, including, but not limited to the risk described in the Summary of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should not be relied upon as representing our views as of any subsequent date, and we do not undertake any obligation to update forward-looking statements for any reason, except as may be required under applicable securities laws.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started in 1999 with the simple idea that, if we could publish intelligent, independent, insightful, and in-depth investment research and treat the subscriber the way we would want to be treated, then subscribers would renew their subscriptions and stay with us. That simple idea worked and has guided our decisions ever since.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Today, we are a leading multi-brand platform of subscription businesses that provides premium financial research, software, education, and tools for self-directed investors. We provide our subscribers with the research, education, and tools that they need to navigate the financial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evolved significantly since our inception in 1999. Over the years, we have expanded our business into a comprehensive suite of investment research products and solutions. We now produce a diversified product portfolio from a variety of financial research brands such as Stansberry Research, Chaikin Analytics, Brownstone Research, InvestorPlace, and TradeSmith. Our entire investment research product portfolio is 100% digital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channel agnostic. We offer our research across a variety of platforms, including desktop, laptop, and mobile devices, including tablets and mobile phones.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expansion of the business, we now have over 67 editors and analysts covering a broad spectrum of investments, ranging from commodities to equities, to distressed debt and cryptocurrencies. This diversity of content has allowed our business to succeed and our subscription base to grow through the many economic cycles in our over 25-year history. We have a subscriber base of approximately 374 thousand Paid Subscribers. We define Paid Subscribers as the total number of unique subscribers with at least one paid subscription at the end of a given period.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Value Proposition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empower retail investors with institutional-quality research at a price point that is accessible.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Experienced analysts, with their own unique investment strategies and philosophies, lead our brands. As a result, we do not promote a single, unified view of the markets, but instead we publish a mosaic of opinions, recommendations, and strategies.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multi-brand approach gives our work far greater breadth, creating more diverse opportunities for our subscribers. Our brands are linked, however, by a continuous commitment to risk management and a contrarian approach to identifying investment opportunities.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Across all our brands, we focus on investments that are unloved, ignored, or unknown. Having an informed perspective in these situations gives our subscribers the best risk-to-reward opportunities.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 that self-directed investors do not typically have the same research budget and resources at their disposal as institutional investors do. So we strive to provide them with institutional quality research at affordable price points. Unlike traditional institutional research, our offerings are significantly less expensive and more accessible. They are designed to be less technical and therefore more easily understood by subscribers who may not be finance professionals. At the same time, our offerings include premium content that is highly actionable.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if we publish research to help our subscribers succeed in the financial markets, they will progressively become better investors, renew their subscriptions, and become long-term customers. We have proven out this thesis throughout our over 25-year history. We have formed long-standing relationships with our subscribers by providing superior value through our offerings.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We provide a comprehensive suite of research solutions.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 9 primary customer facing brands, we currently have 22 free products and 112 paid products. We cover various investment strategies, such as value investing, income, growth, commodities, cryptocurrencies, venture, biotechnology, mutual funds, options, and trading. We find that our subscribers develop personal affinities for specific writers and certain investment styles, and specific brands. When we acquire brands or form joint ventures, which we engage in periodically, we typically maintain the existing brands because we want to avoid disrupting those relationships by interjecting a new company name or persona, since subscribers may not have any prior relationship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typically publish our research reports on a monthly basis, although some of our products publish more frequently.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We also offer financial software and analytical tools.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continue to expand our research portfolio with software and analytical tool solutions, which include the Chaikin Power Gauge, TradeStops and the Altimeter. Our software and analytical tool solutions represented 52% of our Billings in 2025. Billings represents amounts invoiced to customers.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Chaikin Analytics brand offers a suite of stock research tools and portfolio management services that help investors pick winning stocks and drop losing stocks ahead of market shifts. Our TradeSmith brand provides a full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suite of portfolio management software tools that enable individual investors to manage their portfolios using algorithms that have been back tested for results and designed to help investors manage their emotions. Our Altimetry brand offers a user-friendly database showing uniform, accounting-based financial summaries for more than 4,000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screeners, monitors, portfolio management tools, and a set of proprietary indicators that produce a composite score to rank several thousand publicly traded companies in the United States. Our various digital research platforms integrate our content with public financial data in well-designed user interfaces to provide our users with valuable tools to easily consume our research, keep track of investments, import their portfolios and more.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 offerings reinforce each other and produce a strong flywheel effect across our organization. As we launch or add more products, we increase the tools available to our readers and the value we provide to our existing subscribers. This allows us to gather insights and feedback and helps us create new products and solutions.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Growth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committed to growing our business by deepening our relationship with existing customers and attracting new subscribers to our platform. We will also pursue strategic growth as opportunities arise. Here’s how we grow our business:</w:t>
      </w:r>
    </w:p>
    <w:p>
      <w:pPr>
        <w:pStyle w:val="TextBody"/>
        <w:bidi w:val="0"/>
        <w:spacing w:lineRule="auto" w:line="288" w:before="0" w:after="180"/>
        <w:ind w:left="0" w:right="0" w:firstLine="360"/>
        <w:jc w:val="left"/>
        <w:rPr/>
      </w:pPr>
      <w:r>
        <w:rPr>
          <w:rFonts w:ascii="Times New Roman;serif" w:hAnsi="Times New Roman;serif"/>
          <w:b/>
          <w:i/>
          <w:color w:val="000000"/>
          <w:sz w:val="20"/>
        </w:rPr>
        <w:t>Attract more subscribers</w:t>
      </w:r>
      <w:r>
        <w:rPr>
          <w:rFonts w:ascii="Times New Roman;serif" w:hAnsi="Times New Roman;serif"/>
          <w:b w:val="false"/>
          <w:color w:val="000000"/>
          <w:sz w:val="20"/>
        </w:rPr>
        <w:t>. We typically acquire new subscribers through an omni-channel marketing strategy that includes display ads, email, external subscriber lists, and direct mail, as well as television and radio at times. We primarily market in these channels through free-to-paid and direct-to-paid content.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measure our customer-acquisition performance by a matrix of new customer counts and the cost to acquire customers. The mix of our marketing spend across these channels varies among our primary customer-facing brands and depends on how well individual marketing campaigns succeed, the nature of the product, and the type of offer.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invested significant resources into our efforts around consumer marketing, including enterprise-wide customer relationship management (“CRM”) systems, the leveraging of artificial intelligence (“AI”) to analyze this data, and a robust database of customer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all of our marketing efforts, we collect and analyze customer response data by channel and effort, down to the individual advertisement in a marketing campaign. Using this data-driven and time-tested approach, we have developed proprietary practices for customer acquisition that we believe set us apart from other companies.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develop our relationship with the customer, we collect information from our subscribers about what products they are purchasing, their customer experience, and any feedback they have on our free and paid products. We use this information to deepen the customer experience and present offers to our subscribers for other products that they are likely to find interesting and useful.</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Deepen our relationship with our existing subscribers. </w:t>
      </w:r>
      <w:r>
        <w:rPr>
          <w:rFonts w:ascii="Times New Roman;serif" w:hAnsi="Times New Roman;serif"/>
          <w:b w:val="false"/>
          <w:color w:val="000000"/>
          <w:sz w:val="20"/>
        </w:rPr>
        <w:t xml:space="preserve">In addition to our Paid Subscribers, all of our Active Free Subscribers have access to our extensive library of free and educational content. We define Active Free Subscribers unique subscribers who have subscribed to one of our free investment publications via a valid email address and who have received and/or consumed our content during the quarter, excluding any Paid Subscribers who also have free subscriptions. As our subscribers learn and gain confidence as investors, they understand the need to deploy diverse investment strategies for different market conditions and they explore our broad and diverse product offerings. They gain an understanding of the high quality of research that we strive to provide, and they tend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purchase additional research and software products. These deep relationships are evident in the fact that over 50% of our 2025 Billings are attributable to subscribers who have been with us for more than 4 years.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free subscription products serve as a significant source of new Paid Subscribers.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offer members-only investing conferences where subscribers interact with our editors and analysts and can network with each other. We have a strong track record of cultivating these relationships with our subscribers, and we intend to continue that going forward. </w:t>
      </w:r>
    </w:p>
    <w:p>
      <w:pPr>
        <w:pStyle w:val="TextBody"/>
        <w:bidi w:val="0"/>
        <w:spacing w:lineRule="auto" w:line="288" w:before="0" w:after="180"/>
        <w:ind w:left="0" w:right="0" w:firstLine="360"/>
        <w:jc w:val="left"/>
        <w:rPr/>
      </w:pPr>
      <w:r>
        <w:rPr>
          <w:rFonts w:ascii="Times New Roman;serif" w:hAnsi="Times New Roman;serif"/>
          <w:b/>
          <w:i/>
          <w:color w:val="000000"/>
          <w:sz w:val="20"/>
        </w:rPr>
        <w:t>Launch new products and target new markets.</w:t>
      </w:r>
      <w:r>
        <w:rPr>
          <w:color w:val="000000"/>
        </w:rPr>
        <w:t xml:space="preserve"> </w:t>
      </w:r>
      <w:r>
        <w:rPr>
          <w:rFonts w:ascii="Times New Roman;serif" w:hAnsi="Times New Roman;serif"/>
          <w:b w:val="false"/>
          <w:color w:val="000000"/>
          <w:sz w:val="20"/>
        </w:rPr>
        <w:t xml:space="preserve">Over our greater than 25-year history, we have developed a breadth of products and services that are designed to educate, empower, and entertain our subscribers and provide them with actionable investment ideas. </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offer a wide array of paid subscription products, ranging from lower priced products (</w:t>
      </w:r>
      <w:r>
        <w:rPr>
          <w:rFonts w:ascii="Times New Roman;serif" w:hAnsi="Times New Roman;serif"/>
          <w:b w:val="false"/>
          <w:i/>
          <w:color w:val="000000"/>
          <w:sz w:val="20"/>
        </w:rPr>
        <w:t>e.g.</w:t>
      </w:r>
      <w:r>
        <w:rPr>
          <w:rFonts w:ascii="Times New Roman;serif" w:hAnsi="Times New Roman;serif"/>
          <w:b w:val="false"/>
          <w:color w:val="000000"/>
          <w:sz w:val="20"/>
        </w:rPr>
        <w:t>, subscriptions that cost $100 annually) to more expensive products (</w:t>
      </w:r>
      <w:r>
        <w:rPr>
          <w:rFonts w:ascii="Times New Roman;serif" w:hAnsi="Times New Roman;serif"/>
          <w:b w:val="false"/>
          <w:i/>
          <w:color w:val="000000"/>
          <w:sz w:val="20"/>
        </w:rPr>
        <w:t>e.g.</w:t>
      </w:r>
      <w:r>
        <w:rPr>
          <w:rFonts w:ascii="Times New Roman;serif" w:hAnsi="Times New Roman;serif"/>
          <w:b w:val="false"/>
          <w:color w:val="000000"/>
          <w:sz w:val="20"/>
        </w:rPr>
        <w:t>, subscriptions that can cost up to $5,000 annually). The length of our subscriptions can vary from one year to what we refer to as “membership subscriptions,” where subscribers pay upfront for access to our specific products, and then only pay an annual maintenance fee ranging from $49 to $500 per year.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also developed various software applications that provide customers with algorithmic tools to search for trading ideas and manage portfolio risk. We will continue to enhance our value proposition and create additional selling opportunities through an expanded product portfolio.</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Selectively pursue strategic growth. </w:t>
      </w:r>
      <w:r>
        <w:rPr>
          <w:rFonts w:ascii="Times New Roman;serif" w:hAnsi="Times New Roman;serif"/>
          <w:b w:val="false"/>
          <w:color w:val="000000"/>
          <w:sz w:val="20"/>
        </w:rPr>
        <w:t>Over the past several years, we have developed several joint ventures and executed strategic acquisitions to accelerate our growth, as well as increase the value of our offerings to our subscribers.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 strong track record of driving growth and delivering value through the successful integration of acquisitions and joint ventures. We believe our large subscriber base, easy scalability, marketing expertise, technology-based platform, and integration capabilities provide opportunities for us to drive value-added growth through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also made key investments across our platform to create a repeatable, low-cost, and scalable business model. We have invested in business functions from marketing to technology which allow us to scale rapidly.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plan to continue investing in cutting-edge AI and advanced analytics-driven marketing tools to further optimize our marketing channels.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for investment research and financial information software is evolving and is highly fragmented. As the markets in which we operate continue to mature and new technologies and competitors enter those markets, we expect competition to intensify. Our competitor categories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free online financial news aggregators or customer content platforms, like Yahoo! Finance and Seeking Alpha;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traditional financial news publishers, like the Wall Street Journal, Investor’s Business Daily, and Barron’s;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consumer-focused online subscription businesses, such as The Motley Fool;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institutional financial software providers, such as Bloomberg, FactSet, and IHS Markit;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low-cost, “mom and pop” newsletter subscription services,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online investing tools, such as Atom Finance and Stocktwits.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For additional information regarding the competitive environment in which we operate, see Item 1A. Risk Factors —</w:t>
      </w:r>
      <w:r>
        <w:rPr>
          <w:color w:val="000000"/>
        </w:rPr>
        <w:t>“</w:t>
      </w:r>
      <w:r>
        <w:rPr>
          <w:rFonts w:ascii="Times New Roman;serif" w:hAnsi="Times New Roman;serif"/>
          <w:b w:val="false"/>
          <w:i/>
          <w:color w:val="000000"/>
          <w:sz w:val="20"/>
        </w:rPr>
        <w:t>We face significant competition. Many of our competitors and potential competitors have larger customer bases, more established brand recognition, and greater financial, marketing, technological, and personnel resources than we do, which could put us at a competitive disadvantage. Additionally, some of our competitors and potential competitors are better capitalized than we are and are able to obtain capital more easily, which could put us at a competitive disadvantage.”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technology to run our business efficiently and to better serve our customers. Our technology combines three cloud-based systems: software-as-a-service (“SaaS”); platform-as-a-service (“PaaS”); and infrastructure-as-a-service (“IaaS”).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have changed providers in the past and may do so in the future, we currently use top-tier, industry leading service providers for our CRM and marketing, email delivery, subscription billing, data warehouse, and for our data center.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infrastructure is highly scalable and allows us to serve all of our subscribers simultaneously and consistently. Our technology architecture is scalable based on overall traffic and capacity. As a result, we do not believe that growth in the number of subscribers hinders or slows down our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employ data redundancy solutions on the cloud to reduce the possibility that our customer data will be lost and to ensure that our platform will not experience material downtime. We apply industry-standard data security measures to protect against potential vulnerabilities in our technology.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invested heavily in providing a reliable and secure global platform and infrastructure. Our investments in technology, including engineers, online security, customer privacy, reliable infrastructure, and data science capabilities, enable us to efficiently innovate and deliver solutions to our customers. Our cloud platform allows our developers to build and deploy in a lean and agile fashion with a focus on quality and solution adoption.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continue to build out our AI tools and predictive analytics capacity through identification of additional business cases and additional data features.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data center is cloud-based, and through this platform we have been able to integrate the various SaaS and PaaS applications within our technology ecosystem and ensure that we have high availability and redundancy with business continuity in mind in an auto-scaling architecture.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Human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451 total employees across all of our businesses, substantially all of which are full-time. Our employees work from our U.S. offices or remote locations. None of our employees are represented by a labor organization or are party to any collective bargaining arrangement.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seek to attract, engage, and retain top talent through competitive compensation and benefit programs, and by fostering a culture of high performance, creativity and idea exchange as well as inviting diverse perspectives that will enable our employees to thrive and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compensation programs include both fixed and variable components, an incentive award plan providing for equity grants, and an employee stock purchase plan, all of which we believe incentivize our employees to perform at high levels, helps them establish long-term financial security, and encourages them to remain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benefits package includes health and welfare plans that provide medical, dental, and vision coverage, health savings accounts, medical and dependent care flexible spending accounts, life insurance, disability insurance, 401(k) savings plan with a company match, paid time off and other assistance, fitness and wellness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rely on a combination of trademarks and copyrights to protect our intellectual property. We have registered certain of our trademarks and service marks in the United States with the U.S. Patent and Trademark Office and in Canada and China, and have registered copyrights on certain publications. In addition, we have registered our domain names, including </w:t>
      </w:r>
      <w:r>
        <w:rPr>
          <w:rFonts w:ascii="Times New Roman;serif" w:hAnsi="Times New Roman;serif"/>
          <w:b w:val="false"/>
          <w:color w:val="0E32E1"/>
          <w:sz w:val="20"/>
          <w:u w:val="single"/>
        </w:rPr>
        <w:t>MarketWise.com</w:t>
      </w:r>
      <w:r>
        <w:rPr>
          <w:rFonts w:ascii="Times New Roman;serif" w:hAnsi="Times New Roman;serif"/>
          <w:b w:val="false"/>
          <w:color w:val="000000"/>
          <w:sz w:val="20"/>
        </w:rPr>
        <w:t>, with MarkMonitor. We believe the names and marks associated with our brands are of significant value and are important to our business. Accordingly, as a general policy, we monitor the use of our marks and vigorously oppose any unauthorized use of the marks. We do not hold any 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seek to control access to and distribution of our proprietary information. We enter into confidentiality, nondisclosure, and non-interference agreements with our employees, consultants, customers, and vendors that generally provide that any confidential or proprietary information developed by us or on our behalf be kept confidential, and we limit access to our confidential and proprietary information. In the normal course of business, we provide our intellectual property to third parties through licensing or restricted use agreements. In addition, our internal policies seek to protect our intellectual property against misappropriation, infringement, and unfair competition. We intend to pursue additional intellectual property protection to the extent we believe it would be beneficial and cost effective.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180"/>
        <w:ind w:left="0" w:right="0" w:firstLine="450"/>
        <w:jc w:val="left"/>
        <w:rPr/>
      </w:pPr>
      <w:r>
        <w:rPr>
          <w:rFonts w:ascii="Times New Roman;serif" w:hAnsi="Times New Roman;serif"/>
          <w:b w:val="false"/>
          <w:color w:val="000000"/>
          <w:sz w:val="20"/>
        </w:rPr>
        <w:t xml:space="preserve">Our website address is </w:t>
      </w:r>
      <w:r>
        <w:rPr>
          <w:rFonts w:ascii="Times New Roman;serif" w:hAnsi="Times New Roman;serif"/>
          <w:b w:val="false"/>
          <w:color w:val="0E32E1"/>
          <w:sz w:val="20"/>
          <w:u w:val="single"/>
        </w:rPr>
        <w:t>MarketWise.com</w:t>
      </w:r>
      <w:r>
        <w:rPr>
          <w:rFonts w:ascii="Times New Roman;serif" w:hAnsi="Times New Roman;serif"/>
          <w:b w:val="false"/>
          <w:color w:val="000000"/>
          <w:sz w:val="20"/>
        </w:rPr>
        <w:t xml:space="preserve">. The information contained on, or that can be accessed through, our website is deemed not to be incorporated in this Annual Report on Form 10-K or to be part of this Annual Report on Form 10-K or any other report filed with the U.S. Securities and Exchange Commission (“SEC”). Our 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t>
      </w:r>
      <w:r>
        <w:rPr>
          <w:rFonts w:ascii="Times New Roman;serif" w:hAnsi="Times New Roman;serif"/>
          <w:b w:val="false"/>
          <w:color w:val="0E32E1"/>
          <w:sz w:val="20"/>
          <w:u w:val="single"/>
        </w:rPr>
        <w:t>www.sec.gov</w:t>
      </w:r>
      <w:r>
        <w:rPr>
          <w:color w:val="000000"/>
        </w:rPr>
        <w:t xml:space="preserve"> </w:t>
      </w:r>
      <w:r>
        <w:rPr>
          <w:rFonts w:ascii="Times New Roman;serif" w:hAnsi="Times New Roman;serif"/>
          <w:b w:val="false"/>
          <w:color w:val="000000"/>
          <w:sz w:val="20"/>
        </w:rPr>
        <w:t>that contains reports, proxy statements, and other information regarding SEC registrants, including MarketWise,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The risks described below reflect our beliefs and opinions as to factors that could hurt our business, financial condition, or operating results in the future. Although it is not possible to predict or identify all such risks and uncertainties, they may include the factors discussed below. The risks and uncertainties described below are not the only ones we face. Additional risks and uncertainties that we are unaware of, or that we currently believe are not material, may also become important factors that challenge our business or results of operations. References to past events are provided by way of example only and are not intended to be a complete listing or a representation as to whether or not such factors have occurred in the past or their likelihood of occurring in the future.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 and Industry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business depends on our ability to attract new subscribers and persuade them to renew their subscriptions and purchase additional products and services from us. If we are unable to attract new subscribers or fail to engage existing subscribers, our revenue and operating results may suffer.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increase our revenue and maintain profitability, we must attract new subscribers, retain existing subscribers, and expand the subscriptions of current customers. Our ability to do so depends in part on the quality of our content, including the performance of the investment research we publish. If the performance of such research falls short of our subscribers’ expectations, our ability to attract and retain subscribers will decline.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substantial amount of our revenue is generated from subscription renewals by our existing subscribers. Our subscribers have no obligation to renew their subscriptions once the subscription period, typically one year, expires. In the normal course of business, some subscribers will elect not to renew their subscriptions. In addition, our subscribers may renew for lower subscription amounts or for shorter contract lengths. We may not accurately predict renewal rates for our subscribers, and our renewal rates may decline or fluctuate as a result of various factors, including subscriber engagement and product utilization levels, quality of our content, price changes, expiration of temporary product promotions, number of products or services used by our subscribers, customer satisfaction or dissatisfaction, pricing or capabilities of the products and services offered by our competitors, increased competition, reduction in customer spending levels, changes in our renewal policies or practices, and deteriorating general economic conditions. We must continually add more new subscribers than those who do not renew their subscriptions to grow our business beyond our current subscriber base. This effort may involve significantly higher marketing expenses. If our subscribers do not renew their subscriptions, buy additional content, or maintain or increase the amount they spend with us, our revenue will decline and our business will suffer.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also depends on our ability to sell additional products, more subscriptions, or higher-priced and premium editions of our products and services to our current subscribers. Doing so requires increasingly sophisticated and costly sales efforts. We seek to expand existing subscriptions by deepening customer engagement by expanding our portfolio of tools and products for purchase. The rate at which our existing subscribers purchase new or enhanced services depends on a number of factors, including the quality of our content, general economic conditions, the level of interest and investment in individual stocks and other self-directed investment vehicles versus index funds, exchange-traded funds and other passive investment vehicles, number of products or services used by our subscribers, customer satisfaction or dissatisfaction with our products or services, pricing or capabilities of the products and services offered by our competitors, increased competition, reduction in customer spending levels, and our subscribers’ receptiveness to higher-priced and premium tools and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subscribers initially register for subscriptions to our free products and services. We strive to demonstrate the value of our free products to our subscribers, thereby encouraging them to convert to paying subscribers. As of December 31, 2025, we had approximately 2 million total subscribers, of which approximately 374 thousand were Paid Subscribers. The actual number of unique subscribers may be lower than we report as one person could count as multiple Active Free Subscribers or Paid Subscribers. As a result, we may have fewer unique subscribers that we may be able to convert, upsell or cross-sell. Our inability to determine the number of our unique subscribers is a limitation in the data that we measure and may adversely affect our understanding of certain aspects of our business and make it more challenging to manage our business. Most of our Active Free Subscribers never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convert to a Paid Subscribers, and if we are unable to convert a sufficient number of Active Free Subscribers to Paid Subscribers, our business, results of operations and financial condition could suffer.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market our products and services, or to monitor and manage our use of social media platforms as marketing tools, it could harm our business’s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marketing efforts are designed to identify and attract prospective subscribers primarily within our target market and ultimately convert them into long-term subscribers. We also employ marketing to promote our content, drive conversation about our content and services, and promote website visits by our subscribers. We utilize a broad mix of marketing programs and platforms, including social media sites, to promote our services and content to current and prospective subscribers.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successfully reach a larger number of prospective subscribers and attract new subscribers, we must continually assess the manner and platforms on which we are marketing our products and services. Rapid changes in technology and the ways in which people are reached can make this process more difficult. If we are unable to effectively and efficiently market our products and services, our business, results of operations, and financial condition may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email communication has historically been one of our primary means of communicating with our subscribers and keeping them engaged with our products. Our ability to communicate via email enables us to keep our subscribers updated on new products and present discount and promotional offers. As consumer habits evolve in the era of web-enabled mobile devices and messaging/social networking apps, email usage, particularly among the younger demographic, has declined. In addition, restrictions imposed by third-party email providers and/or applicable law have limited our ability to send emails to our current or prospective subscribers. While we continually work to find new means of communicating and connecting with our subscribers, we cannot guarantee that such alternative means of communication will work. Any failure to develop or take advantage of new means of communication or limitations on those means of communications imposed by laws, device manufacturers, or other sources could hurt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limit or discontinue use or support of certain marketing sources or activities if advertising costs increase or if we believe that certain marketing platforms or practices are intrusive or damaging to our brand. In addition, companies that promote our services or permit us to use their marketing platforms may decide that their relationship with us hurts their business, or they may make business decisions that harm us. For example, if a company that currently promotes our business decides to compete directly with us, enter a similar business, deny us access to its platform, or exclusively support our competitors, we may no longer have access to their marketing channels.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cost-effectively use social media platforms or ad networks as marketing tools, our ability to acquire new subscribers and our financial condition may suffer. Unauthorized or inappropriate use of our social media channels could result in harmful publicity or negative customer experiences, which could undermine our marketing in these channels. In addition, substantial negative commentary by others on social media platforms could hinder our ability to successfully connect with consumers.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Agencies, such as the U.S. Federal Trade Commission (the “FTC”) and state consumer protection agencies, regulate our marketing activities with extensive and rapidly evolving rules. We have received regulatory inquiries from state consumer protection agencies and could be the subject of further regulatory inquiry in the future. The failure by us, our employees, or third parties acting at our direction to comply with applicable laws and regulations could subject us to regulatory investigations, lawsuits, including class actions, liability, fines, or other penalties. Any such actions could challenge our business. Increasing our use of social media platforms for product promotion and marketing will increase our need to monitor our compliance with regulations surrounding social media marketing, and increase the risk that some materials could contain problematic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Inefficient or ineffective promotion of our content could prevent us from maintaining and growing our subscriber base, which would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maintain and protect our reputation for trustworthiness and independence may harm our business. In addition, our business, results of operations, and financial condition could suffer from attacks on the reputation of any of our current or former directors, officers, key contributors, editors, or editorial staff.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portfolio of brands are highly regarded because of the integrity of their editorial content. Independence is at the core of our brands and business, and we believe that the reputation of our company and our brands is one of our greatest assets. Importantly, we believe that one of our greatest competitive advantages is the loyalty that we have gained from our subscribers as a direct result of our brand, reputation for integrity, and ability to deliver high-quality products and services. To protect our brands, our corporate policies, codes of conduct, and workplace culture demand that all of our content providers, whether employees or outside contributors, adhere to rigorous standards of integrity and independence. Our internal guidelines are designed to prevent any actual, potential, or perceived conflict of interest, and ensure we comply with all applicable laws, including securities laws. The occurrence of events such as our misreporting a market event, the non-disclosure of a security ownership position by one or more of our content providers, the manipulation of a security by one or more of our content providers, or any other breach of our compliance policies could harm our reputation for trustworthiness and reduce our subscriber base. Despite our rigorous standards of integrity and independence, we have experienced instances where our content providers have not lived up to these standards and have breached our compliance policies. These events can damage our reputation for trustworthiness and independence, and may have an adverse effect on our business, results or operations, and financial condition. For example, we have terminated content providers for violating our corporate policies and closed operating businesses because of the reputational harm caused by such policy violations.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harm to the reputation of any of our current or former directors, officers, key contributors, editors, or staff could adversely affect us because of our association with such individual. Our operating brands depend heavily on the ideas and reputation of their editors and editorial teams, and often name products and operating companies after members of those editorial teams. Our editors and editorial team members have been the subject of regulatory actions, accusations, claims, investigations, lawsuits, and/or settlements, which may have had and may continue to have a negative impact to our reputation, subscriber base, and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failing to instill in our employees the expectation of independence and integrity may devalue our reputation over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factors beyond our control could also harm our reputation. Adverse news reports about our products and services, bad press about the investment newsletter industry generally, or about key personnel associated with our business could hurt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effectively manage our growth, our business, results of operations, and financial condition could be harmed.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scope and complexity of our business have increased significantly in recent years, creating significant challenges for our management, operational, and financial resources. As our operations or the number of our third-party relationships continue to grow, our information technology systems and our internal controls and procedures may not be adequate to support our operations. To effectively manage our growth, we must continue to improve our operational, financial, and management processes and systems and to effectively expand, train, and manage our employee base. If our organization experiences growth or we are required to implement more complex organizational management structures, we may find it increasingly difficult to maintain the benefits of our corporate culture, including our ability to quickly develop and launch new and innovative products and solutions.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must effectively integrate, develop, and motivate new employees, and we must maintain the beneficial aspects of our corporate culture. Otherwise, our business performance could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effectively manage our growth,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efficiency, ability to meet our forecasts, and employee morale, productivity, and retention could suffer, and our business, results of operations, and financial condition could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future success depends on attracting, developing, and retaining capable management, editors, and other key personnel.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marketplace depends upon our ability to recruit and retain key employees, including executives to operate our business, technology personnel to run our publishing, commerce, communications, video, and other systems, direct marketers to sell subscriptions, and salespersons to sell our subscriptions, and financial editors and analysts to fulfill our editorial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some of our products, particularly our editorial products, reflect the talents, efforts, personalities, investing skills, portfolio returns, and reputations of their respective editors and analysts. As a result, the services of these key editors and analysts form an essential element of our revenue generation. The pool of editors and analysts with the personality, skills, training, and education necessary to meet our standards is limited. We compete with many businesses and organizations that are seeking skilled individuals, particularly those with experience in the financial industry and those with degrees in technical fields. Competition for such professionals can be intense, as other companies seek to enhance their positions in the markets we serve.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Several of our employees are bound by agreements containing non-competition provisions. However, the laws governing the effectiveness and usage of non-competition provisions are rapidly evolving. We cannot guarantee that these arrangements with key employees will provide adequate protections to us or will not result in management changes. In addition, retaining our key executives, as well as other employees, through competitive salaries, stock ownership, and bonus plans may increase our costs. Nevertheless, we can make no assurances that these programs will allow us to retain our management or key employees or hire new employees. Losing key employees, if we cannot attract qualified replacements, could harm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significant competition. Many of our competitors and potential competitors have larger customer bases, more established brand recognition, and greater financial, marketing, technological, and personnel resources than we do, which could put us at a competitive disadvantage. Additionally, some of our competitors and potential competitors are better capitalized than we are and are able to obtain capital more easily, which could put us at a competitive disadvantage.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experience intense competition across all markets for our products. Our competitors range in size from smaller, specialized publishers to multimillion-dollar corporations. Many of our competitors have larger customer bases, more established name recognition, greater market share, and larger financial, marketing, technological, and personnel resources than we do. Our industry has few barriers to entry, and we expect to face additional competition from new entrants into the financial publishing industry. In particular, our services face intense competition from other providers of business, personal finance, and investing content,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free online financial news aggregators and content providers, like Yahoo! Finance and Seeking Alpha;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traditional financial news publishers, like The Wall Street Journal, Investor’s Business Daily, and Barron’s;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consumer-focused online subscription businesses, such as The Motley Fool;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social media networks, subscription networks, and content platforms, like X, Reddit and Substack;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institutional financial software providers, such as Bloomberg, FactSet, and IHS Markit.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compete successfully depends on many factors,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quality, originality, timeliness, insightfulness, and trustworthiness of our content;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popularity and performance of our contributors;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our recommendations and research;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introduce products and services that keep pace with new investing trends;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adopt and deploy new technologies for running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ease of use of services </w:t>
      </w:r>
      <w:r>
        <w:rPr>
          <w:rFonts w:ascii="Times New Roman;serif" w:hAnsi="Times New Roman;serif"/>
          <w:b w:val="false"/>
          <w:color w:val="000000"/>
          <w:sz w:val="20"/>
          <w:shd w:fill="FFFFFF" w:val="clear"/>
        </w:rPr>
        <w:t>developed</w:t>
      </w:r>
      <w:r>
        <w:rPr>
          <w:color w:val="000000"/>
        </w:rPr>
        <w:t xml:space="preserve"> </w:t>
      </w:r>
      <w:r>
        <w:rPr>
          <w:rFonts w:ascii="Times New Roman;serif" w:hAnsi="Times New Roman;serif"/>
          <w:b w:val="false"/>
          <w:color w:val="000000"/>
          <w:sz w:val="20"/>
        </w:rPr>
        <w:t>by us or our competitors, and the effectiveness of our sales and marketing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Future competition may result in price reductions, lower sales volumes, reduced margins, or loss of market share, any of which could damage our business, results of operations, and financial condition.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advances in technology have reduced the cost of production and online distribution of print, audio, and video content. Lower production costs has reduced and/or removed barriers for market entry to providers of both free and paid content. Many of our competitors offer ad-sponsored content that enables them to deliver content for low, or no, subscription costs. While most of our platforms do not rely on ad-sponsored content, we compete with these other publications and services for customers, employees, and contributors.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media technologies and platforms are rapidly evolving, and the technologies and platforms through which data is consumed can shift quickly. Some competitors may more quickly take advantage of consumer preference for new technologies and platforms. Distributing content via these new technologies and platforms may prove more economic than using our current platforms. If we fail to offer our content in the manner or on the platforms in which our audience desires to consume it, or if we do not have offerings that are as compelling and/or cost effective as those of our competitors, our business, results of operations, and financial condition may suffer.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Adverse or weakened conditions in the financial sector, global financial markets, and the broader global economy, trade policies, and geopolitical events may impact our business, financial conditions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influenced by general economic trends, political and regulatory developments, and the overall stability and functioning of financial markets. Global macroeconomic conditions and U.S. financial markets remain vulnerable to a range of risks posed by factors such as, economic recessions, fluctuation in interest rates, rising inflation, volatility in commodity prices, foreign currency movements, trade policies and international tariffs, and broader social, political and economic instability. Additional risks include actual or threatened hostilities, military conflict and acts of war, terrorism, civil unrest, uncertain in major global economies, complications affecting global trade or travel, and geopolitical tensions, including conflicts in the Middle East, Russia and Ukraine, concerns about China’s economy, complications involving terrorism, armed conflicts, civil unrest around the world, or other challenges to global trade, related sanctions and other restrictive governmental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downturn and volatility in the economy or financial markets could affect customer confidence and behavior, leading to reductions or delays in capital spending, discretionary purchases, and investments in data and content solutions. Our average customers are people at or approaching retirement age who may be particularly vulnerable during economic downturns. As a result, unfavorable market or economic conditions could reduce demand for our products and services and negatively affect our revenues, cash flows, and overall financial performance.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success depends on our ability to respond to and adapt to changes in technology and consumer behavior.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technology landscape has been changing at an accelerating rate over the past several years. Advances in technology have led to an increasing number of methods for delivery of content and have resulted in a wide and evolving variety of consumer demands and expectations. The increasing number of digital media options available on the Internet, through social-networking tools, mobile applications and other devices, is expanding consumer choice significantly.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Given a multitude of media choices and a dramatic increase in accessible information, consumers may place greater value on when, where, how, and at what price they consume digital content. If we are unable to exploit new and existing technologies to distinguish our products and services from those of our competitors or adapt to new distribution methods that provide optimal user experiences, our business, results of operations, and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condition may weaken. In addition, our reputation could suffer if consumers perceive that we are not moving quickly enough to meet the changing needs of investors.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will depend upon our ability to identify and develop new products and enhancements that address the needs of our target markets and respond to their changing demands. We may not always be successful in developing, introducing, marketing, licensing, and implementing new products and enhancements on a timely and cost-effective basis or without impacting the performance, stability, security, or efficiency of existing products and customer systems. Further, any new products and enhancements may not adequately meet the needs of our target markets. Our failure to anticipate and respond to changes in the marketplace, including competitor and supplier developments, may hinder our business, operations, and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technology continues to evolve, the expenditures necessary to integrate new technology into our products and services could be substantial. We may incur additional operating expenses if such integration projects take longer than anticipated. Other companies employing new technologies before we are able to do so could compete with our business. If we are not successful in responding to changes in technology and consumer behavior, we may lose new business opportunities or potential renewals or upgrades from existing subscribers.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successfully integrate acquisitions, identify and integrate future acquisitions, or dispose of assets and businesses, our results of operations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acquired businesses in the past as part of our strategic plan, and we intend to continue to pursue selective acquisitions to support our business strategy. These acquisitions involve a number of risks and challenges, which could cause significant operating inefficiencies and limit our growth and profitability. Such risks and challenges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underperformance relative to our expectations and the price paid for the acquisition;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unanticipated demands on our management and operational resources;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failure to improve scalability;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difficulty in integrating personnel, operations, and systems;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retention of customers of the combined businesses;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inability to maintain relationships with key customers, suppliers, and partners of an acquired business;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assumption of contingent liabilities;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acquisition-related earnings charges.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Financing an acquisition could result in dilution from issuing equity securities, reduce our financial flexibility because of reductions in our cash balance, or result in a weaker balance sheet from incurring debt.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benefits of an acquisition or an investment may take considerable time to develop. Certain acquisitions have not advanced our business strategy and have fallen short of expected returns on our investment. We have recorded impairment charges because our acquisitions were not successful and may record future impairment charges related to unsuccessful acquisitions. Our ability to continue to make acquisitions will depend upon our success at identifying suitable targets at acceptable prices, which requires substantial judgment in assessing their values, strengths, weaknesses, liabilities, and potential profitability, as well as the availability of capital.</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recognize revenue from subscriptions for our services over the term of the subscription, downturns or upturns in new business may not be immediately reflected in our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revenue from subscribers ratably over the terms of their subscription agreements, which are typically one year, but can range from one month to multiple years. As a result, most of the revenue we report in each period is the result of subscription agreements entered into during prior periods. Consequently, a decline in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or renewed subscriptions in any one period may not be reflected in our revenue and operating results for that period. However, any such decline may undercut our revenue and operating results in future periods.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subscription model also makes it difficult for us to rapidly increase our revenue through additional sales in any period, as revenue from additional sales must be recognized over the applicable subscription term. By contrast, a significant portion of our operating costs are expensed as soon as a subscriber purchases a product. As a result, an increase in subscribers could result in recognition of more costs than revenue in the earlier portion of the subscription term. We may not attain sufficient revenue to maintain positive cash flow from operations or achieve profitability in any given period.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products, and facilities are at risk of a number of material disruptive events that our operational risk management and business continuity programs may not be adequate to address.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and products are dependent on our ability to provide investment research, software applications, and other products and services on a current and time-sensitive basis. We rely on our computer systems and other network infrastructure, which are located across multiple facilities in the United States. Problems in our network systems may lead to cascading effects involving downtime, overloading of third-party data centers, and other issues that may affect our subscribers. We and our vendors are at risk of disruptions from numerous factors, including major weather events, fires, droughts, floods, earthquakes, volcanic activity, diseases, epidemics, pandemics, violent incidents, terrorist attacks, natural disasters, power loss, telecommunications, Internet, and other critical infrastructure failures, governmental actions, strikes and labor disturbances, riots, civil unrest, terrorism, war, abrupt political change, viruses, responses by various governments and the international community to any such acts, and other events beyond our control. Such events could cause delays in initiating or completing sales, impede our subscribers’ access to our products and services, disrupt or shut down critical client-facing and business processes, impede the travel of our personnel, dislocate our critical internal functions and personnel, and in general harm our ability to conduct normal business operations, any of which could damage our financial condition and operating results.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along with our third-party service providers, may modify, enhance, upgrade, and implement new systems, procedures, and controls to reflect changes in our business, technological advancements, and industry trends. Implementing new systems and integrating them with existing ones creates risks, such as the disruption of our electronic delivery systems, data management, and sales and service processes. If we, or our third-party service providers, do not successfully implement, maintain or expand these systems as planned, it could disrupt our operations and impair our ability to report and certify accurate and timely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our proprietary information, intellectual property, or the personal information that we hold has been, and could be in the future, compromised or misappropriated, which may damage our reputation. These risks can limit our ability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our comprehensive suite of research and software solutions, including our financial software and analytical tools;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adequately protect our intellectual property;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achieve and maintain compliance with applicable laws, regulations and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also incur additional costs in relation to any new systems, procedures, and controls. We may require additional management attention to ensure an efficient integration, placing burdens on our internal resources.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Most of our products and services depend on our electronic delivery systems and the Internet. Our ability to deliver information using the Internet may be impaired by infrastructure failures, disruptions, or outages in our systems or those of our third-party service providers or Internet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also subject to potential shortcomings in our own business resilience practices, such as failures to fully understand dependencies between different business processes across the locations at which they are performed, inadequate vendor risk-assessment and management processes and critical vendor dependencies, concentration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certain critical activities in areas of geopolitical risk or with “single point of failure” employees or employee groups, and possibly ineffective location recovery strategies in the event of a location disruption.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Disruptions to our third-party technology providers and management systems could harm our business and lead to loss of subscribers.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third-party technology providers and management systems to distribute our content and process transactions. We exercise no control over our third-party vendors or the infrastructure under which they operate. We are vulnerable to any errors, interruptions, or delays in their operations. Any disruption in the services provided by these vendors or their inability to keep up with our growing demands for capacity could harm our business reputation, customer relations, and operating results. Upon expiration or termination of any of our agreements with third-party vendors, we may not be able to replace the services provided to us in a timely manner or at all, or on terms and conditions, including service levels and cost, that are favorable to us. A transition from one vendor to another vendor could subject us to operational delays and inefficiencies until the transition is complete.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Moreover, our third-party technology providers may disagree with, or choose to take a public stance against, the editorial content produced by certain of our operating brands, or otherwise decide to cease providing services to us. This may result in, among other things, disruption in our operations, copycat behavior by other of our vendors, difficulty retaining or attracting employees, or negative media attention.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business growth, and such capital might not be available on acceptable terms, if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growth and may require additional funds to respond to business challenges, including the need to develop new features and products or enhance our existing services, improve our operating infrastructure, or acquire complementary businesses and products. Accordingly, we may need to raise money through equity or debt financings. Issuances of equity or convertible debt securities could dilute our existing stockholders. Any new equity securities we issue could also have rights, preferences, and privileges superior to those of holders of Class A common stock. Debt financing could involve covenants that restrict subsequent efforts to raise capital..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impaired.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are subject to payment processing risk.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subscribers pay for our services using a variety of different payment methods, including credit and debit cards, prepaid gift cards, and direct debit. We rely on internal systems, as well as those of third parties, to process payments. Acceptance and processing of these payment methods are subject to rules and regulations, including additional authentication requirements for some payment methods. They also require payment of interchange and other fees, which may increase over time and raise our operating costs and lower our profit margins. For example, we have in the past experienced higher transaction fees from our third-party processors as a result of chargebacks on credit card transactions. Changing terms and conditions by credit card companies may result in the way we accept payments being deemed non-compliant and potentially cause us to be suspended or terminated by our payment processors.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revenues, operating expenses, and results of operations could be weakened by: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increases in payment processing fees or the cash reserves required by third party payment processors,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material changes in the payment ecosystem, such as large re-issuances of payment cards,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public perception and confidence in the payment systems we are utilizing,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receiving payments from payment processors,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to rules or regulations concerning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loss of payment partners, and/or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disruptions or failures in our payment processing systems, partner systems, or payment products, including products we use to update payment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from time to time, we encounter fraudulent use of payment methods, which could impact our results of operations and, if not adequately controlled and managed, could create negative consumer perceptions of our products and services. If we are unable to maintain our fraud and chargeback rate at acceptable levels, card networks may impose fines and/or reserves, our card approval rate may be impacted, and we may be subject to additional card authentication requirements. The termination of our ability to process payments on any major payment method would significantly impair our ability to operate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Legal and Regulatory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Failure to comply with federal and state securities laws and regulations, or other regulatory action or investigations, could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Various aspects of our business and services are subject to federal, state, and local regulation, as well as regulation outside the United States. We rely upon the “publisher’s exclusion” from the definition of “investment adviser” under Section 202(a)(11)(D) of the Investment Advisers Act of 1940, as amended (the “Advisers Act”), and corresponding state securities laws for our investment newsletter business. In order to maintain our qualification for this exclusion, our newsletter publications must be: (1) of a general and impersonal nature, in that the advice provided is not adapted to any specific portfolio or any client’s particular needs; (2) “bona fide” or genuine, in that it contains disinterested commentary and analysis as opposed to promotional material; and (3) of general and regular circulation, in that it is not timed to specific market activity or to events affecting, or having the ability to affect, the securities industry. The United States Supreme Court in </w:t>
      </w:r>
      <w:r>
        <w:rPr>
          <w:rFonts w:ascii="Times New Roman;serif" w:hAnsi="Times New Roman;serif"/>
          <w:b w:val="false"/>
          <w:i/>
          <w:color w:val="000000"/>
          <w:sz w:val="20"/>
        </w:rPr>
        <w:t>Lowe v. Securities and Exchange Commission</w:t>
      </w:r>
      <w:r>
        <w:rPr>
          <w:rFonts w:ascii="Times New Roman;serif" w:hAnsi="Times New Roman;serif"/>
          <w:b w:val="false"/>
          <w:color w:val="000000"/>
          <w:sz w:val="20"/>
        </w:rPr>
        <w:t xml:space="preserve">, 472 U.S. 181 (1985), held that a publisher of advice concerning securities, even where that advice consisted of specific recommendations to buy, sell, or hold particular securities, is entitled to rely on the publisher’s exclusion where the publisher does not offer individualized advice tailored to any specific portfolio or to any client’s particular needs. As long as communications between the publisher and its subscribers remain entirely impersonal and do not develop into the kind of fiduciary relationships that are characteristic of investment adviser-client relationships, the </w:t>
      </w:r>
      <w:r>
        <w:rPr>
          <w:rFonts w:ascii="Times New Roman;serif" w:hAnsi="Times New Roman;serif"/>
          <w:b w:val="false"/>
          <w:i/>
          <w:color w:val="000000"/>
          <w:sz w:val="20"/>
        </w:rPr>
        <w:t>Lowe</w:t>
      </w:r>
      <w:r>
        <w:rPr>
          <w:color w:val="000000"/>
        </w:rPr>
        <w:t xml:space="preserve"> </w:t>
      </w:r>
      <w:r>
        <w:rPr>
          <w:rFonts w:ascii="Times New Roman;serif" w:hAnsi="Times New Roman;serif"/>
          <w:b w:val="false"/>
          <w:color w:val="000000"/>
          <w:sz w:val="20"/>
        </w:rPr>
        <w:t>court held that such products and publications presumptively fall within the exclusion and thus the publisher is not subject to registration under the Advisers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our provision of financial research products meets the requirements of the publisher’s exclusion. The financial research products we offer to our clients are of a general and impersonal nature and are not individualized or tailored to any client’s particular needs. We do not collect any investor suitability information, nor do we perform any suitability analysis. The products are marketed to the general public and do not reflect any fiduciary or person-to-person relationships that are characteristic of investment adviser-client relationships. Our financial research offerings are genuine publications, providing disinterested and impersonal commentary and analysis to our subscribers. We are not compensated by the sponsors or distributors of any investment products highlighted in our publications. We publish our research reports on a routine or periodic basis, and publication is not timed to specific market activity or to events affecting or having the ability to affect the securities industry. The publication frequency of our newsletters varies, though newsletters are generally published on a monthly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change our business practices in such a way as to not satisfy the publisher’s exclusion, or otherwise fail to comply with the regulatory requirements concerning this exclusion, we may face civil and/or criminal penalties as an unregistered investment adviser or other consequences that could damage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are deemed an “investment adviser” and eligible for the “publisher’s exclusion,” we would have to register as an investment adviser with the SEC and potentially with one or more states under similar state laws. Registration requirements for investment advisers are burdensome and costly. Under the Advisers Act and corresponding state laws, we would take on (i) fiduciary duties to clients; (ii) substantive prohibitions and requirements; (iii) contractual requirements; (iv) record-keeping requirements; and (v) administrative oversight by the SEC, primarily by inspection. If we are required to register under these laws, we may no longer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continue to offer our investment research services, which may have a significant adverse impact on our business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could face liability for the information and data we collect and distribute or the reports and other documents produced by our software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be subject to claims for securities law violations, defamation (including libel and slander), negligence, or other claims relating to the information we publish, including our research. For example, investors may take legal action against us if they rely on published information that contains an error, or a company may claim that we have made a defamatory statement about it or its employees.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a variety of outside sources for the information we use in our published material. These sources include securities exchanges and other data providers. We also incorporate data from a variety of third-party sources. Accordingly, in addition to possible exposure for publishing incorrect information that results directly from our own errors, we could face liability based on inaccurate data provided to us by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could be subject to claims by providers of publicly available data and information, which we compile from websites and other sources, alleging that we have improperly obtained that data in violation of the source’s copyrights or terms of use. Additionally, we could be subject to claims based on legislation that limits the personal information we can collect from and about individuals. We could also be subject to claims from third parties, such as securities exchanges, from which we license and redistribute data and information, alleging that we have used or redistributed the data or information in ways not permitted by our license rights, or that we have inadequately permitted our subscribers to use such data. The agreements with such exchanges and other data providers give them extensive data use audit rights, and such audits can be expensive and time consuming and potentially result in substantial fines. Defending claims based on the information we publish could be expensive and time-consuming and could hurt our business, operating results,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not adequately protect or enforce our own intellectual property and may incur costs to defend against, or face liability for, intellectual property infringement claims (or related claims) of others.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protect our intellectual property, we rely on a combination of trademarks, copyrights, confidentiality agreements, and various other contractual arrangements with our employees, affiliates, customers, strategic partners, and others. We own several trademark registrations and copyright registrations, and have pending trademark applications, including in the United States and Canada. We may seek additional trademark, patent, and other intellectual property filings, which could be expensive and time-consuming. These trademarks, patents, and other registered intellectual property rights may not be granted and, even if they are, it could be expensive to maintain these rights and the costs of defending our rights could be substantial.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code of conduct, employee handbook, and other internal policies seek to protect our intellectual property against misappropriation, infringement, and unfair competition. We also utilize various tools to police the Internet to monitor piracy and unauthorized use of our content. In addition, whether we grant access to our intellectual property via contract or license third-party content and/or technology, we incorporate contractual provisions to protect our intellectual property and seek indemnification for any third-party infringement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cannot provide any guarantee that the foregoing provisions will be honored by or enforceable against the counterparties to such arrangements. Nor can we guarantee they will be adequate to protect us from third-party claims, suits, government investigations, and other proceedings involving alleged violation of third-party intellectual property rights. Similarly, we cannot ensure these provisions will prevent the theft of our intellectual property, as we may be unable to detect the unauthorized use of or take appropriate steps to enforce our intellectual property rights. Our intellectual property rights may not survive a legal challenge to their validity or provide significant protection for us. In addition, our ability to enforce and protect our intellectual property rights may be limited in certain countries outside the United States because of the differences in foreign laws that could make it easier for competitors to capture a market position by using technologies and products that are similar to those developed, owned by, or licensed to us. Failure to adequately protect our intellectual property could harm our brand, devalue our proprietary content, and limit our ability to compete effectively. Further, any infringement claims, even if not meritorious, could result in the expenditure of significant financial and managerial resources on our part,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which could hurt our business, results of operations, and financial condition. In addition, the various agreements, policies, procedures, and contractual provisions that we rely on to protect our proprietary rights do not prevent our competitors from independently developing technologies that are substantially equivalent or superior to those contained in our products and services. Although we have generally taken measures to protect our proprietary rights, there can be no assurance that others will not offer products or concepts that are substantially similar to ours and compete with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software and Internet industries involve a large number of patents, trademarks, and copyrights. The industries are fraught with litigation based on allegations of infringement, misappropriation, dilution, conflict with, or other violations of intellectual property rights. In addition, various “non-practicing entities” that own patents and other intellectual property rights often attempt to aggressively assert their rights in order to extract value from providers of software products or services. From time to time, we may introduce or acquire new products, including in areas where we historically have not competed, which could increase our exposure to patent and other intellectual property claims from competitors and non-practicing entities.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been subject to claims in the past by third parties alleging infringement, misappropriation, dilution, or violation of, or conflict with, their intellectual property rights and other related claims. Such claims can also be alleged against clients, customers, or distributors of our products or services whom we have agreed to indemnify against third-party claims of infringement. The defense of such claims can be costly and consume valuable management time and attention. We could lose such a case or be forced to settle on unfavorable terms. In either case, we could be forces to pay damages, enter into unfavorable royalty or licensing arrangements, or redesign or stop offering the affected products or services. Such claims and litigation could harm our business, financial condition, or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database and network facilities, and those of our third-party service providers, could fail, become unavailable, or otherwise inadequate, and are subject to cybersecurity risks. Failures of our internal security measures or breach of our privacy protections could cause us to lose subscribers and subject us to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database and network facilities, and those of our third-party service providers, are vulnerable to attempted cybersecurity attacks that may take a variety of forms, including, infrastructure, botnets, malicious file attacks, cross-site scripting, credential abuse, ransomware, bugs, viruses, worms, malicious software programs, and denial of service attack. These attacks could lead to misappropriation of our data, corruption of our databases, or limitation of access to our information systems. To defend against these threats, we have a series of controls focusing on both prevention and detection, including firewalls, intrusion detection systems, automated scanning and testing, server hardening, antivirus software, training, and patch management. We cannot guarantee that these efforts will work as planned. We make significant investments in servers, storage, and other network infrastructure to prevent such incidents, but cannot guarantee that these efforts will work as planned.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cybersecurity incidents or other significant disruptions could be caused by persons inside our organization, persons outside our organization with authorized access to systems inside our organization, or by individuals outside our organization. Although the cybersecurity incidents that we have experienced to date, as well as those reported to us by our third-party partners, have not had a material effect on our business, financial condition or results of operations, they could be more damaging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Our business requires that we securely collect, process, store, transmit, and dispose of confidential information relating to our operations, subscribers, employees, and other third parties. </w:t>
      </w:r>
      <w:r>
        <w:rPr>
          <w:rFonts w:ascii="Times New Roman;serif" w:hAnsi="Times New Roman;serif"/>
          <w:b w:val="false"/>
          <w:color w:val="000000"/>
          <w:sz w:val="20"/>
          <w:shd w:fill="FFFFFF" w:val="clear"/>
        </w:rPr>
        <w:t xml:space="preserve">We collect Paid Subscribers’ information </w:t>
      </w:r>
      <w:r>
        <w:rPr>
          <w:rFonts w:ascii="Times New Roman;serif" w:hAnsi="Times New Roman;serif"/>
          <w:b w:val="false"/>
          <w:color w:val="000000"/>
          <w:sz w:val="20"/>
        </w:rPr>
        <w:t xml:space="preserve">including name, mailing address, phone number, email address, and credit card information (collectively “personal information”), which we use to administer our services. We also collect the Free Subscribers (as defined below) . Additionally, we rely on security and authentication technology licensed from third parties to perform real-time credit card authorization and verification. At times, we also rely on third parties, including technology consulting firms, to help protect our infrastructure from security threats.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However, despite our investments, these measures do not guarantee absolute security, and improper access to or release of confidential information has occurred in the past. Any cybersecurity incident could result in the loss or destruction of, inaccessibility or unauthorized access to, or use, alteration, disclosure, or acquisition of, data.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incidents could also result in damage to our reputation, litigation, regulatory investigations, or other liabilities. These attacks may come from individual hackers, criminal groups, and/or state-sponsored organizations.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suffered in the past, and may in the future suffer, malicious attacks by individuals or groups (including criminal groups and those sponsored by nation-states, terrorist organizations, or global corporations seeking to illicitly obtain technology or other intellectual property) seeking to attack our products and services or penetrate our network infrastructure to gain access to confidential information, including personal information, or to launch or coordinate distributed denial of service attacks. While we have dedicated resources intended to maintain appropriate levels of cybersecurity and implemented systems and processes intended to help identify cyberattacks and protect our network infrastructure, these attacks have become increasingly frequent, sophisticated, and difficult to detect, and often are not detected until after they have been launched against a target. We may be unable to anticipate these attacks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Recent well-publicized security breaches at other companies have led to further enhanced government and regulatory scrutiny of the measures taken by companies to protect against cyberattacks. It may in the future result in heightened cybersecurity requirements, including the implementation of more robust internal measures and additional regulatory expectations for oversight of customers, vendors, and service providers. Our information technology systems interact with those of customers, vendors, and service providers. Our contracts with those parties typically require them to implement and maintain adequate security controls, but we may not have the ability to effectively monitor the security measures of all our third-parties to meet such additional regulatory expectations.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we engage third-party vendors and service providers to store and process some of our customers’ personal information. Those vendors may be the targets of cyberattacks. Our ability to monitor our vendors’ and service providers’ data security is limited, and, in any event, attackers may be able to circumvent those security measures, resulting in the theft and misuse of our and our customers’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security measures are breached and, as a result, someone obtains unauthorized access to our data, our reputation may be damaged, our business may suffer, and we could incur significant liability. Even the perception of inadequate security may damage our reputation and hurt our ability to win new customers and retain and receive timely payments from existing customers. In addition, we could be subject to private litigation and actions from government regulators, which could cost a lot to defend and/or result in significant penalties and reputational damage. Finally,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laws, regulations, and industry standards related to data privacy, data protection, and information security, including industry requirements such as the Payment Card Industry Data Security Standard. Our actual or perceived failure to comply with such obligations could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and websites collect, store, process, and transmit personal information about individuals, including personally identifiable information and personal financial information such as credit card information. We are subject to various laws and regulations relating to data privacy, data protection, and information security. Such laws and regulations restrict and set standards for how personal information is collected, processed, stored, used, and disclosed. These laws and regulations mandate security requirements, implement notice requirements regarding privacy practices, and provide individuals with rights regarding the maintenance, use, disclosure, and sale of their protected personal information. Laws across all 50 U.S. states and in countries around the world also require notifications to customers, regulators, credit reporting agencies, or other third parties when certain sensitive information has been compromised as a result of a security breach. If we are found to have breached any such laws, regulations, or industry standards, we may be subject to enforcement actions that require us to change our business practices in ways that may cut into our revenue. That could also expose us to litigation, fines, regulatory enforcement, injunctive orders to cease or change our data processing activities, civil and/or criminal penalties,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adverse publicity that could cause our customers to lose trust in us, negatively impacting our reputation and business in a manner that harms our financial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compliance with these changing, increasingly burdensome, and sometimes conflicting regulations and requirements may cause us to incur substantial costs or require us to change our business practices. If we fail to comply with these regulations or requirements, we may be exposed to litigation expenses and possible significant liability, fees, or fines. We cannot fully predict the impact of any federal and state data privacy laws, including those that are still in draft form, and their subsequent guidance, regulations, or rules on our business or operations, but it may increase our compliance costs and potential liability, particularly in the event of a data breach, and could have a material adverse effect on our business, including how we use personal information, our financial condition, and the results of our operations or prospects.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payment card association operating rules, certification requirements, and rules governing electronic funds transfers. This includes the Payment Card Industry Data Security Standard (the “PCI DSS”), a security standard applicable to companies that collect, store, or transmit certain credit and debit card data. Under the PCI DSS and our contracts with our card processors, if a breach of payment card information that we store could make us liable to the banks that issue the payment cards for their related expenses and penalties. Even if our customer data is never compromised, failure to follow payment card industry data security standards could subject us to significant fines, have significant reserves imposed on our accounts, or lose our ability to give our customers the option of using payment cards. Being unable to accept payment cards would cause significant damage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Laws in countries outside of the United States create significant compliance obligations and liability. For example, the European Union General Data Protection Regulation (Regulation 2016/679) and applicable national supplementing laws and the UK data protection regime consisting primarily of the UK General Data Protection Regulation and the UK Data Protection Act 2018 (together referred to as the “GDPR”) may create an ongoing compliance commitment and substantial costs in relation to our use of personal data. Ensuring compliance with the GDPR could involve substantial costs. Despite our efforts, competent authorities or third parties may assert that our business practices fail to comply. If our operations are found to be in violation of the GDPR, we may be required to change our business practices and/or be subject to significant civil penalties, regulatory enforcement, business disruption, and reputational harm, any of which could have a material adverse effect on our business. If we or our vendors fail to comply with the GDPR and the EU’s national data protection laws, we may face regulatory enforcement actions, which can result in significant monetary penalties and other administrative penalties.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evolving EU and UK privacy laws on cookies, tracking technologies, and e-marketing practices. Recent European court decisions and regulators’ recent decisions and guidance have increased attention on these technologies. If enforcement continues increasing, this could increase our liability exposure and lead to substantial costs. It could also require significant systems changes, limit the effectiveness of our marketing activities, and divert the attention of our technology personnel. Those changes could shrink our margins, increase costs, and subject us to additional liabilities. It may lead to broader restrictions and impairments on our marketing activities and hinder our efforts to understand users.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continue to expand into other foreign countries and jurisdictions, we may also be subject to additional laws and regulations that may affect how we conduct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make disclosures and statements regarding our use of personal information through our privacy policies and statements on our products and websites as required by privacy or data protection regulations. Failure (or perceived failure) to comply with our public statements or to adequately disclose our privacy or data protection practices could result in costly investigations by governmental authorities, litigation, and fines, as well as reputational damage and customer loss, which could have material impacts on our revenue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from time to time acquire other companies that collect and process personal information. While we perform due diligence on the technology systems of these companies, we can offer no assurances that such companies have not suffered data breaches or system intrusions prior to or after our acquisition for which we may be liable.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insurance coverage to protect us against cybersecurity and data-protection risks. But our coverage may not be sufficient to cover all or the majority of the costs, losses, or claims. Our insurance covers reimbursement for lost net profits or increased net loss of profits resulting from adverse publicity related to an actual or alleged network impairment or privacy breach. While it does not cover the costs for improvements to our systems, it does cover costs to restore our system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Compliance with ever-evolving federal and state laws relating to consumer protection and communication privacy laws, and any failure by us to comply may result in significant liability, negative publicity, and/or an erosion of trust, which could materially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Laws, regulations, and standards covering marketing, advertising, and other activities conducted by telephone, email, mobile devices, and the internet may be or become applicable to our business. Those laws include the Telephone Consumer Protection Act (the “TCPA”), the Controlling the Assault of Non-Solicited Pornography and Marketing Act of 2003 (the “CAN-SPAM Act”), and similar state consumer protection and communication privacy laws, such as California’s Invasion of Privacy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 broad mix of marketing programs and platforms to promote our services and content to current and prospective subscribers. Two of our primary means of communicating with our subscribers has been via email and text messages. Actual or perceived improper sending of such email or text messaging communications may subject us to liabilities or claims relating to consumer protection laws. We strive to ensure that all our marketing communications comply with the requirements set forth in the TCPA and CAN-SPAM Act. However, violations could result in the Federal Communications Commission (FCC) and FTC, respectively, seeking civil penalties against us. Numerous class-action suits under federal and state laws have been filed in recent years against companies who conduct email marketing, telemarketing and/or SMS texting programs. Many have resulted in multimillion-dollar settlements to the plaintiffs. Any current or future such litigation against us could be costly and time-consuming to defend.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recent years, consumer protection regulations, particularly in connection with marketing on the Internet and consumer privacy, have become more aggressive. We expect governments at all levels to continue enacting new laws and regulations. In addition, financial publishers and investment newsletters face extensive regulatory scrutiny because of concerns over schemes involving touting, front running, “pumping and dumping,” scalping, undisclosed conflicts of interest, deceptive marketing, and false performance claims and testimonials. Any new legislation and enhanced scrutiny, alone or combined with increasingly aggressive enforcement of existing laws, could make compliance more difficult and expensive. In addition, we have been, and may continue to be, the subject of requests from or investigations by state and federal regulatory bodies. We may be subject to continued or increased regulatory scrutiny. Any of the foregoing could be harmful to our business, results of operations, and financial condition.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Adverse litigation judgments or settlements resulting from legal proceedings relating to our business operations could materially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subject to allegations and have been party to legal claims and regulatory proceedings relating to our business operations. Such claims may include defamation, libel, intellectual property infringement, securities law violations, misappropriation, dilution, violation, fraud or negligence, or other theories of liability, in each case relating to the articles, commentary, investment recommendations, or other information we provide through our services. Such allegations, claims, and proceedings may be brought by third parties, including customers, partners, employees, governmental or regulatory bodies, or competitors, and may include class 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Defending against such claims and proceedings is costly and time consuming and may divert management’s attention and personnel resources from our normal business operations. The outcome of many of these claims and proceedings cannot be predicted. Any claims asserted against us regardless of merit or eventual outcome may harm our reputation. Our insurance or indemnities may not cover all claims. Any judgment, fine, settlement, or injunctive relief against us could damage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pPr>
      <w:r>
        <w:rPr>
          <w:rFonts w:ascii="Times New Roman;serif" w:hAnsi="Times New Roman;serif"/>
          <w:b/>
          <w:i/>
          <w:color w:val="000000"/>
          <w:sz w:val="20"/>
        </w:rPr>
        <w:t>Our use of artificial intelligence technologies may not be successful and may present business, compliance, and reputational risks</w:t>
      </w:r>
      <w:r>
        <w:rPr>
          <w:rFonts w:ascii="Times New Roman;serif" w:hAnsi="Times New Roman;serif"/>
          <w:b w:val="false"/>
          <w:color w:val="000000"/>
          <w:sz w:val="2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increasing our use of machine learning and Artificial Intelligence (“AI”) technologies into certain of our products and processes. If other firms incorporate AI technologies into their products and offerings more effectively than we do, or if we otherwise fail to keep pace with rapidly evolving AI technological developments, our competitive position and business results may suffer.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the same time, use of AI has become the source of significant media attention and political debate. The introduction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harm our reputation and business and expose us to liability. We may also not identify inaccurate information, which may expose us to liability. If the content, analyses, or recommendations that AI applications assist in producing are, or are alleged to be, deficient, inaccurate, unreliable, misleading, biased, discriminatory or otherwise flawed, any of which may not be easily detectable, our business and reputation may be adversely affected. Laws, regulations or industry standards that develop in response to the use of AI may be burdensome or may significantly restrict the deployment of AI, particularly generative AI technologies, in our products or processes.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AI technologies from third parties, which may include open-source software. If we are unable to maintain rights to use these AI technologies on commercially reasonable terms, we may be forced to acquire or develop alternate AI technologies. That could limit or delay our ability to provide competitive offerings and may increase our costs. These AI technologies also may incorporate data from third-party sources, which may expose us to risks associated with data rights and protection. Courts and regulators have not fully addressed intellectual property ownership and license rights surrounding AI technologies. Nor have they dealt with data protection laws related to the use and development of AI. The use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Use of AI technologies may also increase risks related to cyberattacks or other security incidents or result in a failure to protect confidential information. Because AI technology is highly complex and rapidly developing, it is not possible to predict all of the legal, operational or technological risks that may arise relating to our use of AI.</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failure to comply with the anti-corruption, trade compliance, and economic sanctions laws and regulations of the United States and applicable international jurisdictions could materially adversely affect our reputation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must comply with anti-corruption laws and regulations imposed by governments around the world with jurisdiction over our operations, which include the U.S. Foreign Corrupt Practices Act of 1977 (the “FCPA”) and the U.K. Bribery Act 2010 (the “Bribery Act”), as well as the laws other countries where we do business. These laws and regulations apply to companies, individual directors, officers, employees, and agents, and may restrict our operations, trade practices, investment decisions, and partnering activities. The FCPA and the Bribery Act prohibit us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are also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developed legal system and have elevated levels of corruption. Despite our compliance efforts and activities, we cannot assure compliance by our employees or representatives. Any violation could harm our reputation,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also must be conducted in compliance with applicable economic sanctions laws and regulations, such as laws administered by the U.S. Department of the Treasury’s Office of Foreign Assets Control, the U.S. Department of State, the U.S. Department of Commerce, the United Nations Security Council, and other relevant sanctioning authorities. Our operations expose us to the risk of violating, or being accused of violating, anti-corruption, trade compliance, and economic sanctions laws and regulations. Those risks may be heightened as we continue to expand globally. Our failure to successfully comply with these laws and regulations may expose us to reputational harm and significant sanctions, including criminal fines, imprisonment, civil penalties, disgorgement of profits, injunctions, and debarment from government contracts. Investigations of alleged violations can be expensive and disruptive. Despite our compliance efforts and activities, we cannot assure compliance by our employees or representatives. Any violation could harm our reputation,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our income tax payments or adverse outcomes resulting from examination of our income or other tax returns or changes in legislation could hurt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 payouts are subject to volatility. Among the factors that could cause them to rise 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earnings differing materially from our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valuation of our deferred tax assets and liabilities;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expected timing and amount of the release of any tax valuation allowances;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effects of share-based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outcomes as a result of tax examinations;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tax laws, regulations, accounting principles.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could harm our operating results. Significant judgment is required to determine the recognition and measurement attribute prescribed in GAAP relating to accounting for income taxes. In addition, we are subject to examinations of our income tax returns by the U.S. Internal Revenue Service (the “IRS”) and other tax authorities. We assess the likelihood of adverse outcomes resulting from these examinations to determine the adequacy of our provision for income taxes. The outcomes from these examinations may have an adverse effect on our business, financial condition, and results of operations.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Organizational Structure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MarketWise, Inc.’s sole material asset is its interest in MarketWise, LLC, and, accordingly, it will depend on distributions from MarketWise, LLC to pay its taxes and expenses, including payments under the Tax Receivable Agreement. MarketWise, LLC’s ability to make such distributions may be subject to various limitations and restrictions. In certain circumstances, tax distributions payable to MarketWise, Inc. may be substantial and in excess of its tax liabilities and obligations under the Tax Receivable Agreement. To the extent that MarketWise, Inc. does not distribute such excess cash, MarketWise Members would benefit from any value attributable to such cash balances as a result of their ownership of Class A common stock following an exchange of their LLC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is a holding company and has no material assets other than its equity interest in MarketWise, LLC. As such, MarketWise, Inc. has no independent means of generating revenue or cash flow, and its ability to pay taxes and operating expenses or declare and pay dividends in the future, if any, will be dependent upon the financial results and cash flows of MarketWise, LLC and its subsidiaries, and distributions MarketWise, Inc. receives from MarketWise, LLC. There can be no assurance that MarketWise, LLC and its subsidiaries will generate sufficient cash flow to distribute funds to MarketWise, Inc., or that applicable state law and contractual restrictions, including negative covenants in any debt agreements of MarketWise, LLC or its subsidiaries, will permit such distributions.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MarketWise, Inc. also incurs expenses related to its operations, including payments under the Tax Receivables Agreement, which could be substantial. Because MarketWise, Inc. has no independent means of generating revenue, MarketWise, Inc.’s ability to make tax payments and payments under the Tax Receivable Agreement is dependent on the ability of MarketWise, LLC to make distributions to MarketWise, Inc. in an amount sufficient to cover MarketWise, Inc.’s tax obligations and obligations under the Tax Receivables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MarketWise, LLC is treated as a partnership for U.S. federal income tax purposes and, as such, generally will not be subject to any entity-level U.S. federal income tax. Instead, taxable income will be allocated to its equity holders, including MarketWise, Inc. Accordingly, MarketWise, Inc. will incur income taxes on its allocable share of any net taxable income of MarketWise, LLC. Under the terms of the Third Amended and Restated Limited Liability Company Operating Agreement of MarketWise, LLC (the “MarketWise Operating Agreement”), MarketWise, LLC is obligated to make tax distributions to owners of the common units issued by MarketWise, LLC (“LLC Units”), including MarketWise, Inc. MarketWise, Inc. intends, as MarketWise, LLC’s sole manager, to cause MarketWise, LLC to make cash distributions to the owners of LLC Units in an amount sufficient to (i) fund all or part of such owners’ tax obligations in respect of taxable income allocated to such owners and (ii) cover MarketWise, Inc.’s operating expenses, including payments under the Tax Receivable Agreement. However, MarketWise, LLC’s ability to make such distributions may be subject to various limitations and restrictions, such as restrictions on distributions under contracts or agreements to which MarketWise, LLC is then a party. Additionally, any distribution that would render MarketWise, LLC insolvent would be restricted. If MarketWise, Inc. does not have sufficient funds to pay tax or other liabilities or to fund our operations, it may have to borrow funds, which could materially adversely affect its liquidity and financial condition and subject MarketWise, Inc. to various restrictions imposed by any such lenders.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(i) potential differences in the amount of net taxable income allocable to the MarketWise Members, (ii) the lower tax rates currently applicable to corporations as opposed to individuals, and (iii) the favorable tax benefits that MarketWise, Inc. anticipates from any redemptions or exchanges of LLC Units for its Class A common stock or cash pursuant to the MarketWise Operating Agreement in the future, tax distributions payable to MarketWise, Inc. may be in amounts that exceed its actual tax liabilities and obligations to make payments under the Tax Receivable Agreement with respect to the relevant taxable year. MarketWise, Inc.’s board of directors (“Board”) will determine the appropriate uses for any excess cash so accumulated, which may include, among other uses, the payment of other expenses or dividends on MarketWise, Inc.’s stock, although MarketWise, Inc. will have no obligation to distribute such cash (or other available cash) to its stockholders. MarketWise, Inc. has declared special dividends to Class A shareholders to distribute excess tax distributions received from MarketWise, LLC. Except as otherwise determined by MarketWise, Inc. as the sole manager of MarketWise, LLC, there is no adjustment to the exchange ratio for LLC Units and corresponding shares of our Class A common stock as a result of any cash distributions or any retention of cash by MarketWise, Inc. To the extent MarketWise, Inc. does not distribute such excess cash as dividends on its Class A common stock, it may take other actions with respect to such excess cash—for example, holding such excess cash or lending it (or a portion thereof) to MarketWise, LLC, which may result in shares of our Class A common stock increasing in value relative to the value of the LLC Units. The MarketWise Members may benefit from any value attributable to such cash balances if they acquire shares of our Class A common stock in exchange for their LLC Units, notwithstanding that such holders may previously have participated in distributions by MarketWise, LLC as holders of the LLC Units that resulted in such excess cash balances held by MarketWise,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Tax Receivable Agreement requires MarketWise, Inc. to make cash payments to the MarketWise Members in respect of certain tax benefits to which MarketWise, Inc. may become entitled, and no such payments will be made to any holders of our Class A common stock unless such holders are also MarketWise Members. The payments MarketWise, Inc. will be required to make under the Tax Receivable Agreement may be substantial.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MarketWise, Inc. is a party to the Tax Receivable Agreement with the MarketWise Members and MarketWise, LLC. Under the Tax Receivable Agreement, MarketWise, Inc. generally is required to make cash payments to the MarketWise Members equal to 85% of the tax benefits, if any, that MarketWise, Inc. actually realizes, or in certain circumstances is deemed to realize, as a result of (1) the increases in the tax basis of assets of MarketWise, LLC resulting from any redemptions or exchanges of LLC Units for our Class A common stock or cash by the MarketWise Members pursuant to the MarketWise Operating Agreement, or certain distributions (or deemed distributions) by MarketWise, LLC and (2) certain other tax benefits arising from payments under the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Receivable Agreement. No such payments will be made to any holders of our Class A common stock unless such holders are also MarketWise Members.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obligations under the Tax Receivable Agreement are MarketWise, Inc.’s obligations and not the obligations of MarketWise, LLC, and the amount of the cash payments that MarketWise, Inc. will be required to make under the Tax Receivable Agreement may be substantial. Any payments made by MarketWise, Inc. to the MarketWise Members under the Tax Receivable Agreement will not be available for reinvestment in the business and will generally reduce the amount of cash that might have otherwise been available to MarketWise, Inc. and its subsidiaries. To the extent MarketWise, Inc. is unable to make timely payments under the Tax Receivable Agreement for any reason, the unpaid amounts will be deferred and will accrue interest until paid. Furthermore, MarketWise, Inc.’s future obligations to make payments under the Tax Receivable Agreement could make MarketWise, Inc. and its subsidiaries a less attractive target for an acquisition, particularly in the case of an acquirer that cannot use some or all of the tax benefits that are the subject of the Tax Receivable Agreement. Payments under the Tax Receivable Agreement are not conditioned on the MarketWise Members’ continued ownership of LLC Units or our Class A common stock or our Class B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Inc.’s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terminate the Tax Receivable Agreement and accelerate future payments thereunder, unless the applicable payment is not made because (i) MarketWise, Inc. is prohibited from making such payment under the terms of the Tax Receivable Agreement or the terms governing certain of its indebtedness or (ii) MarketWise, Inc. does not have, and despite using commercially reasonable efforts cannot obtain, sufficient funds to make such payment.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Estimating the amount and timing of MarketWise, Inc.’s realization of tax benefits subject to the Tax Receivable Agreement is by its nature imprecise. The actual increases in tax basis, as well as the amount and timing of MarketWise, Inc.’s ability to use any deductions (or decreases in gain or increases in loss) arising from such increases in tax basis, as dependent upon significant future events, including the timing of redemptions or exchanges by the MarketWise Members; the price of MarketWise, Inc. Class A common stock at the time of any exchange; the extent to which such exchanges are taxable; the depreciation and amortization periods that apply to the increase in tax basis; the amount of gain recognized by the MarketWise Members; the amount, character and timing of taxable income MarketWise, Inc. generates in the future; the timing and amount of any earlier payments that MarketWise, Inc. may have made under the Tax Receivable Agreement; the tax rates and laws then applicable; and the portion of MarketWise, Inc.’s payments under the Tax Receivable Agreement that constitute imputed interest or give rise to depreciable or amortizable tax basis. Accordingly, estimating the amount and timing of payments that may become due under the Tax Receivable Agreement is also by its nature imprecise and dependent upon significant future events, including those noted above in respect of estimating the amount and timing of MarketWise, Inc.’s realization of tax benefits.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certain cases, future payments under the Tax Receivable Agreement to the MarketWise Members may be accelerated or significantly exceed the actual benefits MarketWise, Inc. realizes in respect of the tax attributes subject to the Tax Receivable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Tax Receivable Agreement provides that if (i) MarketWise, Inc. materially breaches any of its material obligations under the Tax Receivable Agreement, (ii) certain mergers, asset sales, other forms of business combinations, or other changes of control were to occur, or (iii) MarketWise, Inc. elects an early termination of the Tax Receivable Agreement, then MarketWise, Inc.’s future obligations, or its successor’s future obligations, under the Tax Receivable Agreement to make payments thereunder would accelerate and become due and payable, based on certain assumptions, including an assumption that MarketWise, Inc. would have sufficient taxable income to fully utilize all potential future tax benefits that are subject to the Tax Receivable Agreement, and an assumption that, as of the effective date of the acceleration, any MarketWise Member that has LLC Units not yet exchanged shall be deemed to have exchanged such LLC Units on such date, even if MarketWise, Inc. does not receive the corresponding tax benefits until a later date when the LLC Units are actually exchanged.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foregoing, MarketWise, Inc. would be required to make an immediate cash payment equal to the estimated present value of the anticipated future tax benefits that are the subject of the Tax Receivable Agreement, based on certain assumptions, which payment may be made significantly in advance of the actual realization, if any, of those future tax benefits and, therefore, MarketWise, Inc. could be required to make payments under the Tax Receivable Agreement that are greater than the specified percentage of the actual tax benefits it ultimately realizes. In these situations, MarketWise, Inc.’s obligations under the Tax Receivable Agreement could have a substantial negative impact on MarketWise, Inc.’s liquidity and could have the effect of delaying, deferring, or preventing certain mergers, asset sales, other forms of business combinations, or other changes of control. In addition, to the extent that MarketWise, Inc. is unable to make payments under the Tax Receivable Agreement for any reason, the unpaid amounts will be deferred and will accrue interest until paid. There can be no assurance that MarketWise, Inc. will be able to fund or finance its obligations under the Tax Receivable Agreement.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MarketWise, Inc. will not be reimbursed for any payments made to the MarketWise Members under the Tax Receivable Agreement in the event that any tax benefits are disallowed.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Payments under the Tax Receivable Agreement will be based on the tax reporting positions that MarketWise, Inc. determines, and the IRS or another tax authority may challenge all or part of the tax basis increases or other tax benefits MarketWise, Inc. claims, as well as other related tax positions it takes, and a court could sustain any such challenge. MarketWise, Inc.’s ability to settle or to forgo contesting such challenges may be restricted by the rights of the MarketWise Members pursuant to the Tax Receivable Agreement, and such restrictions apply for as long as the Tax Receivable Agreement remains in effect. In addition, MarketWise, Inc. will not be reimbursed for any cash payments previously made to the MarketWise Members under the Tax Receivable Agreement in the event that any tax benefits initially claimed by MarketWise, Inc. and for which payment has been made to the MarketWise Members are subsequently challenged by a taxing authority and are ultimately disallowed. Instead, any excess cash payments made by MarketWise, Inc. to the MarketWise Members will be netted against any future cash payments that MarketWise, Inc. might otherwise be required to make to the MarketWise Members under the terms of the Tax Receivable Agreement. However, MarketWise, Inc. might not determine that it has effectively made an excess cash payment to the MarketWise Members for a number of years following the initial time of such payment, and, if any of its tax reporting positions are challenged by a taxing authority, MarketWise, Inc. will not be permitted to reduce any future cash payments under the Tax Receivable Agreement until any such challenge is finally settled or determined. Moreover, the excess cash payments MarketWise, Inc. previously made under the Tax Receivable Agreement could be greater than the amount of future cash payments against which MarketWise, Inc. would otherwise be permitted to net such excess. The applicable U.S. federal income tax rules for determining applicable tax benefits MarketWise, Inc. claims are complex and factual in nature, and there can be no assurance that the IRS or a court will not disagree with MarketWise, Inc.’s tax reporting positions. As a result, payments could be made under the Tax Receivable Agreement in excess of the tax savings that MarketWise, Inc. actually realizes in respect of the tax attributes with respect to the MarketWise Members that are the subject of the Tax Receivable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MarketWise, Inc. were to become a publicly traded partnership taxable as a corporation for U.S. federal income tax purposes, MarketWise, Inc. and MarketWise, LLC might be subject to potentially significant tax inefficiencies, and MarketWise, Inc. would not be able to recover payments previously made by it under the Tax Receivable Agreement even if the corresponding tax benefits were subsequently determined to have been unavailable due to such status.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operate such that MarketWise,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exchanges or other transfers of the LLC Units could cause MarketWise, LLC to be treated as a publicly traded partnership. Applicable U.S. Treasury regulations provide for certain safe harbors from treatment as a publicly traded partnership, and we intend to operate such that transfers of LLC Units qualify for one or more such safe harbors. For example, we intend to limit the number of unitholders of MarketWise, LLC, and the MarketWise Operating Agreement provides for limitations on the ability of holders of LLC Units to redeem, exchange, or otherwise transfer their LLC Units and provides MarketWise, Inc., as the sole manager of MarketWise, LLC, with the right to impose restrictions (in addition to those already in place) on the ability of holders of LLC Units to redeem, exchange, or otherwise transfer their LLC Units to the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MarketWise, Inc. believes it is necessary to ensure that MarketWise, LLC will continue to be treated as a partnership for U.S. federal income tax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MarketWise, LLC were to become a publicly traded partnership taxable as a corporation for U.S. federal income tax purposes, significant tax inefficiencies might result for MarketWise, Inc. and for MarketWise, LLC. In addition, MarketWise, Inc. may not be able to realize tax benefits covered under the Tax Receivable Agreement, and MarketWise, Inc. would not be able to recover any payments previously made by it under the Tax Receivable Agreement, even if the corresponding tax benefits (including any claimed increase in the tax basis of MarketWise, LLC’s assets) were subsequently determined to have been unavailable.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MarketWise, Inc. were deemed to be an investment company under the Investment Company Act of 1940, applicable restrictions could make it impractical for us to continue our business as contemplated and could have a material adverse effect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Sections 3(a)(1)(A) and (C) of the U.S. Investment Company Act of 1940, as amended (the “Investment Company Act”), a company generally will be deemed to be an “investment company” for purposes of the Investment Company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MarketWise, Inc. does not believe that it is an “investment company” as such term is defined in either of those sections of the Investment Company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the sole managing member of MarketWise, LLC, MarketWise, Inc. will control MarketWise, LLC. On that basis, MarketWise, Inc. believes that its interest in MarketWise, LLC is not an “investment security” as that term is used in the Investment Company Act. However, if MarketWise, Inc. were to cease participation in the management of MarketWise, LLC, its interest in MarketWise, LLC could be deemed an “investment security” for purposes of the Investment Company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and MarketWise, LLC intend to conduct their respective operations so that MarketWise, Inc. will not be deemed an investment company. However, if MarketWise, Inc. were to be deemed an investment company, restrictions imposed by the Investment Company Act, including limitations on MarketWise’s capital structure and its ability to transact with affiliates, could make it impractical for us to continue our business as contemplated and could have a material adverse effect on our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do not maintain compliance with Nasdaq continued listing standards, we could be delisted from The Nasdaq Stock Market, which would negatively impact our business, our ability to raise capital, and the market price and liquidity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the Company will be successful in maintaining the listing of our common stock on the Nasdaq Global Market. If we fail to meet the continued listing requirements of the Nasdaq, we could face significant material adverse consequences, including: (1) a limited availability of market quotations for our securities; (2) reduced liquidity with respect to our securities; (3) a determination that our shares are a “penny stock” if they are not already determined to be a “penny stock” at the time of such failure to meet such requirements, which will require brokers trading in our securities to adhere to more stringent rules, possibly resulting in a reduced level of trading activity in the secondary trading market for our securities; (4) a limited amount of news and analyst coverage for us; and (5) a decreased ability to issue additional securities or obtain additional financing in the future.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Purchases of shares of our common stock by us pursuant to a stock repurchase program may affect the value of our common stock, and there can be no assurance that our stock repurchase program will enhance stockholder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Board previously approved a stock repurchase program. Repurchase activities pursuant to a stock repurchase program could increase, or reduce the size of any decrease in, the market price of our common stock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that time and, as a result, the price of our shares of common stock could be higher than the price that otherwise might exist in the open market at that time.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share repurchase program is intended to enhance long-term stockholder value; however, short-term share price fluctuations could reduce the program’s effectiveness. Repurchases could affect the trading price of our common stock, increase trading price volatility, and a stock repurchase program may be suspended or terminated at any time, which may result in a decrease in the trading prices of our common stock at that time. Additionally, repurchases under a share repurchase program may diminish our cash reserves, which could impact our ability to pursue possible strategic opportunities and acquisitions and could result in lower overall returns on our cash balances. There can be no assurance that any share repurchases will enhance stockholder value.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“emerging growth company” status expired on December 31, 2025, which could increase the costs and demands on management in connection with complying with non-emerging growth company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deemed an “emerging growth company”, as defined in the Jumpstart Our Business Startups Act of 2012, as amended (the “JOBS Act”), which allowed us to benefit from certain temporary exemptions from various reporting requirements. On December 31, 2025, our emerging growth company status expired due to reaching the fifth anniversary of ADAC’s initial public offering. We expect the costs and demands placed upon our management to increase, as we must comply with additional disclosure and accounting requirements under applicable SEC and Nasdaq rules and regulations. Complying with these requirements is costly and time consuming, and has placed significant demands on our management and on our administrative and operational resources. If we are unable to comply with these requirements in a timely and effective fashion, our ability to comply with our financial reporting requirements and other rules that apply to reporting companies could be impaired and our business, prospects, financial condition and results of operations could be harmed.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qualify as a smaller reporting company, and the reduced disclosure requirements applicable to smaller growth companies and smaller growth companies may make our securities less attractive to investors.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qualify as a “smaller reporting company” as defined in Item 10(f)(1) of Regulation S-K under the Securities Act. Smaller reporting companies may take advantage of certain reduced disclosure obligations, including, among other things, providing only two years of audited financial statements in its periodic reports. To the extent we take advantage of such reduced disclosure obligations, it may also make comparison of our financial statements with other public companies difficult or impossible.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is difficult to predict whether investors will find our securities less attractive as a result of our taking advantage of these exemptions and relief granted to smaller reporting companies. If some investors find our securities less attractive as a result, the trading prices of our securities may be lower than they otherwise would be, there may be a less active trading market for our securities and the market price of our securities may be more volatile.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lose our “smaller reporting company” status, we will no longer be able to take advantage of certain exemptions from reporting. If we lose our "non-accelerated filer" status, we will be required to comply with the auditor attestation requirements of Section 404 of SOX. We will incur additional expenses in connection with such compliance and our management will need to devote additional time and effort to implement and comply with such requirements.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dual class structure of our common stock may adversely affect the trading price or liquidity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cannot predict whether our dual-class structure will result in a lower or more volatile market price of our Class A common stock or in adverse publicity or other adverse consequences. Certain index providers have announced restrictions on including companies with multiple class share structures in certain of their indices.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indices, exclusion from stock indices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would likely preclude investment by many of these funds and could make our Class A common stock less attractive to other investors. As a result, the market price of our Class A common stock could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MarketWise Members have significant influence over us, including control over decisions that require the approval of MarketWise, Inc.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MarketWise Members control in the aggregate, based on the information available to us, at least 85% of the voting power represented by all of our outstanding classes of stock. Of the MarketWise Members, Monument &amp; Cathedral, LLC controls in the aggregate, based on the information available to us, at least 43% of the voting power represented by all of our outstanding classes of stock of the voting power represented by all of our outstanding classes of stock. As a result, the MarketWise Members (and Monument &amp; Cathedral, LLC in particular) may exercise significant influence over all matters requiring stockholder approval, including the election and removal of directors and the size of our Board, appointment and removal of officers, any amendment of our Charter or MarketWise, Inc.’s bylaws (our “Bylaws”), and any approval of significant corporate transactions (including a sale of substantially all of MarketWise, LLC’s assets), and will continue to have significant control over our management and policies, including policies around financing, compensation, and declaration of dividends.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MarketWise Members or affiliates of MarketWise Members are members of our Board. These members of our Board can take actions that have the effect of delaying or preventing a change of control of MarketWise, LLC or discouraging others from making tender offers for our shares, which could prevent stockholders from receiving a premium for their shares. These actions may be taken even if other stockholders oppose them. The concentration of voting power with the MarketWise Members may have an adverse effect on the price of our securities. The interests of the MarketWise Members may not be consistent with your interests as a securityholder.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MarketWise Members have the right to have their LLC Units redeemed or exchanged into shares of Class A common stock, which, if exercised, will dilute your economic interest in MarketWise,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an aggregate of approximately 45,054,990 shares of our Class A common stock authorized but unissued, including 13,612,641 shares of our Class A common stock issuable upon redemption or exchange of LLC Units that are held by the MarketWise Members. Under the terms of the MarketWise Operating Agreement, and subject to certain restrictions set forth therein, the MarketWise Members are entitled to have their LLC Units redeemed or exchanged for shares of our Class A common stock or, at our option, cash. Shares of our Class B common stock held by any such redeeming or exchanging MarketWise Member will be canceled for no additional consideration on a one-for-one basis with the redeemed or exchanged LLC Units whenever the MarketWise Members’ LLC Units are so redeemed or exchanged. While any redemption or exchange of LLC Units and corresponding cancellation of our Class B common stock will reduce the MarketWise Members’ economic interest in MarketWise and its voting interest in MarketWise, Inc., the related issuance of our Class A common stock will dilute your economic interest in us. During the year ended December 31, 2025, pursuant to the terms of the MarketWise Operating Agreement, MarketWise Members exchanged an aggregate of 381,857 LLC Units, together with an equal number of shares of Class B common stock for 381,857 newly-issued shares of our Class A common stock. The timing or size of any future issuances of our Class A common stock resulting from the redemption or exchange of LLC Units cannot be predicted.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issue shares of preferred stock in the future, which could make it difficult for another company to acquire us or could otherwise adversely affect our securityholders, which could depress the price of our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Charter authorizes us to issue one or more series of preferred stock. Our Board will have the authority to determine the relative rights, limitations, preferences, privileges, restrictions, and other terms of the shares of preferred stock and to fix the number of shares constituting any series and the designation of such series, without any further vote or action by stockholders. Our preferred stock could be issued with voting, liquidation, dividend, and other rights superior to the rights of Class A common stock. The potential issuance of preferred stock may delay or prevent a change in control of us, discourage bids for our securities at a premium to the market price, and materially and adversely affect the market price and the voting and other rights of the holders of our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requirements of being a public company require significant resources and management attention and affect our ability to attract and retain executive management and qualified members to our Board.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have, and will continue to incur legal, regulatory, finance, accounting, investor relations, and other expenses that we did not previously incur as a private company, including costs associated with public company reporting requirements and costs of recruiting and retaining non-executive directors. We are now subject to the Exchange Act, including the reporting requirements thereunder, SOX, the Dodd-Frank Wall Street Reform and Consumer Protection Act, the Nasdaq rules and other applicable securities rules and regulations. Compliance with these rules and regulations will increase our legal and financial compliance costs, make some activities more difficult, time-consuming, or costly (although these costs are currently unable to be estimated with any degree of certainty), and increase demand on our systems and resources, particularly after we are no longer an “emerging growth company” or a “smaller reporting company.” The expenses incurred by public companies generally for reporting and corporate governance purposes have been increasing. Our management will need to devote a substantial amount of time to ensure that we comply with all of these requirements, diverting the attention of management away from revenue-producing activities. Further, these rules and regulations may make it more difficult and more expensive for us to obtain certain types of insurance, including directors’ and officers’ liability insurance, which could make it more difficult for us to attract and retain qualified members of our Board. We may be forced to accept reduced policy limits and coverage or incur substantially higher costs to obtain the same or similar coverage. In addition, enhanced legal and regulatory regimes and heightened standards relating to corporate governance and disclosure for public companies result in increased legal and financial compliance costs and make some activities more time consuming.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Section 404 of SOX, since we are no longer an emerging growth company, we will be required to furnish an attestation report on internal control over financial reporting issued by our independent registered public accounting firm. When our independent registered public accounting firm is required to undertake an assessment of our internal control over financial reporting, the cost of complying with Section 404 of SOX will significantly increase, and management’s attention may be further diverted from other business concerns, which could adversely affect our business and results of operations. We may need to hire more employees in the future or engage outside consultants to comply with the requirements of Section 404 of SOX, which will further increase cost and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satisfy its obligations as a public company, we could be subject to delisting of our Class A common stock, fines, sanctions, and other regulatory actions and potentially civil litigation.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identify additional material weaknesses in our internal control over financial reporting we may be unable to produce timely and accurate financial statements, which could adversely affect our business and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course of preparing for the Transactions, our management and independent registered public accounting firm determined that we had material weaknesses in internal controls. We implemented several steps to enhance our internal control over financial reporting and addressed the material weaknesses, which were successful as of December 31,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as a public company, our operations and financial reporting requirements continue to grow in scope and complexity. If we fail to maintain effective internal controls or if we identify additional material weaknesses in the future, we may be unable to accurately or timely report our financial results. This could result in delays in filing required reports with the SEC, increased audit and compliance costs, loss of investor confidence, or if significant, restatements of our financial statements. Such issues could adversely affect the market price of shares of our Class A common stock and our ability to remain in compliance with applicable listing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and trading volume of our securities has been volatile, and could decline significantly, and you could lose all or part of your investment.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Securities markets worldwide experience significant price and volume fluctuations. This market volatility, as well as general economic, market, or political conditions, could reduce the market price of our Class A common stock in spite of our operating performance, which may limit or prevent investors from readily selling their Class A common stock and may otherwise negatively affect the liquidity of our Class A common stock. There can be no assurance that the market price of Class A common stock will not continue to fluctuate widely or decline significantly in the future, or that you will lose all or part of your investment, in response to a number of factors, including, among others,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fluctuations in our annual or quarterly financial condition and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in our growth rate relative to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meet or exceed financial estimates and projections of the investment community;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speculation in the press or investment community about our business or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issuance of new or updated research or reports by securities analysts, or the failure of securities analysts to provide adequate coverage of our Class A common stock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valuation of companies perceived by investors to be comparable to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Class A common stock and volume fluctuations attributable to inconsistent trading volume levels of our Class A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or departures of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disputes or other developments related to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additional or unexpected changes or proposed changes in laws or regulations or differing interpretations thereof affecting our business or enforcement of these laws and regulations, or announcements relating to these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 or expectation of additional equity or debt financing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equity sales by us, the MarketWise Members, our insiders, or our other stockholders;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and market conditions, including any impacts associated with inflation and increased interest rates;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factors described in this “Risk Factors” section and elsewhere in this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the price and trading volume of our securities could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trading market for our securities depends in part on the research and reports that securities or industry analysts publish about us or our business. We will not control these analysts, and the analysts who publish information about us may have relatively little experience with us or our industry, which could affect their ability to accurately forecast our results and could make it more likely that we fail to meet their estimates. If few or no securities or industry analysts cover us, the trading price for our securities would be negatively impacted. If one or more of the analysts who covers us downgrades our securities, publishes incorrect or unfavorable research about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ceases coverage of us, or fails to publish reports on us regularly, demand for and visibility of our securities could decrease, which could cause the price or trading volumes of our securities to decline.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securities class action, which may harm our business and operating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that have experienced volatility in the market price of their stock have been subject to securities class action litigation. We may be the target of this type of litigation in the future. Securities litigation against us could result in substantial costs and damages, and divert management’s attention from other business concerns, which could seriously harm our business, results of operations, financial condition, or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be called on to defend ourselves against lawsuits relating to our business operations. Some of these claims may seek significant damages amounts. Due to the inherent uncertainties of litigation, the ultimate outcome of any such proceedings cannot be accurately predicted. A future unfavorable outcome in a legal proceeding could have an adverse impact on our business, financial condition, and results of operations. In addition, current and future litigation, regardless of its merits, could result in substantial legal fees, settlements, or judgment costs and a diversion of management’s attention and resources that are needed to successfully run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Continued payment of dividends on our Class A common stock are subject to the continued discretion of our Board and, consequently, shareholders’ ability to achieve a return on their investment could become limited to appreciation in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2025, we paid quarterly and special dividends on shares of our Class A common stock.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Investments in equity securities are subject to loss in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allocate a portion of its cash on hand to investments meeting pre-determined guidelines, including U.S.-listed equity securities, with the objective to provide an acceptable rate of return while complying with established risk tolerances and liquidity parameters. The Company’s holdings may be concentrated in a relatively small number of issuers. A significant decline in the market value of our investments, which are exposed to market volatility, may negatively affect the Company’s financial condition and results of operations. Additionally, we are required under accounting principles to include changes in unrealized gains and losses on equity securities in the Company’s reported net income (loss), even though the Company has not actually realized any gain or loss by selling such securities. Accordingly, changes in the market prices of such securities can have a significant impact on the Company’s reported results for the period, even though those changes do not bear on the performance of the Company’s operating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our Charter and Bylaws contain certain provisions, including anti-takeover provisions, that limit the ability of stockholders to take certain actions and could delay or discourage takeover attempts that stockholders may consider favorable.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Charter and Bylaws and the General Corporation Law of the State of Delaware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Class A common stock. These provisions could also make it difficult for stockholders to take certain actions, including electing directors who are not nominated by the current members of our Board or taking other corporate actions, including effecting changes in our management. Among other things, Charter and Bylaws include the following provisions: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classified Board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prohibition on cumulative voting in the election of directors, which limits the ability of minority stockholders to elect director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limitation of the liability of, and the indemnification of, our directors and officers;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our Board to amend the Bylaws, which may allow our Board to take additional actions to prevent an unsolicited takeover and inhibit the ability of an acquirer to amend the Bylaws to facilitate an unsolicited takeover attempt;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with which stockholders must comply to nominate candidates to our Board or to propose matters to be acted upon at a stockholders’ meeting, which could preclude stockholders from bringing matters before annual or special meetings of stockholders and delay changes in our Board and also may discourage or deter a potential acquirer from conducting a solicitation of proxies to elect the acquirer’s own slate of directors or otherwise attempting to obtain control of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could delay or prevent hostile takeovers and changes in control or changes in our Board or management.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provisions of our Charter requiring exclusive forum in the Court of Chancery of the State of Delaware and the federal district courts of the United States for certain types of lawsuits may have the effect of discouraging lawsuits against our directors and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Charter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will be the sole and exclusive forum for (i) any derivative action, suit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or our Bylaws or Charter (as each may be amended from time to time) or as to which the DGCL confers exclusive jurisdiction on the Court of Chancery of the State of Delaware, or (iv) any action asserting a claim governed by the internal affairs doctrine. Our Charter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Section 27 of the Exchange Act creates exclusive federal jurisdiction over all suits brought to enforce any duty or liability created by the Exchange Act or the rules and regulations thereunder and our Charter provides that the exclusive forum provision will not apply to claims seeking to enforce any liability or duty created by the Exchange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Charter to be inapplicable or unenforceable in such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jc w:val="center"/>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Cybersecurity Risk Management and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maintain a cybersecurity program, including policies and procedures designed to protect our systems, operations, and the data utilized and entrusted to us, including by us, from anticipated threats or hazards. We utilize a variety of protective measures as a part of our cybersecurity program. These measures include, where appropriate, access controls, patch management, identity verification and endpoint management software, employee cybersecurity awareness training programs, tools to report anomalous activity, and monitoring of data usage, hardware and software.</w:t>
      </w:r>
    </w:p>
    <w:p>
      <w:pPr>
        <w:pStyle w:val="TextBody"/>
        <w:bidi w:val="0"/>
        <w:spacing w:lineRule="auto" w:line="288" w:before="0" w:after="180"/>
        <w:ind w:left="0" w:right="0" w:firstLine="360"/>
        <w:jc w:val="left"/>
        <w:rPr/>
      </w:pPr>
      <w:r>
        <w:rPr>
          <w:rFonts w:ascii="Times New Roman;serif" w:hAnsi="Times New Roman;serif"/>
          <w:b/>
          <w:i/>
          <w:color w:val="000000"/>
          <w:sz w:val="20"/>
        </w:rPr>
        <w:t>Incident Response and Recovery Planning.</w:t>
      </w:r>
      <w:r>
        <w:rPr>
          <w:color w:val="000000"/>
        </w:rPr>
        <w:t xml:space="preserve"> </w:t>
      </w:r>
      <w:r>
        <w:rPr>
          <w:rFonts w:ascii="Times New Roman;serif" w:hAnsi="Times New Roman;serif"/>
          <w:b w:val="false"/>
          <w:color w:val="000000"/>
          <w:sz w:val="20"/>
        </w:rPr>
        <w:t>We have established and maintain incident response and recovery plans that address our response to a cybersecurity incident, and such plans are evaluated on a regular basis.</w:t>
      </w:r>
    </w:p>
    <w:p>
      <w:pPr>
        <w:pStyle w:val="TextBody"/>
        <w:bidi w:val="0"/>
        <w:spacing w:lineRule="auto" w:line="288" w:before="0" w:after="180"/>
        <w:ind w:left="0" w:right="0" w:firstLine="360"/>
        <w:jc w:val="left"/>
        <w:rPr/>
      </w:pPr>
      <w:r>
        <w:rPr>
          <w:rFonts w:ascii="Times New Roman;serif" w:hAnsi="Times New Roman;serif"/>
          <w:b/>
          <w:i/>
          <w:color w:val="000000"/>
          <w:sz w:val="20"/>
        </w:rPr>
        <w:t>Third-Party Risk Management.</w:t>
      </w:r>
      <w:r>
        <w:rPr>
          <w:color w:val="000000"/>
        </w:rPr>
        <w:t xml:space="preserve"> </w:t>
      </w:r>
      <w:r>
        <w:rPr>
          <w:rFonts w:ascii="Times New Roman;serif" w:hAnsi="Times New Roman;serif"/>
          <w:b w:val="false"/>
          <w:color w:val="000000"/>
          <w:sz w:val="20"/>
        </w:rPr>
        <w:t>We maintain a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w:t>
      </w:r>
    </w:p>
    <w:p>
      <w:pPr>
        <w:pStyle w:val="TextBody"/>
        <w:bidi w:val="0"/>
        <w:spacing w:lineRule="auto" w:line="288" w:before="0" w:after="180"/>
        <w:ind w:left="0" w:right="0" w:firstLine="360"/>
        <w:jc w:val="left"/>
        <w:rPr/>
      </w:pPr>
      <w:r>
        <w:rPr>
          <w:rFonts w:ascii="Times New Roman;serif" w:hAnsi="Times New Roman;serif"/>
          <w:b/>
          <w:i/>
          <w:color w:val="000000"/>
          <w:sz w:val="20"/>
        </w:rPr>
        <w:t>Education and Awareness.</w:t>
      </w:r>
      <w:r>
        <w:rPr>
          <w:color w:val="000000"/>
        </w:rPr>
        <w:t xml:space="preserve"> </w:t>
      </w:r>
      <w:r>
        <w:rPr>
          <w:rFonts w:ascii="Times New Roman;serif" w:hAnsi="Times New Roman;serif"/>
          <w:b w:val="false"/>
          <w:color w:val="000000"/>
          <w:sz w:val="20"/>
        </w:rPr>
        <w:t>We provide regular training for our employees regarding cybersecurity threats and our security policies to equip our employees with tools to address cybersecurity threats, and to communicate our evolving information security policies, standards, processes and practices.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 exercises to test aspects of our cybersecurity program, we periodically engage independent third parties to assess the risks associated with our information technology resources and information assets. Among other matters, these third parties analyze data on the interactions of users of our information technology resources, including our employees, and conduct penetration tests and scanning exercises to assess the performance of our cybersecurity systems and processes.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identified any cybersecurity threats that have materially affected or are reasonably likely to materially affect our business strategy, results of operations, cash flows, or financial condition. However, despite our efforts, we cannot eliminate all risks from cybersecurity threats, or provide assurances that we have not experienced undetected cybersecurity incidents.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Cybersecurity 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in coordination with the Audit Committee, oversees our cybersecurity program, including the management of risks from cybersecurity threats. The Audit Committee receives regular presentations and reports on cybersecurity risks from our Chief Information Officer (“CIO”), which address a wide range of topics including recent developments, vulnerability assessments, third-party and independent reviews, the threat environment, incident response planning, remediation efforts, employee training and awareness (including the results of our annual cybersecurity training), and information security considerations arising with respect to our peers and third parties. On a regular basis, our Audit Committee discusses our approach to cybersecurity risk management with our CIO, including planned initiatives to help the Board evaluate the effectiveness of our cybersecurity program. The Board receives occasional updates from the Audit Committee and CIO on the effectiveness of our cybersecurity program. When appropriate, the Board also receives reports concerning the detection, mitigation and remediation of cybersecurity threats and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CIO has over 25 years of software engineering experience including over ten years of being responsible for MarketWise’s cybersecurity. In coordination with our executive team, our CIO and our Senior Vice President of IT Operations work collaboratively across the Company to implement a program intended to protect our information systems from cybersecurity threats and to promptly respond to any cybersecurity incidents in accordance with our incident response plan. Our CIO and management monitor the prevention, detection, mitigation and remediation of cybersecurity threats and incidents in real time and report such threats and incidents to the Board.</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lease all of our properties and do not own any real property. Our headquarters house our executive management team, content-producing teams, and our information technology, accounting and finance, human resources, and legal functional groups.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leases that are scheduled to expire during the next 12 months, we may negotiate new lease agreements, renew existing lease agreements, or use alternate facilities. We believe that our properties are adequate for our needs and believe that we should be able to renew any of these leases or secure similar property without an adverse impact on our operations. </w:t>
      </w:r>
    </w:p>
    <w:tbl>
      <w:tblPr>
        <w:tblW w:w="5683" w:type="dxa"/>
        <w:jc w:val="left"/>
        <w:tblInd w:w="0" w:type="dxa"/>
        <w:tblLayout w:type="fixed"/>
        <w:tblCellMar>
          <w:top w:w="28" w:type="dxa"/>
          <w:left w:w="28" w:type="dxa"/>
          <w:bottom w:w="28" w:type="dxa"/>
          <w:right w:w="28" w:type="dxa"/>
        </w:tblCellMar>
      </w:tblPr>
      <w:tblGrid>
        <w:gridCol w:w="481"/>
        <w:gridCol w:w="424"/>
        <w:gridCol w:w="429"/>
        <w:gridCol w:w="109"/>
        <w:gridCol w:w="109"/>
        <w:gridCol w:w="109"/>
        <w:gridCol w:w="847"/>
        <w:gridCol w:w="847"/>
        <w:gridCol w:w="856"/>
        <w:gridCol w:w="109"/>
        <w:gridCol w:w="109"/>
        <w:gridCol w:w="109"/>
        <w:gridCol w:w="360"/>
        <w:gridCol w:w="361"/>
        <w:gridCol w:w="424"/>
      </w:tblGrid>
      <w:tr>
        <w:trPr/>
        <w:tc>
          <w:tcPr>
            <w:tcW w:w="48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Square Feet</w:t>
            </w:r>
          </w:p>
        </w:tc>
      </w:tr>
      <w:tr>
        <w:trPr/>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Baltimore,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Space and headquarters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46,000 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22, 2024, the Company's former Chief Executive Officer, Mark Arnold ("Claimant"), filed a demand for arbitration ("Demand") with the American Arbitration Association ("AAA"). The Demand includes claims against MarketWise, Inc. and MarketWise, LLC (collectively, the "Respondent") for (i) breach of employment agreement between Claimant and Respondent dated December 1, 2019; (ii) breach of letter agreement between Claimant and Respondent dated November 17, 2022; and (iii) violation of the Maryland Payment and Collection Wage Act. Claimant seeks (i) money damages in excess of $9,000,000; (ii) treble damages pursuant to the Maryland Payment and Collection Wage Act; (iii) incidental and consequential damages; (iv) attorneys' fees and costs; and (v) prejudgment interest. We have defenses and intend to vigorously defend against the claims brought by Mark Arnold in this matter.</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is traded on The Nasdaq Global Market, or Nasdaq, under the symbol “MKTW.” Our Class B common stock is not listed or traded on any exchange.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there were 3 holders of record of our Class A common stock. The actual number of stockholders is significantly greater than this number of record holders, and includes stockholders who are beneficial owners but whose shares are held in street name by brokers and other nominees. There are also 20 holders of record of our Class B common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2025, we paid quarterly dividends on shares of our Class A common stock and distributions on our LLC Units. There can be no assurance that we will continue to pay dividends in the future.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payment of any future dividends and distributions will be at the discretion of our Board and will depend on our results of operations, capital requirements, financial condition, prospects, contractual arrangements, and other factors that our Board may deem relevant.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Information regarding the Securities Authorized for Issuance under Equity Compensation Plans can be found under Item 12 of this report.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information with respect to purchases made by or on behalf of the Company of its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528"/>
        <w:gridCol w:w="464"/>
        <w:gridCol w:w="473"/>
        <w:gridCol w:w="575"/>
        <w:gridCol w:w="466"/>
        <w:gridCol w:w="468"/>
        <w:gridCol w:w="109"/>
        <w:gridCol w:w="109"/>
        <w:gridCol w:w="109"/>
        <w:gridCol w:w="294"/>
        <w:gridCol w:w="860"/>
        <w:gridCol w:w="152"/>
        <w:gridCol w:w="109"/>
        <w:gridCol w:w="109"/>
        <w:gridCol w:w="109"/>
        <w:gridCol w:w="802"/>
        <w:gridCol w:w="722"/>
        <w:gridCol w:w="725"/>
        <w:gridCol w:w="109"/>
        <w:gridCol w:w="109"/>
        <w:gridCol w:w="109"/>
        <w:gridCol w:w="522"/>
        <w:gridCol w:w="1784"/>
        <w:gridCol w:w="389"/>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a Publicly Announced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Dollar Value of Shares that May Yet Be Purchased Under the Plan </w:t>
            </w:r>
            <w:r>
              <w:rPr>
                <w:rFonts w:ascii="Times New Roman;serif" w:hAnsi="Times New Roman;serif"/>
                <w:b w:val="false"/>
                <w:i/>
                <w:color w:val="000000"/>
                <w:sz w:val="16"/>
              </w:rPr>
              <w:t>(in thousands)</w:t>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October 1 to October 31, 2025</w:t>
            </w:r>
          </w:p>
        </w:tc>
        <w:tc>
          <w:tcPr>
            <w:tcW w:w="1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34,829 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34,829 </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5" w:type="dxa"/>
            <w:gridSpan w:val="3"/>
            <w:tcBorders/>
            <w:vAlign w:val="center"/>
          </w:tcPr>
          <w:p>
            <w:pPr>
              <w:pStyle w:val="TableContents"/>
              <w:bidi w:val="0"/>
              <w:spacing w:before="0" w:after="283"/>
              <w:jc w:val="left"/>
              <w:rPr>
                <w:sz w:val="4"/>
                <w:szCs w:val="4"/>
              </w:rPr>
            </w:pPr>
            <w:r>
              <w:rPr>
                <w:sz w:val="4"/>
                <w:szCs w:val="4"/>
              </w:rPr>
            </w:r>
          </w:p>
        </w:tc>
      </w:tr>
      <w:tr>
        <w:trPr/>
        <w:tc>
          <w:tcPr>
            <w:tcW w:w="1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34,829 </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34,829 </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xml:space="preserve">(1)    In February 2025, our Board of Directors authorized the repurchase of up to $50.0 million in aggregate of shares of the Company’s Class A common stock, with the authorization to expire on February 28, 2026. </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previously announced, the Board of Directors authorized a stock repurchase program of our Class A common stock. Since April 2025, the Company has repurchased 209,726 shares for $3.4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29, 2025, the Company announced that it had received a proposal from Monument &amp; Cathedral Holdings, LLC (collectively with its affiliates, “M&amp;C”) to acquire all of the outstanding equity interests of the Company and MarketWise, LLC that are not owned by M&amp;C. In connection with the Proposal, the Company suspended repurchases under its stock repurchase program effective October 30, 2025. The Company confirmed publicly on February 18, 2026 that M&amp;C had withdrawn its Proposal. The stock repurchase program remains authorized and the Company plans to resume repurchases after filing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jc w:val="center"/>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the financial condition and results of operations of MarketWise, Inc., a Delaware corporation (“MarketWise,” “the Company,” “we,” “us,” and “our”), should be read together with our audited consolidated financial statements as of December 31, 2025 and 2024 and for each of the years ended December 31, 2025, 2024 and 2023 included elsewhere in this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Statement Regarding Forward Looking Statements”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ind w:left="0" w:right="0" w:firstLine="360"/>
        <w:jc w:val="left"/>
        <w:rPr/>
      </w:pPr>
      <w:r>
        <w:rPr>
          <w:rFonts w:ascii="Times New Roman;serif" w:hAnsi="Times New Roman;serif"/>
          <w:b w:val="false"/>
          <w:color w:val="000000"/>
          <w:sz w:val="20"/>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Altimetry, TradeSmith, InvestorPlace, and Brownstone Research.</w:t>
      </w:r>
      <w:r>
        <w:rPr>
          <w:color w:val="000000"/>
        </w:rPr>
        <w:t xml:space="preserve"> </w:t>
      </w:r>
      <w:r>
        <w:rPr>
          <w:rFonts w:ascii="Times New Roman;serif" w:hAnsi="Times New Roman;serif"/>
          <w:b w:val="false"/>
          <w:color w:val="000000"/>
          <w:sz w:val="20"/>
        </w:rPr>
        <w:t>Our entire investment research product portfolio is 100% digital and channel agnostic, and we offer all of our research across a variety of platforms, including desktop, laptop, and mobile devices, including tablets and mobile phones.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Today, we benefit from the confluence of a leading editorial team, diverse portfolio of content and brands, and a comprehensive suite of investor-centric tools that appeal to a broad subscriber base.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Highlights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Paid Subscribers were 374 thousand as of December 31, 2025 compared with 506 thousand as of December 31,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Total net revenue was $328.1 million for full year 2025 compared with $408.7 million for full year 2024 </w:t>
      </w:r>
      <w:r>
        <w:rPr>
          <w:rFonts w:ascii="Times New Roman;serif" w:hAnsi="Times New Roman;serif"/>
          <w:b w:val="false"/>
          <w:color w:val="000000"/>
          <w:sz w:val="13"/>
        </w:rPr>
        <w:t>(1)</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Total Billings was $271.2 million for full year 2025 compared with $239.1 million for full year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Net income was $64.0 million for full year 2025 compared with $93.1 million for full year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from Operating Activities (“CFFO”) was $46.0 million for full year 2025 compared with $(22.2) million for full year 2024</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Cash and cash equivalents were $70.1 million as of December 31, 2025, and no debt outstanding</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(1) Net Revenue (a GAAP measure) represents Billings that are recognized over the term of the subscription, which can be multiple years. Billings are amounts invoiced to customers in the period and is thus indicative of the current operating environment and demand for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CFFO, and the related margin as a percentage of net revenue, and Adjusted CFFO (as defined below), a non-GAAP measure, and the related margin as a percentage of Billings, for each of the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presented. For more information on Adjusted CFFO and Adjusted CFFO Margin (as defined below), see “— Non-GAAP Financial Measures.”</w:t>
      </w:r>
    </w:p>
    <w:tbl>
      <w:tblPr>
        <w:tblW w:w="8959" w:type="dxa"/>
        <w:jc w:val="left"/>
        <w:tblInd w:w="0" w:type="dxa"/>
        <w:tblLayout w:type="fixed"/>
        <w:tblCellMar>
          <w:top w:w="28" w:type="dxa"/>
          <w:left w:w="28" w:type="dxa"/>
          <w:bottom w:w="28" w:type="dxa"/>
          <w:right w:w="28" w:type="dxa"/>
        </w:tblCellMar>
      </w:tblPr>
      <w:tblGrid>
        <w:gridCol w:w="1809"/>
        <w:gridCol w:w="1590"/>
        <w:gridCol w:w="1595"/>
        <w:gridCol w:w="109"/>
        <w:gridCol w:w="109"/>
        <w:gridCol w:w="109"/>
        <w:gridCol w:w="252"/>
        <w:gridCol w:w="214"/>
        <w:gridCol w:w="497"/>
        <w:gridCol w:w="109"/>
        <w:gridCol w:w="109"/>
        <w:gridCol w:w="109"/>
        <w:gridCol w:w="211"/>
        <w:gridCol w:w="210"/>
        <w:gridCol w:w="585"/>
        <w:gridCol w:w="109"/>
        <w:gridCol w:w="109"/>
        <w:gridCol w:w="109"/>
        <w:gridCol w:w="256"/>
        <w:gridCol w:w="210"/>
        <w:gridCol w:w="549"/>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4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62,428</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14.0</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(5.4</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13.9</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66,368</w:t>
            </w:r>
          </w:p>
        </w:tc>
      </w:tr>
      <w:tr>
        <w:trPr/>
        <w:tc>
          <w:tcPr>
            <w:tcW w:w="4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382,411</w:t>
            </w:r>
          </w:p>
        </w:tc>
      </w:tr>
      <w:tr>
        <w:trPr/>
        <w:tc>
          <w:tcPr>
            <w:tcW w:w="4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Adjusted CFFO Margin</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w:t>
            </w:r>
          </w:p>
        </w:tc>
        <w:tc>
          <w:tcPr>
            <w:tcW w:w="4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w:t>
            </w:r>
          </w:p>
        </w:tc>
        <w:tc>
          <w:tcPr>
            <w:tcW w:w="5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17.4</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growth and future success are dependent upon several factors, including those below and those noted in the “Risk Factors” section in this report. The key factors below represent significant business opportunities as well as challenges that we must successfully address in order to continue our growth and improve our financial results.</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Growing our subscriber base with compelling unit economics. </w:t>
      </w:r>
      <w:r>
        <w:rPr>
          <w:rFonts w:ascii="Times New Roman;serif" w:hAnsi="Times New Roman;serif"/>
          <w:b w:val="false"/>
          <w:color w:val="000000"/>
          <w:sz w:val="20"/>
        </w:rPr>
        <w:t xml:space="preserve">We are highly focused on continuing to acquire new subscribers to support our long-term growth. Our marketing spend is a large driver of new subscriber growth. At the heart of our marketing strategy is our compelling unit economics that combine long-term subscriber relationships, highly scalable content delivery, cost-effective customer acquisition, and high-margin conversions. </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Paid Subscribers (as defined below) as of December 31, 2025 generated average customer lifetime Billings of approximately $2,031, resulting in a LTV/CAC (as defined below) ratio of approximately 2.0x compared to 1.3x at December 31, 2024. For more information on Billings and our LTV/CAC ratio and the components of this ratio, see “</w:t>
      </w:r>
      <w:r>
        <w:rPr>
          <w:color w:val="000000"/>
        </w:rPr>
        <w:t>—</w:t>
      </w:r>
      <w:r>
        <w:rPr>
          <w:rFonts w:ascii="Times New Roman;serif" w:hAnsi="Times New Roman;serif"/>
          <w:b w:val="false"/>
          <w:i/>
          <w:color w:val="000000"/>
          <w:sz w:val="20"/>
        </w:rPr>
        <w:t>Key Business Metrics</w:t>
      </w:r>
      <w:r>
        <w:rPr>
          <w:color w:val="000000"/>
        </w:rPr>
        <w:t xml:space="preserve">” </w:t>
      </w:r>
      <w:r>
        <w:rPr>
          <w:rFonts w:ascii="Times New Roman;serif" w:hAnsi="Times New Roman;serif"/>
          <w:b w:val="false"/>
          <w:color w:val="000000"/>
          <w:sz w:val="20"/>
        </w:rPr>
        <w:t>and “</w:t>
      </w:r>
      <w:r>
        <w:rPr>
          <w:color w:val="000000"/>
        </w:rPr>
        <w:t>—</w:t>
      </w:r>
      <w:r>
        <w:rPr>
          <w:rFonts w:ascii="Times New Roman;serif" w:hAnsi="Times New Roman;serif"/>
          <w:b w:val="false"/>
          <w:i/>
          <w:color w:val="000000"/>
          <w:sz w:val="20"/>
        </w:rPr>
        <w:t>Definitions of Metrics,</w:t>
      </w:r>
      <w:r>
        <w:rPr>
          <w:color w:val="000000"/>
        </w:rPr>
        <w:t xml:space="preserv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adjust our marketing spend to drive efficient and profitable customer acquisition. We can adjust our marketing spend in near real-time, and we monitor costs per acquisition relative to the cart value of the initial subscription.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Paid Subscriber base was 374 thousand, down 132 thousand, or 26.0% as compared to 506 thousand at December 31, 2024, primarily related to elevated churn associated with the shutdown of our Legacy Research business. At the time of shutdown, paid Legacy Research subscribers were given replacement subscriptions to other affiliates within MarketWise for at least the duration of their original subscription. These subscribers accounted for 58 thousand or approximately 44% of the overall 132 thousand decrease in the year, with the remainder of the decline primarily coming from lower value subscribers.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Paid Subscriber base is comprised of subscribers obtained through both direct-to-paid acquisition and free-to-paid conversions. Since 2023, direct-to-paid acquisition has accounted for approximately 48% of our annual Paid Subscriber acquisition, and is largely driven by display ads and targeted email campaigns. Our free subscription products also serve as a significant source of new Paid Subscribers, accounting for approximately 52% of our annual Paid Subscriber acquisition. </w:t>
      </w:r>
    </w:p>
    <w:p>
      <w:pPr>
        <w:pStyle w:val="TextBody"/>
        <w:bidi w:val="0"/>
        <w:spacing w:lineRule="auto" w:line="288" w:before="0" w:after="180"/>
        <w:ind w:left="0" w:right="0" w:firstLine="360"/>
        <w:jc w:val="left"/>
        <w:rPr/>
      </w:pPr>
      <w:r>
        <w:rPr>
          <w:rFonts w:ascii="Times New Roman;serif" w:hAnsi="Times New Roman;serif"/>
          <w:b/>
          <w:i/>
          <w:color w:val="000000"/>
          <w:sz w:val="20"/>
        </w:rPr>
        <w:t>Retaining and expanding relationships with existing subscribers.</w:t>
      </w:r>
      <w:r>
        <w:rPr>
          <w:color w:val="000000"/>
        </w:rPr>
        <w:t xml:space="preserve"> </w:t>
      </w:r>
      <w:r>
        <w:rPr>
          <w:rFonts w:ascii="Times New Roman;serif" w:hAnsi="Times New Roman;serif"/>
          <w:b w:val="false"/>
          <w:color w:val="000000"/>
          <w:sz w:val="20"/>
        </w:rPr>
        <w:t xml:space="preserve">We believe that we have a significant opportunity to expand our relationships with our large base of Active Free Subscribers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pPr>
      <w:r>
        <w:rPr>
          <w:rFonts w:ascii="Times New Roman;serif" w:hAnsi="Times New Roman;serif"/>
          <w:b w:val="false"/>
          <w:color w:val="000000"/>
          <w:sz w:val="20"/>
        </w:rPr>
        <w:t>2025 was $670, which increased 70.1% from $394 as of December 31, 2024. For more information on ARPU, see “</w:t>
      </w:r>
      <w:r>
        <w:rPr>
          <w:rFonts w:ascii="Times New Roman;serif" w:hAnsi="Times New Roman;serif"/>
          <w:b w:val="false"/>
          <w:i/>
          <w:color w:val="000000"/>
          <w:sz w:val="20"/>
        </w:rPr>
        <w:t>Key Business Metrics — Average Revenue Per User.</w:t>
      </w:r>
      <w:r>
        <w:rPr>
          <w:color w:val="00000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high-value composition rate reflects the percentage of Paid Subscribers that have purchased more than $600 of our products over their lifetime. We believe our high-value composition rate reflects our ability to retain existing subscribers through renewals and our ability to expand our relationship with them when those subscribers purchase higher-value subscriptions. Our ultra high-value composition rate reflects the percentage of Paid Subscribers that have purchased more than $5,000 of our products over their lifetime. We believe our ultra high-value composition rate reflects our ability to successfully build lifetime relationships with our subscribers, often across multiple products and brands. As of December 31, 2025, 63% of our Paid Subscribers were high-value subscribers and 30% of our Paid Subscribers were ultra high-value subscribers.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may face challenges and uncertainty in retaining and expanding relationships with existing subscribers due to the wind-down of operations of Legacy Research announced in February 2024 and any reputational harm associated with misconduct of former employees as discussed in the Risk Factor “</w:t>
      </w:r>
      <w:r>
        <w:rPr>
          <w:rFonts w:ascii="Times New Roman;serif" w:hAnsi="Times New Roman;serif"/>
          <w:b w:val="false"/>
          <w:i/>
          <w:color w:val="000000"/>
          <w:sz w:val="20"/>
        </w:rPr>
        <w:t xml:space="preserve">Failure to maintain and protect our reputation for trustworthiness and independence may harm our business” </w:t>
      </w:r>
      <w:r>
        <w:rPr>
          <w:rFonts w:ascii="Times New Roman;serif" w:hAnsi="Times New Roman;serif"/>
          <w:b w:val="false"/>
          <w:color w:val="000000"/>
          <w:sz w:val="20"/>
        </w:rPr>
        <w:t>included elsewhere in this annual report.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Definitions of Metrics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Throughout this discussion and analysis, a number of our financial and operating metrics are referenced which we do not consider to be key business metrics, but which we review to monitor performance, and which we believe may be useful to investors. These are: </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High-value composition rate: </w:t>
      </w:r>
      <w:r>
        <w:rPr>
          <w:rFonts w:ascii="Times New Roman;serif" w:hAnsi="Times New Roman;serif"/>
          <w:b w:val="false"/>
          <w:color w:val="000000"/>
          <w:sz w:val="20"/>
        </w:rPr>
        <w:t>High-value composition rate is the number of high-valued subscribers divided by Paid Subscribers. High-value subscribers are Paid Subscribers who have purchased &gt;$600 in aggregate over their lifetime.</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LTV/CAC ratio: </w:t>
      </w:r>
      <w:r>
        <w:rPr>
          <w:rFonts w:ascii="Times New Roman;serif" w:hAnsi="Times New Roman;serif"/>
          <w:b w:val="false"/>
          <w:color w:val="000000"/>
          <w:sz w:val="20"/>
        </w:rPr>
        <w:t xml:space="preserve">We calculate LTV/CAC ratio as LTV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CAC. We use LTV/CAC ratio because it is a standard metric for subscription-based businesses, and we 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external revenue share expense,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retention and renewal expenses,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copywriting and marketing salaries,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telesales salaries and commissions,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customer service commissions. </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Net revenue retention: </w:t>
      </w:r>
      <w:r>
        <w:rPr>
          <w:rFonts w:ascii="Times New Roman;serif" w:hAnsi="Times New Roman;serif"/>
          <w:b w:val="false"/>
          <w:color w:val="000000"/>
          <w:sz w:val="20"/>
        </w:rPr>
        <w:t xml:space="preserve">Net revenue retention is defined as Billings from all prior period cohorts in the current period,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all Billings from the prior period. We believe 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pStyle w:val="TextBody"/>
        <w:bidi w:val="0"/>
        <w:spacing w:lineRule="auto" w:line="288" w:before="0" w:after="180"/>
        <w:ind w:left="0" w:right="0" w:firstLine="360"/>
        <w:jc w:val="left"/>
        <w:rPr/>
      </w:pPr>
      <w:r>
        <w:rPr>
          <w:rFonts w:ascii="Times New Roman;serif" w:hAnsi="Times New Roman;serif"/>
          <w:b/>
          <w:color w:val="000000"/>
          <w:sz w:val="20"/>
        </w:rPr>
        <w:t>Subscriber count churn rate:</w:t>
      </w:r>
      <w:r>
        <w:rPr>
          <w:color w:val="000000"/>
        </w:rPr>
        <w:t xml:space="preserve"> </w:t>
      </w:r>
      <w:r>
        <w:rPr>
          <w:rFonts w:ascii="Times New Roman;serif" w:hAnsi="Times New Roman;serif"/>
          <w:b w:val="false"/>
          <w:color w:val="000000"/>
          <w:sz w:val="20"/>
        </w:rPr>
        <w:t>Our subscriber count churn rate is defined as the number of paid subscribers who either cancelled or failed to renew all of their paid subscriptions during the period divided by the number of unique paid subscribers at the beginning of the period plus the number of new subscribers obtained during the period. Monthly subscriber count churn rate is defined by the annual subscriber count churn divided by twelve months.</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Ultra high-value composition rate: </w:t>
      </w:r>
      <w:r>
        <w:rPr>
          <w:rFonts w:ascii="Times New Roman;serif" w:hAnsi="Times New Roman;serif"/>
          <w:b w:val="false"/>
          <w:color w:val="000000"/>
          <w:sz w:val="20"/>
        </w:rPr>
        <w:t>Ultra high-value composition rate is the number of ultra high-valued subscribers divided by Paid Subscribers. Ultra high-value subscribers are Paid Subscribers who have purchased &gt;$5,000 in aggregate over their lifetime.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review the following key business metrics to measure our performance, identify trends, formulate financial projections, and make strategic decisions. We are not aware of any uniform standards for calculating these key metrics, which may hinder comparability with other companies who may calculate similarly titled metrics in a different way.</w:t>
      </w:r>
    </w:p>
    <w:tbl>
      <w:tblPr>
        <w:tblW w:w="7943" w:type="dxa"/>
        <w:jc w:val="left"/>
        <w:tblInd w:w="0" w:type="dxa"/>
        <w:tblLayout w:type="fixed"/>
        <w:tblCellMar>
          <w:top w:w="28" w:type="dxa"/>
          <w:left w:w="28" w:type="dxa"/>
          <w:bottom w:w="28" w:type="dxa"/>
          <w:right w:w="28" w:type="dxa"/>
        </w:tblCellMar>
      </w:tblPr>
      <w:tblGrid>
        <w:gridCol w:w="1262"/>
        <w:gridCol w:w="1105"/>
        <w:gridCol w:w="1112"/>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Free Subscribers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4,067,199 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 Subscribers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ARPU</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"Marketing" Billings (in thousands)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"Renewal"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Billings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Billings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i/>
          <w:color w:val="000000"/>
          <w:sz w:val="20"/>
        </w:rPr>
        <w:t xml:space="preserve">Active Free Subscribers. </w:t>
      </w:r>
      <w:r>
        <w:rPr>
          <w:rFonts w:ascii="Times New Roman;serif" w:hAnsi="Times New Roman;serif"/>
          <w:b w:val="false"/>
          <w:color w:val="000000"/>
          <w:sz w:val="20"/>
        </w:rPr>
        <w:t>Active</w:t>
      </w:r>
      <w:r>
        <w:rPr>
          <w:color w:val="000000"/>
        </w:rPr>
        <w:t xml:space="preserve"> </w:t>
      </w:r>
      <w:r>
        <w:rPr>
          <w:rFonts w:ascii="Times New Roman;serif" w:hAnsi="Times New Roman;serif"/>
          <w:b w:val="false"/>
          <w:color w:val="000000"/>
          <w:sz w:val="20"/>
        </w:rPr>
        <w:t>Free Subscribers are defined as unique subscribers who have subscribed to one of our free investment publications via a valid email address and who have received and/or consumed our content during the quarter,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Active Free Subscribers learn about our editors and analysts, get to know our products and services, and learn more about ways we can help them be a better investor. Since 2023, approximately 52% of our new Paid Subscribers come from free to paid conversions.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Active Free Subscribers decreased by 1.3 million, or 38.8%, to 2.0 million as of December 31, 2025 as compared to 3.3 million as of December 31, 2024. The year over year decrease in Active Free Subscribers is a result of fewer free subscribers in total, a reduced number of free products available as we rationalize our offerings, and more targeted email sends.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Active Free Subscribers decreased by 0.7 million, or 18.1%, to 3.3 million as of December 31, 2024 as compared to 4.1 million as of December 31, 2023. The year over year decrease was primarily driven by the shutdown of our Legacy Research business in early 2024.</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Paid Subscribers. </w:t>
      </w:r>
      <w:r>
        <w:rPr>
          <w:rFonts w:ascii="Times New Roman;serif" w:hAnsi="Times New Roman;serif"/>
          <w:b w:val="false"/>
          <w:color w:val="000000"/>
          <w:sz w:val="20"/>
        </w:rPr>
        <w:t>We define Paid Subscribers as the total number of unique subscribers with at least one paid subscription at the end of the period. We view the number of Paid Subscribers at the end of a given period as a key indicator of the attractiveness of our products and services, as well as the efficacy of our marketing in converting Free Subscribers to Paid Subscribers and generating direct-to-paid acquisitions. We grow our Paid Subscriber base through marketing directly to prospective and existing subscribers across a variety of media, channels, and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Paid Subscribers decreased by 132 thousand, or 26.0%, to 374 thousand as of December 31, 2025 as compared to 506 thousand as of December 31, 2024, primarily related to elevated churn associated with the shutdown of our Legacy Research business. At the time of shutdown, paid Legacy Research subscribers were given replacement subscriptions to other affiliates within MarketWise for at least the duration of their original subscription. These subscribers accounted for 58 thousand or approximately 44% of the overall 132 thousand decrease in the year, with the remainder of the decline primarily coming from lower value subscribers.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Paid Subscribers decreased by 231 thousand, or 31.4%, to 506 thousand as of December 31, 2024 as compared to 737 thousand as of December 31, 2023, driven by continued soft consumer engagement as well as elevated churn due to expiring subscriptions in our Legacy Research Group which likely came as a result of the wind down of this business which occurred during 2024. Additionally, direct marketing spend decreased as we managed profitability given the aforementioned factors. The decrease was further compounded by the loss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approximately 20 thousand Paid Subscribers as part of sale of the Money Map Press, LLC Business in fourth quarter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Subscriber count churn rate has ranged from approximately 2.4% to 3.7% per month between 2023 and 2025. Almost all of the subscribers who churned in 2025 did so having owned only one entry level publication. This is evidenced by the fact that their ARPU approximately matched the subscription price of our entry level publications. We believe our net revenue retention rate, which improved from 53% in 2024 to 91% in 2025, is a more meaningful gauge of subscriber satisfaction.</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Average Revenue Per User (“ARPU”). </w:t>
      </w:r>
      <w:r>
        <w:rPr>
          <w:rFonts w:ascii="Times New Roman;serif" w:hAnsi="Times New Roman;serif"/>
          <w:b w:val="false"/>
          <w:color w:val="000000"/>
          <w:sz w:val="20"/>
        </w:rPr>
        <w:t xml:space="preserve">We calculate ARPU as the trailing four quarters of net Billings </w:t>
      </w:r>
      <w:r>
        <w:rPr>
          <w:rFonts w:ascii="Times New Roman;serif" w:hAnsi="Times New Roman;serif"/>
          <w:b w:val="false"/>
          <w:i/>
          <w:color w:val="000000"/>
          <w:sz w:val="20"/>
        </w:rPr>
        <w:t>divided by</w:t>
      </w:r>
      <w:r>
        <w:rPr>
          <w:color w:val="000000"/>
        </w:rPr>
        <w:t xml:space="preserve"> </w:t>
      </w:r>
      <w:r>
        <w:rPr>
          <w:rFonts w:ascii="Times New Roman;serif" w:hAnsi="Times New Roman;serif"/>
          <w:b w:val="false"/>
          <w:color w:val="000000"/>
          <w:sz w:val="20"/>
        </w:rPr>
        <w:t xml:space="preserve">the average number of quarterly total Paid Subscribers over that period. We believe ARPU is a key indicator of how successful we are in attracting subscribers to higher-value content. We believe that our high ARPU is indicative of the trust we build with our subscribers and of the value they see in our products and services.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ARPU increased by $276, or 70.1%, to $670 as of December 31, 2025 as compared to $394 as of December 31, 2024. The year-over-year increase was driven by a 13% increase in trailing four quarter Billings, while trailing four quarter average Paid Subscribers decreased by (33)%. The increase in trailing four quarter Billings was driven by successful campaigns involving our software products, as further discussed in </w:t>
      </w:r>
      <w:r>
        <w:rPr>
          <w:color w:val="000000"/>
        </w:rPr>
        <w:t>—</w:t>
      </w:r>
      <w:r>
        <w:rPr>
          <w:rFonts w:ascii="Times New Roman;serif" w:hAnsi="Times New Roman;serif"/>
          <w:b w:val="false"/>
          <w:i/>
          <w:color w:val="000000"/>
          <w:sz w:val="20"/>
        </w:rPr>
        <w:t>Billings</w:t>
      </w:r>
      <w:r>
        <w:rPr>
          <w:color w:val="000000"/>
        </w:rPr>
        <w:t xml:space="preserve"> </w:t>
      </w:r>
      <w:r>
        <w:rPr>
          <w:rFonts w:ascii="Times New Roman;serif" w:hAnsi="Times New Roman;serif"/>
          <w:b w:val="false"/>
          <w:color w:val="000000"/>
          <w:sz w:val="20"/>
        </w:rPr>
        <w:t>below. The decrease in trailing four quarter Paid Subscribers is also driven by the winding down of our Legacy Research Group business during 2024.</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ARPU decreased by $109, or 21.7%, to $394 as of December 31, 2024 as compared to $503 as of December 31, 2023. The year-over-year decrease was driven by a 37% decrease in trailing four quarter Billings, while trailing four quarter average Paid Subscribers only decreased by 20%. The decrease in trailing four quarter Billings was driven by reduced engagement of prospective and existing subscribers, as further discussed in </w:t>
      </w:r>
      <w:r>
        <w:rPr>
          <w:color w:val="000000"/>
        </w:rPr>
        <w:t>—</w:t>
      </w:r>
      <w:r>
        <w:rPr>
          <w:rFonts w:ascii="Times New Roman;serif" w:hAnsi="Times New Roman;serif"/>
          <w:b w:val="false"/>
          <w:i/>
          <w:color w:val="000000"/>
          <w:sz w:val="20"/>
        </w:rPr>
        <w:t>Billings</w:t>
      </w:r>
      <w:r>
        <w:rPr>
          <w:color w:val="000000"/>
        </w:rPr>
        <w:t xml:space="preserve"> </w:t>
      </w:r>
      <w:r>
        <w:rPr>
          <w:rFonts w:ascii="Times New Roman;serif" w:hAnsi="Times New Roman;serif"/>
          <w:b w:val="false"/>
          <w:color w:val="000000"/>
          <w:sz w:val="20"/>
        </w:rPr>
        <w:t xml:space="preserve">below. The decrease in trailing four quarter Paid Subscribers is also driven by the winding down of our Legacy Research Group business during 2024. Our ARPUs remain high relative to other subscription businesses, and we attribute this to the quality of our content and effective sales and marketing efforts regarding higher value content, bundled subscriptions and membership subscriptions. </w:t>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Billings. </w:t>
      </w:r>
      <w:r>
        <w:rPr>
          <w:rFonts w:ascii="Times New Roman;serif" w:hAnsi="Times New Roman;serif"/>
          <w:b w:val="false"/>
          <w:color w:val="000000"/>
          <w:sz w:val="20"/>
        </w:rPr>
        <w:t>Billings represents amounts invoiced to customers. We measure and monitor our Billings because it provides insight into trends in cash generation from our marketing 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 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Net Revenue and Billings are both related to sales of our products, there are key differences in how those sales are recognized. From a Net Revenue perspective, substantially all of the amounts invoiced to customers are originally reported as deferred revenue on our Balance Sheet and is subsequently recognized as Net Revenue over a period up to 5 years; whereas Billings, as defined above, represents amounts invoiced to customers in each period, and provides more insight from a cash generation perspective. As a result, there will be a perpetual disconnect between Billings and Net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break down our Billings into three sub-categories: New Marketing Billings, Net Renewal Billings, and Other Billings.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New Marketing Billings are Billings from all new subscription sales. New Marketing Billings increased by $36.4 million, or 22.3%, to $199.1 million in 2025 as compared to $162.8 million in 2024. The increase was primarily driven by sales of our software related content and to a lesser extent, sales of our entry level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New Marketing Billings decreased by $115.5 million, or 41.5%, to $162.8 million in 2024 as compared to $278.3 million in 2023. The decrease was primarily driven by ceasing new sales campaigns within our Legacy Research Group brands, which began winding down operations in mid-February 2024. The balance of the decline was due to continuing soft engagement and reluctance of existing subscribers to purchase additional higher priced subscriptions.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Renewal Billings are Billings from renewals and maintenance fee payments. Net Renewal Billings decreased by $5.0 million, or 7.0%, to $65.4 million in 2025 as compared to $70.3 million in 2024. This was primarily a function of a significant decrease (approximately 200 thousand) in average Paid Subscribers in 2025 versus 2024. The loss of renewal billings due to decreased subscribers was somewhat offset by an increased renewal rate on those subscriptions that were available for renewal.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Renewal Billings decreased by $26.5 million, or 27.3%, to $70.3 million in 2024 as compared to $96.8 million in 2023. This was primarily a function of a significant decrease (approximately 150 thousand) in average Paid Subscribers in 2024 versus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Billings are Billings from revenue share, advertising and conferences. Other Billings increased by $0.7 million or 11.9% to $6.7 million in 2025 as compared to $6.0 million in 2024 as a result of increasing revenue share activity with external parties.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Billings decreased by $1.4 million or 18.9% to $6.0 million in 2024 as compared to $7.4 million in 2023 as a result of decreasing revenue share activity with external parties.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Billings increased by $32.1 million, or 13.4%, to $271.2 million in 2025 as compared to $239.1 million in 2024. The increase was primarily driven by sales of new products, particularly our software related content and was somewhat offset by a slight decrease in renewal sales related to a decline in subscribers.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Billings decreased by $143.3 million, or 37.5%, to $239.1 million in 2024 as compared to $382.4 million in 2023. The decrease was primarily driven by the winding down of our Legacy Research Group brands which began in mid-February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MarketWise’s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Net Revenue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Compensation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 Stock-based compensation includes amounts related to our 2021 Incentive Award Plan, our ESPP, and profits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employee compensation costs associated with producing and publishing our content, hosting fees, customer service, credit card processing fees, product costs, and allocated overhead. Cost of revenue is exclusive of depreciation and amortization, which is shown as a separate line item.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consist primarily of employee compensation costs, amortization of deferred contract acquisition costs, agency costs, advertising campaigns, and branding initiatives. Sales and marketing expenses are exclusive of depreciation and amortization shown as a separate line item.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employee compensation costs associated with our finance, legal, information technology, human resources, executive, and administrative personnel, legal fees, corporate insurance, office expenses, professional fees, and travel and entertainment costs.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employee compensation costs, technical services, software expenses, and hosting expenses associated with maintaining and enhancing the functionality of our platforms, including our software and analytical tools. Research and development expenses are exclusive of depreciation and amortization shown as a separate line item.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expenses consist of amortization of trade names, customer relationship intangibles, and software development costs, as well as depreciation on other property and equipment such as leasehold improvements, furniture and fixtures, and computer equipment.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of Intangible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of intangible assets consists of impairment losses related to our Legacy Research and Buttonwood Publishing businesses.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Related Party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 party expenses primarily consist of Board of Director compensation, revenue share expenses and expenses for certain corporate functions performed by a related party for certain historic periods.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net primarily consists of the net gains or losses on our embedded derivative instruments.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(Expense)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(expense) income, net primarily consists of interest income from our money market accounts.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Income Attributable to Noncontrolling Interests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MarketWise, Inc.’s controlling interest in MarketWise, LLC was 15.2% and the noncontrolling interest was 84.8%. For the year ended December 31, 2025 net income attributable to controlling interests included a $2.6 million tax provision, which is 100% attributable to the 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MarketWise, Inc.’s controlling interest in MarketWise, LLC was 12.4% and the noncontrolling interest was 87.6%. For the year ended December 31, 2024 net income attributable to controlling interests included a $3.3 million tax provision, which is 100% attributable to the controlling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jc w:val="center"/>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periods presented:</w:t>
      </w:r>
    </w:p>
    <w:tbl>
      <w:tblPr>
        <w:tblW w:w="8709" w:type="dxa"/>
        <w:jc w:val="left"/>
        <w:tblInd w:w="0" w:type="dxa"/>
        <w:tblLayout w:type="fixed"/>
        <w:tblCellMar>
          <w:top w:w="28" w:type="dxa"/>
          <w:left w:w="28" w:type="dxa"/>
          <w:bottom w:w="28" w:type="dxa"/>
          <w:right w:w="28" w:type="dxa"/>
        </w:tblCellMar>
      </w:tblPr>
      <w:tblGrid>
        <w:gridCol w:w="1540"/>
        <w:gridCol w:w="1350"/>
        <w:gridCol w:w="1355"/>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5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Times New Roman;serif" w:hAnsi="Times New Roman;serif"/>
          <w:b w:val="false"/>
          <w:color w:val="000000"/>
          <w:sz w:val="10"/>
        </w:rPr>
        <w:t>(1)     </w:t>
      </w:r>
      <w:r>
        <w:rPr>
          <w:rFonts w:ascii="Times New Roman;serif" w:hAnsi="Times New Roman;serif"/>
          <w:b w:val="false"/>
          <w:color w:val="000000"/>
          <w:sz w:val="16"/>
        </w:rPr>
        <w:t>Cost of revenue, sales and marketing, general and administrative, and research and development expenses are exclusive of depreciation and amortization shown as a separate line item.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jc w:val="center"/>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consolidated statements of operations data expressed as a percentage of net revenue for the periods indicated:</w:t>
      </w:r>
    </w:p>
    <w:tbl>
      <w:tblPr>
        <w:tblW w:w="7932" w:type="dxa"/>
        <w:jc w:val="left"/>
        <w:tblInd w:w="0" w:type="dxa"/>
        <w:tblLayout w:type="fixed"/>
        <w:tblCellMar>
          <w:top w:w="28" w:type="dxa"/>
          <w:left w:w="28" w:type="dxa"/>
          <w:bottom w:w="28" w:type="dxa"/>
          <w:right w:w="28" w:type="dxa"/>
        </w:tblCellMar>
      </w:tblPr>
      <w:tblGrid>
        <w:gridCol w:w="1534"/>
        <w:gridCol w:w="1353"/>
        <w:gridCol w:w="1358"/>
        <w:gridCol w:w="109"/>
        <w:gridCol w:w="109"/>
        <w:gridCol w:w="109"/>
        <w:gridCol w:w="308"/>
        <w:gridCol w:w="308"/>
        <w:gridCol w:w="271"/>
        <w:gridCol w:w="109"/>
        <w:gridCol w:w="109"/>
        <w:gridCol w:w="109"/>
        <w:gridCol w:w="308"/>
        <w:gridCol w:w="308"/>
        <w:gridCol w:w="271"/>
        <w:gridCol w:w="109"/>
        <w:gridCol w:w="109"/>
        <w:gridCol w:w="109"/>
        <w:gridCol w:w="308"/>
        <w:gridCol w:w="308"/>
        <w:gridCol w:w="316"/>
      </w:tblGrid>
      <w:tr>
        <w:trPr/>
        <w:tc>
          <w:tcPr>
            <w:tcW w:w="1534"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Research and development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MarketWise,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(1)Cost of revenue, sales and marketing, general and administrative, and research and development expenses are exclusive of depreciation and amortization shown as a separate line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Years Ended December 31, 2025 and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Revenue</w:t>
      </w:r>
    </w:p>
    <w:tbl>
      <w:tblPr>
        <w:tblW w:w="6659" w:type="dxa"/>
        <w:jc w:val="left"/>
        <w:tblInd w:w="0" w:type="dxa"/>
        <w:tblLayout w:type="fixed"/>
        <w:tblCellMar>
          <w:top w:w="28" w:type="dxa"/>
          <w:left w:w="28" w:type="dxa"/>
          <w:bottom w:w="28" w:type="dxa"/>
          <w:right w:w="28" w:type="dxa"/>
        </w:tblCellMar>
      </w:tblPr>
      <w:tblGrid>
        <w:gridCol w:w="413"/>
        <w:gridCol w:w="363"/>
        <w:gridCol w:w="36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4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net revenue was primarily driven by a $62.1 million decrease in term subscription revenue and a $19.5 million decrease in membership subscription revenue, partially offset by a $1.1 million increase in non-subscription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Term subscription revenue decreased during the year ended December 31, 2025 primarily due to the wind down of Legacy Research, and a decrease in Billings in prior periods causing reduced revenue recognition in the 2025 which contributed $32.6 million and $53.3 million to the overall term subscription revenue decrease, respectively. This is partially offset by an increase in current year Billings.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Membership revenue decreased during the year ended December 31, 2025, primarily due to Legacy Research, which contributed $24.8 million to the overall membership subscription revenue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114" w:type="dxa"/>
        <w:jc w:val="left"/>
        <w:tblInd w:w="0" w:type="dxa"/>
        <w:tblLayout w:type="fixed"/>
        <w:tblCellMar>
          <w:top w:w="28" w:type="dxa"/>
          <w:left w:w="28" w:type="dxa"/>
          <w:bottom w:w="28" w:type="dxa"/>
          <w:right w:w="28" w:type="dxa"/>
        </w:tblCellMar>
      </w:tblPr>
      <w:tblGrid>
        <w:gridCol w:w="940"/>
        <w:gridCol w:w="826"/>
        <w:gridCol w:w="82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4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(6,328)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(20.6)</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(91.5)</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265,526 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319,713 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(54,187)</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decreased primarily driven by a $5.5 million decrease in freelance editorial expenses, a $1.1 million decrease in incentive compensation, and a $1.0 million decrease in outside labor. This was partially offset by a $1.0 million increase in stock-based compensation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primarily driven by a $34.0 million decrease in amortization of deferred contract acquisition costs, and $3.7 million decrease in salaries, taxes and benefits primarily due to reductions in workforce in 2024. This is partially offset by a $7.9 million increase in marketing expense.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primarily driven by a $8.1 million decrease in professional fees, a $2.9 million decrease in salaries, taxes and benefits due to a reduction in workforce, a $2.6 million decrease due to the change in fair value of contingent consideration related to brands sold during 2024, a $2.3 million decrease in severance expense, a $1.8 million decrease in stock-based compensation expense, a $0.7 million decrease in software expense. This is partially offset by a $5.6 million increase in incentive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losses expense decreased primarily driven by impairment to Legacy Research brands in the 2024 period. The impairment losses in 2024 were due to the charges related to deferred contract acquisition costs and intangible assets of the Legacy Research brands that we disposed of in the fourth quarter of 2024, and the impairment of the Legacy Research operating lease right-of-use asset.</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Years Ended December 31,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Revenue</w:t>
      </w:r>
    </w:p>
    <w:tbl>
      <w:tblPr>
        <w:tblW w:w="6553" w:type="dxa"/>
        <w:jc w:val="left"/>
        <w:tblInd w:w="0" w:type="dxa"/>
        <w:tblLayout w:type="fixed"/>
        <w:tblCellMar>
          <w:top w:w="28" w:type="dxa"/>
          <w:left w:w="28" w:type="dxa"/>
          <w:bottom w:w="28" w:type="dxa"/>
          <w:right w:w="28" w:type="dxa"/>
        </w:tblCellMar>
      </w:tblPr>
      <w:tblGrid>
        <w:gridCol w:w="413"/>
        <w:gridCol w:w="363"/>
        <w:gridCol w:w="364"/>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39"/>
        <w:gridCol w:w="241"/>
        <w:gridCol w:w="54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net revenue was primarily driven by a $41.4 million decrease in term subscription revenue and a $1.7 million decrease in non-subscription revenue, partially offset by a $3.6 million increase in membership subscription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Term subscription revenue decreased during the year ended December 31, 2024 primarily due to lower Billings as compared to the 2023 period which was driven by reduced engagement of prospective and existing subscribers in the 2024 period. Membership subscription revenue, which is initially deferred and recognized over a five-year period, increased during the year ended December 31, 2024 as a result of higher volume of membership subscriptions in the current year.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114" w:type="dxa"/>
        <w:jc w:val="left"/>
        <w:tblInd w:w="0" w:type="dxa"/>
        <w:tblLayout w:type="fixed"/>
        <w:tblCellMar>
          <w:top w:w="28" w:type="dxa"/>
          <w:left w:w="28" w:type="dxa"/>
          <w:bottom w:w="28" w:type="dxa"/>
          <w:right w:w="28" w:type="dxa"/>
        </w:tblCellMar>
      </w:tblPr>
      <w:tblGrid>
        <w:gridCol w:w="940"/>
        <w:gridCol w:w="826"/>
        <w:gridCol w:w="829"/>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3"/>
        <w:gridCol w:w="293"/>
        <w:gridCol w:w="544"/>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(37,885)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(34,464)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544"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544"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319,713 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396,377 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(76,664)</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5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decreased primarily driven by a $4.1 million decrease in credit card fees, a $2.7 million decrease in salaries, taxes and benefits, and a $0.8 million decrease in outside labor. This was partially offset by a $1.7 million increase in incentive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 decreased primarily driven by a $14.5 million decrease in amortization of deferred contract acquisition costs, a $14.1 million decrease in marketing expense as we have reduced our marketing spend as part of our cost reduction initiatives and due to higher per unit subscriber acquisition costs, and an $8.5 million decrease in salaries, taxes and benefits.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 decreased primarily driven by a $25.0 million decrease in salaries, taxes and benefits resulting from a decrease in headcount in 2024 as compared to 2023, a $10.8 million decrease in stock-based compensation expense, a $1.2 million decrease in insurance expense, and a $0.7 million decrease in software expense. This was partially offset by a $3.7 million increase in professional fees.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Impairment losses in 2024 were due to the charges related to deferred contract acquisition costs and intangible assets of the Legacy Research brands that we disposed of in the fourth quarter of 2024, and the impairment of the Legacy Research operating lease right-of-use asset. Impairment losses in 2023 were due to the charges related to deferred contract acquisition costs, intangible assets, and operating lease right of use assets of our Buttonwood Publishing business that we sold in December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our results determined in accordance with GAAP, we believe that the below non-GAAP financial measures are useful in evaluating operating performance.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first quarter 2025, we introduced an additional non-GAAP financial measure: Free Cash Flow. This new non-GAAP financial measure is intended to provide investors with additional information regarding our liquidity and operating performance, and is commonly used within our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new non-GAAP measure is provided in addition to, and not as a substitute for or superior to, our existing non-GAAP financial measures, which we will continue to present.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uses these non-GAAP measures internally to evaluate performance and make operating decisions, and we believe they provide a meaningful perspective to investors when used in conjunction with our GAAP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non-GAAP measures have limitations as analytical tools, and should not be considered in isolation or as substitutes for analysis of other GAAP financial measures, such as cash flow from operations, operating cash flow margin, and net income. Some of the limitations of using these non-GAAP measures are that these metrics may be calculated differently by other companies in our industry.</w:t>
      </w:r>
    </w:p>
    <w:p>
      <w:pPr>
        <w:pStyle w:val="TextBody"/>
        <w:bidi w:val="0"/>
        <w:spacing w:before="0" w:after="180"/>
        <w:ind w:left="0" w:right="0" w:firstLine="360"/>
        <w:jc w:val="left"/>
        <w:rPr/>
      </w:pPr>
      <w:r>
        <w:rPr/>
      </w:r>
    </w:p>
    <w:tbl>
      <w:tblPr>
        <w:tblW w:w="9575" w:type="dxa"/>
        <w:jc w:val="left"/>
        <w:tblInd w:w="0" w:type="dxa"/>
        <w:tblLayout w:type="fixed"/>
        <w:tblCellMar>
          <w:top w:w="28" w:type="dxa"/>
          <w:left w:w="28" w:type="dxa"/>
          <w:bottom w:w="28" w:type="dxa"/>
          <w:right w:w="28" w:type="dxa"/>
        </w:tblCellMar>
      </w:tblPr>
      <w:tblGrid>
        <w:gridCol w:w="750"/>
        <w:gridCol w:w="659"/>
        <w:gridCol w:w="660"/>
        <w:gridCol w:w="109"/>
        <w:gridCol w:w="109"/>
        <w:gridCol w:w="109"/>
        <w:gridCol w:w="266"/>
        <w:gridCol w:w="245"/>
        <w:gridCol w:w="483"/>
        <w:gridCol w:w="109"/>
        <w:gridCol w:w="109"/>
        <w:gridCol w:w="109"/>
        <w:gridCol w:w="231"/>
        <w:gridCol w:w="249"/>
        <w:gridCol w:w="567"/>
        <w:gridCol w:w="109"/>
        <w:gridCol w:w="109"/>
        <w:gridCol w:w="109"/>
        <w:gridCol w:w="211"/>
        <w:gridCol w:w="721"/>
        <w:gridCol w:w="271"/>
        <w:gridCol w:w="109"/>
        <w:gridCol w:w="109"/>
        <w:gridCol w:w="109"/>
        <w:gridCol w:w="344"/>
        <w:gridCol w:w="346"/>
        <w:gridCol w:w="590"/>
        <w:gridCol w:w="109"/>
        <w:gridCol w:w="109"/>
        <w:gridCol w:w="109"/>
        <w:gridCol w:w="344"/>
        <w:gridCol w:w="346"/>
        <w:gridCol w:w="657"/>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Margin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Adjusted CFFO / Adjusted CFFO Margin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Adjusted CFFO and Adjusted CFFO Margin are useful indicators that provide information to management and investors about our ability to generate cash, and for internal planning and forecasting purposes.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Adjusted CFFO as cash flow from operations plus or minus any non-recurring items. We define Adjusted CFFO Margin as Adjusted CFFO as a percentage of Billings. 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the most directly comparable financial measure calculated in accordance with GAAP, to Adjusted CFFO for each of the periods presented:</w:t>
      </w:r>
    </w:p>
    <w:tbl>
      <w:tblPr>
        <w:tblW w:w="10205" w:type="dxa"/>
        <w:jc w:val="left"/>
        <w:tblInd w:w="0" w:type="dxa"/>
        <w:tblLayout w:type="fixed"/>
        <w:tblCellMar>
          <w:top w:w="28" w:type="dxa"/>
          <w:left w:w="28" w:type="dxa"/>
          <w:bottom w:w="28" w:type="dxa"/>
          <w:right w:w="28" w:type="dxa"/>
        </w:tblCellMar>
      </w:tblPr>
      <w:tblGrid>
        <w:gridCol w:w="1219"/>
        <w:gridCol w:w="923"/>
        <w:gridCol w:w="926"/>
        <w:gridCol w:w="109"/>
        <w:gridCol w:w="109"/>
        <w:gridCol w:w="109"/>
        <w:gridCol w:w="211"/>
        <w:gridCol w:w="721"/>
        <w:gridCol w:w="109"/>
        <w:gridCol w:w="109"/>
        <w:gridCol w:w="109"/>
        <w:gridCol w:w="109"/>
        <w:gridCol w:w="211"/>
        <w:gridCol w:w="772"/>
        <w:gridCol w:w="109"/>
        <w:gridCol w:w="109"/>
        <w:gridCol w:w="109"/>
        <w:gridCol w:w="109"/>
        <w:gridCol w:w="211"/>
        <w:gridCol w:w="721"/>
        <w:gridCol w:w="109"/>
        <w:gridCol w:w="109"/>
        <w:gridCol w:w="109"/>
        <w:gridCol w:w="109"/>
        <w:gridCol w:w="332"/>
        <w:gridCol w:w="334"/>
        <w:gridCol w:w="466"/>
        <w:gridCol w:w="109"/>
        <w:gridCol w:w="109"/>
        <w:gridCol w:w="109"/>
        <w:gridCol w:w="332"/>
        <w:gridCol w:w="334"/>
        <w:gridCol w:w="530"/>
      </w:tblGrid>
      <w:tr>
        <w:trPr/>
        <w:tc>
          <w:tcPr>
            <w:tcW w:w="121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30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Non-recurring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the calculation of net cash provided by operating activities as a percentage of total net revenue, the most directly comparable financial measure in accordance with GAAP, and Adjusted CFFO Margin for each of the periods presented:</w:t>
      </w:r>
    </w:p>
    <w:tbl>
      <w:tblPr>
        <w:tblW w:w="10205" w:type="dxa"/>
        <w:jc w:val="left"/>
        <w:tblInd w:w="0" w:type="dxa"/>
        <w:tblLayout w:type="fixed"/>
        <w:tblCellMar>
          <w:top w:w="28" w:type="dxa"/>
          <w:left w:w="28" w:type="dxa"/>
          <w:bottom w:w="28" w:type="dxa"/>
          <w:right w:w="28" w:type="dxa"/>
        </w:tblCellMar>
      </w:tblPr>
      <w:tblGrid>
        <w:gridCol w:w="1232"/>
        <w:gridCol w:w="1058"/>
        <w:gridCol w:w="1061"/>
        <w:gridCol w:w="109"/>
        <w:gridCol w:w="109"/>
        <w:gridCol w:w="109"/>
        <w:gridCol w:w="243"/>
        <w:gridCol w:w="223"/>
        <w:gridCol w:w="483"/>
        <w:gridCol w:w="109"/>
        <w:gridCol w:w="109"/>
        <w:gridCol w:w="109"/>
        <w:gridCol w:w="211"/>
        <w:gridCol w:w="221"/>
        <w:gridCol w:w="551"/>
        <w:gridCol w:w="109"/>
        <w:gridCol w:w="109"/>
        <w:gridCol w:w="109"/>
        <w:gridCol w:w="243"/>
        <w:gridCol w:w="223"/>
        <w:gridCol w:w="483"/>
        <w:gridCol w:w="109"/>
        <w:gridCol w:w="109"/>
        <w:gridCol w:w="109"/>
        <w:gridCol w:w="333"/>
        <w:gridCol w:w="334"/>
        <w:gridCol w:w="470"/>
        <w:gridCol w:w="109"/>
        <w:gridCol w:w="109"/>
        <w:gridCol w:w="109"/>
        <w:gridCol w:w="333"/>
        <w:gridCol w:w="334"/>
        <w:gridCol w:w="534"/>
      </w:tblGrid>
      <w:tr>
        <w:trPr/>
        <w:tc>
          <w:tcPr>
            <w:tcW w:w="1232"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3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CFFO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5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239,083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5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CFFO Margin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CFFO and Adjusted CFFO for the year ended December 31, 2025 was primarily due to net income of $64.0 million, adjusted for net non-cash items which increased cash by $14.3 million. This was partially offset by net changes in our operating assets and liabilities which reduced cash by $32.4 million, including incentive compensation payouts.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CFFO and Adjusted CFFO were negative for the year ended December 31, 2024 primarily driven by lower Billings during the period, partially due to the Legacy wind down, incentive compensation payouts during the first quarter, and payments related to renegotiated employment agreements.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difference between Adjusted CFFO and CFFO in 2023 was $3.9 million, which were one-time costs related to severance payments.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define Free Cash Flow as net cash provided by (used in) operating activities less capital expenditures. We define capital expenditures as purchases of property and equipment plus capitalized software development costs. Acquisitions are not included in capital expenditures.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Free Cash Flow is a useful indicator that provides information to management and investors about the cash generated by the business that is available for discretionary purposes, such as dividends and strategic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net cash provided by operating activities, the most directly comparable financial measure calculated in accordance with GAAP, to Free Cash Flow for each of the periods presented:</w:t>
      </w:r>
    </w:p>
    <w:tbl>
      <w:tblPr>
        <w:tblW w:w="10205" w:type="dxa"/>
        <w:jc w:val="left"/>
        <w:tblInd w:w="0" w:type="dxa"/>
        <w:tblLayout w:type="fixed"/>
        <w:tblCellMar>
          <w:top w:w="28" w:type="dxa"/>
          <w:left w:w="28" w:type="dxa"/>
          <w:bottom w:w="28" w:type="dxa"/>
          <w:right w:w="28" w:type="dxa"/>
        </w:tblCellMar>
      </w:tblPr>
      <w:tblGrid>
        <w:gridCol w:w="1192"/>
        <w:gridCol w:w="933"/>
        <w:gridCol w:w="936"/>
        <w:gridCol w:w="109"/>
        <w:gridCol w:w="109"/>
        <w:gridCol w:w="109"/>
        <w:gridCol w:w="211"/>
        <w:gridCol w:w="721"/>
        <w:gridCol w:w="109"/>
        <w:gridCol w:w="109"/>
        <w:gridCol w:w="109"/>
        <w:gridCol w:w="109"/>
        <w:gridCol w:w="211"/>
        <w:gridCol w:w="773"/>
        <w:gridCol w:w="109"/>
        <w:gridCol w:w="109"/>
        <w:gridCol w:w="109"/>
        <w:gridCol w:w="109"/>
        <w:gridCol w:w="211"/>
        <w:gridCol w:w="721"/>
        <w:gridCol w:w="109"/>
        <w:gridCol w:w="109"/>
        <w:gridCol w:w="109"/>
        <w:gridCol w:w="109"/>
        <w:gridCol w:w="333"/>
        <w:gridCol w:w="334"/>
        <w:gridCol w:w="469"/>
        <w:gridCol w:w="109"/>
        <w:gridCol w:w="109"/>
        <w:gridCol w:w="109"/>
        <w:gridCol w:w="333"/>
        <w:gridCol w:w="334"/>
        <w:gridCol w:w="531"/>
      </w:tblGrid>
      <w:tr>
        <w:trPr/>
        <w:tc>
          <w:tcPr>
            <w:tcW w:w="119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vs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vs 2023</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w:t>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(135.5)</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this accumulation of cash as our “float” which we view as a valuable resource that we may invest or use to expand our operations. The Company estimates that the amount of float was approximately $98.2 million and $119.7 million as of December 31, 2025 and 2024, respectively. As part of the Company's broader capital allocation strategy, our consolidated cash balance may from time to time decline below our estimate of the long term float requirement.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the Company earned interest income of $3.0 million and $5.9 million, respectively, on our cash portfolio which was invested solely in money market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is responsible for approving investment decisions. Gains and losses on marketable securities may fluctuate significantly from period to period in the future and could have a significant impact on the Company’s results of operations. Historically, the Company has only invested in money market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principal sources of liquidity were cash, cash equivalents, and restricted cash of $70.1 million. Cash and cash equivalents are comprised of bank deposits, money market funds, and certificates of deposit. We have financed our operations primarily through cash received from operations, and our sources of liquidity have enabled us to make continued investments in supporting the growth of our business. We expect that our anticipated operating cash flows, in addition to cash on hand, will enable us to continue to make investments in the future, and to pay dividends. We expect our operating cash flows to further improve as we increase our operational efficiency and experience economies of scale.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pay quarterly dividends on shares of our Class A common stock and distributions on our LLC Units.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dividends and distributions declared during the year ended December 31, 2025, on a split adjusted basis, were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jc w:val="center"/>
        <w:rPr/>
      </w:pPr>
      <w:r>
        <w:rPr/>
      </w:r>
    </w:p>
    <w:tbl>
      <w:tblPr>
        <w:tblW w:w="8641" w:type="dxa"/>
        <w:jc w:val="left"/>
        <w:tblInd w:w="0" w:type="dxa"/>
        <w:tblLayout w:type="fixed"/>
        <w:tblCellMar>
          <w:top w:w="28" w:type="dxa"/>
          <w:left w:w="28" w:type="dxa"/>
          <w:bottom w:w="28" w:type="dxa"/>
          <w:right w:w="28" w:type="dxa"/>
        </w:tblCellMar>
      </w:tblPr>
      <w:tblGrid>
        <w:gridCol w:w="276"/>
        <w:gridCol w:w="243"/>
        <w:gridCol w:w="247"/>
        <w:gridCol w:w="529"/>
        <w:gridCol w:w="529"/>
        <w:gridCol w:w="532"/>
        <w:gridCol w:w="572"/>
        <w:gridCol w:w="572"/>
        <w:gridCol w:w="581"/>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declared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15, 2025</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24,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24,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existing cash and cash equivalents and cash flow from operations will be sufficient to support working capital and capital expenditure requirements for at least the next 12 months.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to incur payment obligations under the Tax Receivable Agreement (“TRA”) in the future. These obligations correspond to future cash tax savings that MarketWise, Inc. derives from tax-related benefits created as MarketWise Members exchange their LLC Units for Class A shares of MarketWise, Inc. This obligation is equal to 85% of the estimated future tax benefit for MarketWise, Inc. and is recorded as a TRA liability on the consolidated balance sheet. The TRA liability was $4.3 million as of December 31, 2025. No payments have been made under the TRA, and no significant payments are expected in the next 12 months. However, these obligations may be significant in the future. MarketWise, Inc. intends to cause MarketWise, LLC to make distributions to MarketWise, Inc. in an amount sufficient to allow MarketWise, Inc. to pay its tax obligations and operating expenses, including distributions to fund any payments due under the TRA. If MarketWise, LLC does not have sufficient cash to fund distributions to MarketWise, Inc. in amounts sufficient to cover MarketWise, Inc.’s obligations under the TRA, it may have to borrow funds, which could materially adversely affect its liquidity and financial condition and subject it to various restrictions imposed by any such lenders. To the extent that MarketWise, Inc. is unable to make timely payments under the TRA for any reason, the unpaid amounts will be deferred and will accrue interest until paid. For additional information regarding the TRA, see the section entitled “ Management’s Discussion and Analysis of Financial Condition and Results of Operations—Liquidity and Capital Resources—Tax Receivable Agreement” in the Annual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to the extent we have taxable income, we will make distributions to the MarketWise Members and to MarketWise, Inc. in amounts sufficient for the recipients to pay taxes due on their share of MarketWise income at prevailing individual income tax rates, which for the 2025 tax year the highest federal, state and local tax rate the Company used was 49.75%. In the year ended December 31, 2025, MarketWise, LLC made quarterly tax distributions of $49.8 million proportionately to all MarketWise Members, including MarketWise, Inc. These quarterly tax distributions to MarketWise, Inc. exceeded its corporate tax liability and enabled MarketWise, Inc. to declare and pay the aforementioned special dividend with the excess tax distribution proceeds. We expect MarketWise, Inc. will receive quarterly tax distributions in future quarters such that quarterly special dividends are expected to continue, however the amount is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Tax Receivable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MarketWise, Inc. intends, as MarketWise, LLC’s sole manager, to cause MarketWise, LLC to make cash distributions to MarketWise, Inc. in an amount sufficient to cover MarketWise, Inc.’s obligations under the Tax Receivable Agreement. However, MarketWise, LLC’s ability to make such distributions to MarketWise, Inc. may be subject to various limitations and restrictions, such as restrictions on distributions under contracts or agreements to which MarketWise, LLC is then a party, including debt agreements, or any applicable law, or that would have the effect of rendering MarketWise, LLC insolvent.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MarketWise, Inc.’s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terminate the Tax Receivable Agreement and accelerate future payments thereunder, unless the applicable payment is not made because (i) MarketWise, LLC is prohibited from making such payment under the terms of the Tax Receivable Agreement or the terms governing certain of its indebtedness or (ii) MarketWise, LLC does not have, and despite using commercially reasonable efforts cannot obtain, sufficient funds to make such payment. See “Certain Relationships and Related Party Transactions—Tax Receivable Agreement” and “Certain Relationships and Related Party Transactions—MarketWise Operating Agreement” for additional information. Any payments made by MarketWise, Inc. to the MarketWise Members under the Tax Receivable Agreement will not be available for reinvestment in the business and will generally reduce the amount of cash that might have otherwise been available to MarketWise, Inc. and its subsidiaries.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Tax Receivable Agreement provides that if (i) MarketWise, Inc. materially breaches any of its material obligations under the Tax Receivable Agreement, (ii) certain mergers, asset sales, other forms of business combinations, or other changes of control were to occur, or (iii) MarketWise, Inc. elects an early termination of the Tax Receivable Agreement, then MarketWise, Inc.’s future obligations, or its successor’s future obligations, under the Tax Receivable Agreement to make payments thereunder would accelerate and become due and payable, based on certain assumptions, including an assumption that MarketWise, Inc. would have sufficient taxable income to fully utilize all potential future tax benefits that are subject to the Tax Receivable Agreement, and an assumption that, as of the effective date of the acceleration, any MarketWise Member that has LLC Units not yet exchanged shall be deemed to have exchanged such LLC Units on such date, even if MarketWise, Inc. does not receive the corresponding tax benefits until a later date when the LLC Units are actually exchanged. As a result of the foregoing, MarketWise, Inc. would be required to make an immediate cash payment equal to the estimated present value of the anticipated future tax benefits that are the subject of the Tax Receivable Agreement, based on certain assumptions, which payment may be made significantly in advance of the actual realization, if any, of those future tax benefits and, therefore, MarketWise, Inc. could be required to make payments under the Tax Receivable Agreement that are greater than the specified percentage of the actual tax benefits it ultimately realizes. </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Stock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a period of one year but the program may be modified, suspended, or terminated at any time. The share repurchase program does not obligate the Company to repurchase any dollar amount or number of shares. During the year ended December 31, 2025, we repurchased 209,726 shares totaling $3.4 million in the aggregate.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29, 2025, the Company announced that it had received a proposal from Monument &amp; Cathedral Holdings, LLC (collectively with its affiliates, “M&amp;C”) to acquire all of the outstanding equity interests of the Company and MarketWise, LLC that are not owned by M&amp;C. In connection with the Proposal,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suspended repurchases under its stock repurchase program effective October 30, 2025. The Company confirmed publicly on February 18, 2026 that M&amp;C had withdrawn its Proposal. The stock repurchase program remains authorized and the Company plans to resume repurchases after filing this annual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our consolidated cash flows provided by (used in) operating, investing, and financing activities for the periods indicated:</w:t>
      </w:r>
    </w:p>
    <w:tbl>
      <w:tblPr>
        <w:tblW w:w="8439" w:type="dxa"/>
        <w:jc w:val="left"/>
        <w:tblInd w:w="0" w:type="dxa"/>
        <w:tblLayout w:type="fixed"/>
        <w:tblCellMar>
          <w:top w:w="28" w:type="dxa"/>
          <w:left w:w="28" w:type="dxa"/>
          <w:bottom w:w="28" w:type="dxa"/>
          <w:right w:w="28" w:type="dxa"/>
        </w:tblCellMar>
      </w:tblPr>
      <w:tblGrid>
        <w:gridCol w:w="1527"/>
        <w:gridCol w:w="1342"/>
        <w:gridCol w:w="1346"/>
        <w:gridCol w:w="109"/>
        <w:gridCol w:w="109"/>
        <w:gridCol w:w="109"/>
        <w:gridCol w:w="211"/>
        <w:gridCol w:w="721"/>
        <w:gridCol w:w="109"/>
        <w:gridCol w:w="109"/>
        <w:gridCol w:w="109"/>
        <w:gridCol w:w="109"/>
        <w:gridCol w:w="211"/>
        <w:gridCol w:w="796"/>
        <w:gridCol w:w="109"/>
        <w:gridCol w:w="109"/>
        <w:gridCol w:w="109"/>
        <w:gridCol w:w="109"/>
        <w:gridCol w:w="211"/>
        <w:gridCol w:w="72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net cash used in operating activities was $46.0 million, primarily due to net income of $64.0 million, adjusted for net non-cash items which increased cash by $14.3 million, and net changes in our operating assets and liabilities which reduced cash by $32.4 million, largely due to timing differences in the net receipt of cash. The non-cash items include stock-based compensation expense of $11.1 million, noncash lease expense of $3.2 million, and deferred income taxes of $1.0 million. The changes in operating assets and liabilities were primarily driven by a decrease in deferred revenue, which reduced cash by $56.1 million due to our overall decrease in sales, partially offset by a net increase in deferred contract acquisition costs of $20.5 million, and a decrease in accrued expenses of $9.9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operating activities was $22.2 million, primarily due to net income of $93.1 million, adjusted for net non-cash items which increased cash by $22.8 million, and net changes in our operating assets and liabilities which reduced cash by $138.0 million, largely due to timing differences in the net receipt of cash. The non-cash items include stock-based compensation expense of $12.2 million, impairment losses of $4.4 million, deferred income taxes of $2.9 million, and gain on sale of business of $2.0 million. The changes in operating assets and liabilities were primarily driven by a decrease in deferred revenue, which reduced cash by $162.1 million due to our overall decrease in sales, partially offset by a net increase in deferred contract acquisition costs of $63.5 million, and a decrease in accrued expenses of $31.8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net cash provided by operating activities was $62.4 million, primarily due to net income of $54.3 million adjusted for net non-cash items which increased cash by $37.1 million, and net changes in our operating assets and liabilities which reduced cash by $29.0 million, largely due to timing differences in the net receipt of cash. The non-cash items include stock-based compensation expense of $23.4 million, impairment losses of $2.6 million, deferred income taxes of $1.8 million, and loss on sale of business of $1.6 million. The changes in operating assets and liabilities were primarily driven by a decrease in deferred revenue, which reduced cash by $67.1 million due to our overall decrease in sales, partially offset by a net decrease in deferred contract acquisition costs of $31.3 million, and an increase in accrued expenses of $9.1 million.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used in investing activities was $1.6 million, primarily driven by the payment of $1.2 million related to capitalized software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investing activities was $0.7 million, primarily driven by the payment of $0.5 million related to capitalized software development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net cash used in investing activities was $1.9 million, primarily driven by the payment of $1.7 million related to capitalized software development costs.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net cash used in financing activities was $72.1 million, primarily due to $62.0 million in distributions to noncontrolling interests and $4.8 million in dividends paid to Class A common stockholders.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financing activities was $34.5 million, primarily due to $21.1 million in distributions to noncontrolling interests and $1.5 million in dividends paid to Class A common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 ended December 31, 2023, net cash used in financing activities was $64.0 million, primarily due to $52.9 million in distributions to noncontrolling interests and $5.7 million in dividends paid. We initiated paying dividends to Class A common stockholders and distributions to holders of LLC Units in 2023. In addition, we paid a special dividend and special distribution in 2023.</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accordance with GAAP. The preparation of these consolidated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believes that, of our significant accounting policies, which are described in Note 2 to our consolidated financial statements, the following accounting policies involve a greater degree of judgment and complexity. Accordingly, these are the policies management believes are the most critical to aid in fully understanding and evaluating our consolidated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primarily earn revenue from services provided in delivering subscription-based financial research, publications, and SaaS offerings to individual subscribers through our online platforms using the five-step method described in Note 2 to our consolidated financial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Subscription revenues are recognized evenly over the duration of the subscriptions, in an amount that reflects the consideration we expect to be entitled to in exchange for those services. Subscribers are typically billed in advance of the subscriptions. The key estimates related to our revenue recognition are related to our estimated customer lives for our membership subscriptions, determination of standalone selling prices, and the amortization period for our capitalized contract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offer membership subscriptions where we receive an upfront payment upon entering into the contract and receive a lower amount annually thereafter. Certain upfront fees on membership subscriptions are paid in installments over a 12-month period and, from time to time, over multiple years. We recognize revenue related to membership subscriptions over the estimated customer lives, which is five years. Management has determined the estimated life of membership customers based on historic customer attrition rates. The estimated life of membership customers was five years for each of the years ended December 31, 2025, 2024 and 2023.</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contracts with subscribers may include multiple performance obligations if subscription services are sold with other subscriptions, products, or events within one contract. For such contracts, we allocate net revenues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performance obligation based on its relative standalone selling price. We generally determine standalone selling prices based on the prices charged to subscribers on a standalone basis.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capitalize incremental costs that are directly related to the acquisition or renewal of customer contracts, to the extent that the costs are expected to be recovered and if we expect the benefit of these costs to be longer than one year. We have elected to utilize the practical expedient and expense costs to obtain a contract with a subscriber when the expected benefit period is one year or less. Our capitalizable incremental costs include sales commissions to employees and fees paid to marketing vendors that are generally calculated as a percentage of the customer sale. We also capitalize revenue share fees that are payable to other companies, including related parties, who share their customer lists with us for each successful sale we make to a customer from their list. Capitalized costs are amortized on a straight-line basis over the expected benefit period related directly to those costs, which is approximately four years. The amortization period for contract costs was approximately four years for each of the years ended December 31, 2025,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Transactions and Valuation of Goodwill and Other Acquired Intangible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we acquire a business, 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Such valuations require management to make significant estimates and assumptions, especially with respect to intangible assets. Significant estimates in valuing assets acquired and liabilities assumed include, but are not limited to, future expected cash flows from acquired customers, trade names, acquired technology from a market participant perspective, and determining useful lives and discount rates. Management’s estimates of fair value are based upon assumptions believed to be reasonable, but which are inherently uncertain and unpredictable and, as a result, actual results may differ from estimates. While management believes the assumptions and estimates it has made in the past have been appropriate, they are inherently uncertain and subject to refinement.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We did not have significant measurement period adjustments during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section titled “Recently Issued and Adopted Accounting Pronouncements” in Note 2 of the notes to our consolidated financial statements included in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9885" w:type="dxa"/>
        <w:jc w:val="left"/>
        <w:tblInd w:w="0" w:type="dxa"/>
        <w:tblLayout w:type="fixed"/>
        <w:tblCellMar>
          <w:top w:w="28" w:type="dxa"/>
          <w:left w:w="28" w:type="dxa"/>
          <w:bottom w:w="28" w:type="dxa"/>
          <w:right w:w="28" w:type="dxa"/>
        </w:tblCellMar>
      </w:tblPr>
      <w:tblGrid>
        <w:gridCol w:w="3393"/>
        <w:gridCol w:w="2982"/>
        <w:gridCol w:w="2999"/>
        <w:gridCol w:w="149"/>
        <w:gridCol w:w="149"/>
        <w:gridCol w:w="213"/>
      </w:tblGrid>
      <w:tr>
        <w:trPr/>
        <w:tc>
          <w:tcPr>
            <w:tcW w:w="3393"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92">
              <w:r>
                <w:rPr>
                  <w:rStyle w:val="InternetLink"/>
                  <w:rFonts w:ascii="Times New Roman;serif" w:hAnsi="Times New Roman;serif"/>
                  <w:b w:val="false"/>
                  <w:color w:val="0000FF"/>
                  <w:sz w:val="20"/>
                  <w:u w:val="single"/>
                </w:rPr>
                <w:t>Reports of Independent Registered Public Accounting Firms (PCAOB ID No.</w:t>
              </w:r>
            </w:hyperlink>
            <w:r>
              <w:rPr>
                <w:color w:val="3051F2"/>
                <w:u w:val="single"/>
              </w:rPr>
              <w:t xml:space="preserve"> </w:t>
            </w:r>
            <w:r>
              <w:rPr>
                <w:rFonts w:ascii="Times New Roman;serif" w:hAnsi="Times New Roman;serif"/>
                <w:b w:val="false"/>
                <w:color w:val="3051F2"/>
                <w:sz w:val="20"/>
                <w:u w:val="single"/>
              </w:rPr>
              <w:t>248 and 34)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592">
              <w:r>
                <w:rPr>
                  <w:rStyle w:val="InternetLink"/>
                  <w:rFonts w:ascii="Times New Roman;serif" w:hAnsi="Times New Roman;serif"/>
                  <w:b w:val="false"/>
                  <w:color w:val="0000FF"/>
                  <w:sz w:val="20"/>
                  <w:u w:val="single"/>
                </w:rPr>
                <w:t>61</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95">
              <w:r>
                <w:rPr>
                  <w:rStyle w:val="InternetLink"/>
                  <w:rFonts w:ascii="Times New Roman;serif" w:hAnsi="Times New Roman;serif"/>
                  <w:b w:val="false"/>
                  <w:color w:val="0000FF"/>
                  <w:sz w:val="20"/>
                  <w:u w:val="single"/>
                </w:rPr>
                <w:t>Consolidated Balance Sheets as of December 31, 2025 and 2024</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595">
              <w:r>
                <w:rPr>
                  <w:rStyle w:val="InternetLink"/>
                  <w:rFonts w:ascii="Times New Roman;serif" w:hAnsi="Times New Roman;serif"/>
                  <w:b w:val="false"/>
                  <w:color w:val="0000FF"/>
                  <w:sz w:val="20"/>
                  <w:u w:val="single"/>
                </w:rPr>
                <w:t>63</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598">
              <w:r>
                <w:rPr>
                  <w:rStyle w:val="InternetLink"/>
                  <w:rFonts w:ascii="Times New Roman;serif" w:hAnsi="Times New Roman;serif"/>
                  <w:b w:val="false"/>
                  <w:color w:val="0000FF"/>
                  <w:sz w:val="20"/>
                  <w:u w:val="single"/>
                </w:rPr>
                <w:t>Consolidated Statements of Operations for the years ended December 31, 2025,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598">
              <w:r>
                <w:rPr>
                  <w:rStyle w:val="InternetLink"/>
                  <w:rFonts w:ascii="Times New Roman;serif" w:hAnsi="Times New Roman;serif"/>
                  <w:b w:val="false"/>
                  <w:color w:val="0000FF"/>
                  <w:sz w:val="20"/>
                  <w:u w:val="single"/>
                </w:rPr>
                <w:t>65</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604">
              <w:r>
                <w:rPr>
                  <w:rStyle w:val="InternetLink"/>
                  <w:rFonts w:ascii="Times New Roman;serif" w:hAnsi="Times New Roman;serif"/>
                  <w:b w:val="false"/>
                  <w:color w:val="0000FF"/>
                  <w:sz w:val="20"/>
                  <w:u w:val="single"/>
                </w:rPr>
                <w:t>Consolidated Statements of Comprehensive Income (Loss) for the years ended December 31, 2025,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604">
              <w:r>
                <w:rPr>
                  <w:rStyle w:val="InternetLink"/>
                  <w:rFonts w:ascii="Times New Roman;serif" w:hAnsi="Times New Roman;serif"/>
                  <w:b w:val="false"/>
                  <w:color w:val="0000FF"/>
                  <w:sz w:val="20"/>
                  <w:u w:val="single"/>
                </w:rPr>
                <w:t>66</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607">
              <w:r>
                <w:rPr>
                  <w:rStyle w:val="InternetLink"/>
                  <w:rFonts w:ascii="Times New Roman;serif" w:hAnsi="Times New Roman;serif"/>
                  <w:b w:val="false"/>
                  <w:color w:val="000080"/>
                  <w:sz w:val="20"/>
                  <w:u w:val="single"/>
                </w:rPr>
                <w:t>Consolidated Statements of Stockholders' Deficit for the years ended December 31, 202</w:t>
              </w:r>
            </w:hyperlink>
            <w:hyperlink w:anchor="i81661486e69a4ef79c1723f2a7dca22b_607">
              <w:r>
                <w:rPr>
                  <w:rStyle w:val="InternetLink"/>
                  <w:rFonts w:ascii="Times New Roman;serif" w:hAnsi="Times New Roman;serif"/>
                  <w:b w:val="false"/>
                  <w:color w:val="000080"/>
                  <w:sz w:val="20"/>
                  <w:u w:val="single"/>
                </w:rPr>
                <w:t>5</w:t>
              </w:r>
            </w:hyperlink>
            <w:hyperlink w:anchor="i81661486e69a4ef79c1723f2a7dca22b_607">
              <w:r>
                <w:rPr>
                  <w:rStyle w:val="InternetLink"/>
                  <w:rFonts w:ascii="Times New Roman;serif" w:hAnsi="Times New Roman;serif"/>
                  <w:b w:val="false"/>
                  <w:color w:val="000080"/>
                  <w:sz w:val="20"/>
                  <w:u w:val="single"/>
                </w:rPr>
                <w:t>, 202</w:t>
              </w:r>
            </w:hyperlink>
            <w:hyperlink w:anchor="i81661486e69a4ef79c1723f2a7dca22b_607">
              <w:r>
                <w:rPr>
                  <w:rStyle w:val="InternetLink"/>
                  <w:rFonts w:ascii="Times New Roman;serif" w:hAnsi="Times New Roman;serif"/>
                  <w:b w:val="false"/>
                  <w:color w:val="000080"/>
                  <w:sz w:val="20"/>
                  <w:u w:val="single"/>
                </w:rPr>
                <w:t>4</w:t>
              </w:r>
            </w:hyperlink>
            <w:hyperlink w:anchor="i81661486e69a4ef79c1723f2a7dca22b_607">
              <w:r>
                <w:rPr>
                  <w:rStyle w:val="InternetLink"/>
                  <w:rFonts w:ascii="Times New Roman;serif" w:hAnsi="Times New Roman;serif"/>
                  <w:b w:val="false"/>
                  <w:color w:val="000080"/>
                  <w:sz w:val="20"/>
                  <w:u w:val="single"/>
                </w:rPr>
                <w:t xml:space="preserve"> and 202</w:t>
              </w:r>
            </w:hyperlink>
            <w:hyperlink w:anchor="i81661486e69a4ef79c1723f2a7dca22b_607">
              <w:r>
                <w:rPr>
                  <w:rStyle w:val="InternetLink"/>
                  <w:rFonts w:ascii="Times New Roman;serif" w:hAnsi="Times New Roman;serif"/>
                  <w:b w:val="false"/>
                  <w:color w:val="000080"/>
                  <w:sz w:val="20"/>
                  <w:u w:val="single"/>
                </w:rPr>
                <w:t>3</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607">
              <w:r>
                <w:rPr>
                  <w:rStyle w:val="InternetLink"/>
                  <w:rFonts w:ascii="Times New Roman;serif" w:hAnsi="Times New Roman;serif"/>
                  <w:b w:val="false"/>
                  <w:color w:val="0000FF"/>
                  <w:sz w:val="20"/>
                  <w:u w:val="single"/>
                </w:rPr>
                <w:t>67</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610">
              <w:r>
                <w:rPr>
                  <w:rStyle w:val="InternetLink"/>
                  <w:rFonts w:ascii="Times New Roman;serif" w:hAnsi="Times New Roman;serif"/>
                  <w:b w:val="false"/>
                  <w:color w:val="0000FF"/>
                  <w:sz w:val="20"/>
                  <w:u w:val="single"/>
                </w:rPr>
                <w:t>Consolidated Statement of Cash Flows for the years ended December 31, 2025, 2024 and 2023</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610">
              <w:r>
                <w:rPr>
                  <w:rStyle w:val="InternetLink"/>
                  <w:rFonts w:ascii="Times New Roman;serif" w:hAnsi="Times New Roman;serif"/>
                  <w:b w:val="false"/>
                  <w:color w:val="0000FF"/>
                  <w:sz w:val="20"/>
                  <w:u w:val="single"/>
                </w:rPr>
                <w:t>69</w:t>
              </w:r>
            </w:hyperlink>
          </w:p>
        </w:tc>
      </w:tr>
      <w:tr>
        <w:trPr/>
        <w:tc>
          <w:tcPr>
            <w:tcW w:w="93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661486e69a4ef79c1723f2a7dca22b_613">
              <w:r>
                <w:rPr>
                  <w:rStyle w:val="InternetLink"/>
                  <w:rFonts w:ascii="Times New Roman;serif" w:hAnsi="Times New Roman;serif"/>
                  <w:b w:val="false"/>
                  <w:color w:val="0000FF"/>
                  <w:sz w:val="20"/>
                  <w:u w:val="single"/>
                </w:rPr>
                <w:t>Notes to the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180"/>
              <w:jc w:val="center"/>
              <w:rPr/>
            </w:pPr>
            <w:hyperlink w:anchor="i81661486e69a4ef79c1723f2a7dca22b_613">
              <w:r>
                <w:rPr>
                  <w:rStyle w:val="InternetLink"/>
                  <w:rFonts w:ascii="Times New Roman;serif" w:hAnsi="Times New Roman;serif"/>
                  <w:b w:val="false"/>
                  <w:color w:val="0000FF"/>
                  <w:sz w:val="20"/>
                  <w:u w:val="singl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Board of Directors and Stockholders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Marketwise, Inc. and subsidiaries (the “Company”) as of December 31, 2025, the related consolidated statements of operations, comprehensive income, changes in stockholders’ deficit, and cash flows for the year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each of the year ended December 31, 2025, in conformity with accounting principles generally accepted in the United States of America.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Grant Thornton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Arlington, Virginia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before="0" w:after="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Marketwise, Inc.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Marketwise, Inc. and subsidiaries (the "Company") as of December 31, 2024, the related consolidated statements of operations, comprehensive income, stockholders' deficit, and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Baltimore, Maryland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March 6, 2025 (March 5, 2026 as to the effects of the reverse stock split discussed in Note 2 and the 2025 reorganization discussed in Note 4)</w: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began serving as the Company’s auditor in 2018. In 2025, we became the predecessor auditor.</w:t>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779"/>
        <w:gridCol w:w="2258"/>
        <w:gridCol w:w="2209"/>
        <w:gridCol w:w="238"/>
        <w:gridCol w:w="931"/>
        <w:gridCol w:w="122"/>
        <w:gridCol w:w="109"/>
        <w:gridCol w:w="109"/>
        <w:gridCol w:w="109"/>
        <w:gridCol w:w="236"/>
        <w:gridCol w:w="928"/>
        <w:gridCol w:w="177"/>
      </w:tblGrid>
      <w:tr>
        <w:trPr/>
        <w:tc>
          <w:tcPr>
            <w:tcW w:w="2779"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receivables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131,701 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168,833 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contract acquisition costs, noncurrent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payables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contract liabilities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183,798 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217,973 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234,204 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260,208 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and other contract liabilities, noncurrent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tax receivable agreement liability, noncurrent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432,004 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477,439 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of $0.0001 per share, 47,500,000 shares authorized; 2,445,010 and 1,978,013 shares issued and outstanding at December 31, 2025 and 2024, respectively</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common stock, par value of $0.0001 per share, 15,000,000 shares authorized; 13,612,641 and 13,994,498 shares issued and outstanding at December 31, 2025 and 2024, respectively</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par value of $0.0001 per share, 100,000,000 shares authorized; 0 shares issued and outstanding at December 31, 2025 and 2024, respectively</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(119,284)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 attributable to MarketWise, Inc.</w:t>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(12,536)</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16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(201,943)</w:t>
            </w:r>
          </w:p>
        </w:tc>
        <w:tc>
          <w:tcPr>
            <w:tcW w:w="12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(205,388)</w:t>
            </w:r>
          </w:p>
        </w:tc>
        <w:tc>
          <w:tcPr>
            <w:tcW w:w="17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data)</w:t>
      </w:r>
    </w:p>
    <w:tbl>
      <w:tblPr>
        <w:tblW w:w="6188" w:type="dxa"/>
        <w:jc w:val="left"/>
        <w:tblInd w:w="0" w:type="dxa"/>
        <w:tblLayout w:type="fixed"/>
        <w:tblCellMar>
          <w:top w:w="28" w:type="dxa"/>
          <w:left w:w="28" w:type="dxa"/>
          <w:bottom w:w="28" w:type="dxa"/>
          <w:right w:w="28" w:type="dxa"/>
        </w:tblCellMar>
      </w:tblPr>
      <w:tblGrid>
        <w:gridCol w:w="1275"/>
        <w:gridCol w:w="1122"/>
        <w:gridCol w:w="1127"/>
        <w:gridCol w:w="211"/>
        <w:gridCol w:w="826"/>
        <w:gridCol w:w="109"/>
        <w:gridCol w:w="109"/>
        <w:gridCol w:w="109"/>
        <w:gridCol w:w="109"/>
        <w:gridCol w:w="211"/>
        <w:gridCol w:w="826"/>
        <w:gridCol w:w="154"/>
      </w:tblGrid>
      <w:tr>
        <w:trPr/>
        <w:tc>
          <w:tcPr>
            <w:tcW w:w="1275"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708"/>
        <w:gridCol w:w="1349"/>
        <w:gridCol w:w="1311"/>
        <w:gridCol w:w="281"/>
        <w:gridCol w:w="1103"/>
        <w:gridCol w:w="145"/>
        <w:gridCol w:w="145"/>
        <w:gridCol w:w="145"/>
        <w:gridCol w:w="145"/>
        <w:gridCol w:w="281"/>
        <w:gridCol w:w="1103"/>
        <w:gridCol w:w="145"/>
        <w:gridCol w:w="145"/>
        <w:gridCol w:w="145"/>
        <w:gridCol w:w="145"/>
        <w:gridCol w:w="281"/>
        <w:gridCol w:w="1103"/>
        <w:gridCol w:w="145"/>
        <w:gridCol w:w="109"/>
        <w:gridCol w:w="109"/>
        <w:gridCol w:w="162"/>
      </w:tblGrid>
      <w:tr>
        <w:trPr/>
        <w:tc>
          <w:tcPr>
            <w:tcW w:w="170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325,708 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443,245 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revenue</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revenue </w:t>
            </w:r>
            <w:r>
              <w:rPr>
                <w:rFonts w:ascii="Times New Roman;serif" w:hAnsi="Times New Roman;serif"/>
                <w:b w:val="false"/>
                <w:color w:val="000000"/>
                <w:sz w:val="13"/>
              </w:rPr>
              <w:t>(1)</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130,954 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160,707 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losses</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expense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265,526 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319,713 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396,377 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62,596 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51,805 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MarketWise, Inc.</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basic</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 diluted</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i/>
                <w:color w:val="000000"/>
                <w:sz w:val="12"/>
              </w:rPr>
              <w:t>(1)</w:t>
            </w:r>
            <w:r>
              <w:rPr>
                <w:color w:val="000000"/>
              </w:rPr>
              <w:t xml:space="preserve"> </w:t>
            </w:r>
            <w:r>
              <w:rPr>
                <w:rFonts w:ascii="Times New Roman;serif" w:hAnsi="Times New Roman;serif"/>
                <w:b w:val="false"/>
                <w:i/>
                <w:color w:val="000000"/>
                <w:sz w:val="18"/>
              </w:rPr>
              <w:t>Cost of revenue, sales and marketing, general and administrative, and research and development expenses are exclusive of depreciation and amortization shown as a separate line item</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08" w:type="dxa"/>
            <w:gridSpan w:val="15"/>
            <w:tcBorders/>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3873" w:type="dxa"/>
            <w:gridSpan w:val="12"/>
            <w:tcBorders/>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6792" w:type="dxa"/>
        <w:jc w:val="left"/>
        <w:tblInd w:w="0" w:type="dxa"/>
        <w:tblLayout w:type="fixed"/>
        <w:tblCellMar>
          <w:top w:w="28" w:type="dxa"/>
          <w:left w:w="28" w:type="dxa"/>
          <w:bottom w:w="28" w:type="dxa"/>
          <w:right w:w="28" w:type="dxa"/>
        </w:tblCellMar>
      </w:tblPr>
      <w:tblGrid>
        <w:gridCol w:w="1075"/>
        <w:gridCol w:w="943"/>
        <w:gridCol w:w="952"/>
        <w:gridCol w:w="211"/>
        <w:gridCol w:w="721"/>
        <w:gridCol w:w="109"/>
        <w:gridCol w:w="109"/>
        <w:gridCol w:w="109"/>
        <w:gridCol w:w="109"/>
        <w:gridCol w:w="211"/>
        <w:gridCol w:w="721"/>
        <w:gridCol w:w="109"/>
        <w:gridCol w:w="109"/>
        <w:gridCol w:w="109"/>
        <w:gridCol w:w="109"/>
        <w:gridCol w:w="211"/>
        <w:gridCol w:w="721"/>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translation adjustment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unit data)</w:t>
      </w:r>
    </w:p>
    <w:tbl>
      <w:tblPr>
        <w:tblW w:w="17634" w:type="dxa"/>
        <w:jc w:val="center"/>
        <w:tblInd w:w="0" w:type="dxa"/>
        <w:tblLayout w:type="fixed"/>
        <w:tblCellMar>
          <w:top w:w="28" w:type="dxa"/>
          <w:left w:w="28" w:type="dxa"/>
          <w:bottom w:w="28" w:type="dxa"/>
          <w:right w:w="28" w:type="dxa"/>
        </w:tblCellMar>
      </w:tblPr>
      <w:tblGrid>
        <w:gridCol w:w="757"/>
        <w:gridCol w:w="244"/>
        <w:gridCol w:w="245"/>
        <w:gridCol w:w="109"/>
        <w:gridCol w:w="109"/>
        <w:gridCol w:w="109"/>
        <w:gridCol w:w="109"/>
        <w:gridCol w:w="109"/>
        <w:gridCol w:w="109"/>
        <w:gridCol w:w="449"/>
        <w:gridCol w:w="422"/>
        <w:gridCol w:w="109"/>
        <w:gridCol w:w="109"/>
        <w:gridCol w:w="109"/>
        <w:gridCol w:w="109"/>
        <w:gridCol w:w="196"/>
        <w:gridCol w:w="406"/>
        <w:gridCol w:w="109"/>
        <w:gridCol w:w="109"/>
        <w:gridCol w:w="109"/>
        <w:gridCol w:w="109"/>
        <w:gridCol w:w="480"/>
        <w:gridCol w:w="481"/>
        <w:gridCol w:w="196"/>
        <w:gridCol w:w="109"/>
        <w:gridCol w:w="109"/>
        <w:gridCol w:w="109"/>
        <w:gridCol w:w="248"/>
        <w:gridCol w:w="305"/>
        <w:gridCol w:w="138"/>
        <w:gridCol w:w="109"/>
        <w:gridCol w:w="109"/>
        <w:gridCol w:w="109"/>
        <w:gridCol w:w="203"/>
        <w:gridCol w:w="203"/>
        <w:gridCol w:w="196"/>
        <w:gridCol w:w="109"/>
        <w:gridCol w:w="109"/>
        <w:gridCol w:w="109"/>
        <w:gridCol w:w="240"/>
        <w:gridCol w:w="497"/>
        <w:gridCol w:w="134"/>
        <w:gridCol w:w="109"/>
        <w:gridCol w:w="109"/>
        <w:gridCol w:w="109"/>
        <w:gridCol w:w="228"/>
        <w:gridCol w:w="859"/>
        <w:gridCol w:w="129"/>
        <w:gridCol w:w="230"/>
        <w:gridCol w:w="230"/>
        <w:gridCol w:w="231"/>
        <w:gridCol w:w="323"/>
        <w:gridCol w:w="546"/>
        <w:gridCol w:w="182"/>
        <w:gridCol w:w="109"/>
        <w:gridCol w:w="109"/>
        <w:gridCol w:w="109"/>
        <w:gridCol w:w="196"/>
        <w:gridCol w:w="791"/>
        <w:gridCol w:w="109"/>
        <w:gridCol w:w="109"/>
        <w:gridCol w:w="109"/>
        <w:gridCol w:w="109"/>
        <w:gridCol w:w="243"/>
        <w:gridCol w:w="821"/>
        <w:gridCol w:w="137"/>
        <w:gridCol w:w="327"/>
        <w:gridCol w:w="196"/>
        <w:gridCol w:w="791"/>
        <w:gridCol w:w="109"/>
        <w:gridCol w:w="327"/>
        <w:gridCol w:w="196"/>
        <w:gridCol w:w="751"/>
        <w:gridCol w:w="154"/>
      </w:tblGrid>
      <w:tr>
        <w:trPr/>
        <w:tc>
          <w:tcPr>
            <w:tcW w:w="75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14,554,605 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106,884 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(21,197)</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(277,186)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(298,383)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to pay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14,404,605 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115,196 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B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declared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1,978,013 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13,994,498 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(217,924)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unit data)</w:t>
      </w:r>
    </w:p>
    <w:tbl>
      <w:tblPr>
        <w:tblW w:w="17540" w:type="dxa"/>
        <w:jc w:val="center"/>
        <w:tblInd w:w="0" w:type="dxa"/>
        <w:tblLayout w:type="fixed"/>
        <w:tblCellMar>
          <w:top w:w="28" w:type="dxa"/>
          <w:left w:w="28" w:type="dxa"/>
          <w:bottom w:w="28" w:type="dxa"/>
          <w:right w:w="28" w:type="dxa"/>
        </w:tblCellMar>
      </w:tblPr>
      <w:tblGrid>
        <w:gridCol w:w="719"/>
        <w:gridCol w:w="263"/>
        <w:gridCol w:w="264"/>
        <w:gridCol w:w="109"/>
        <w:gridCol w:w="109"/>
        <w:gridCol w:w="109"/>
        <w:gridCol w:w="109"/>
        <w:gridCol w:w="109"/>
        <w:gridCol w:w="109"/>
        <w:gridCol w:w="448"/>
        <w:gridCol w:w="423"/>
        <w:gridCol w:w="109"/>
        <w:gridCol w:w="109"/>
        <w:gridCol w:w="109"/>
        <w:gridCol w:w="109"/>
        <w:gridCol w:w="196"/>
        <w:gridCol w:w="406"/>
        <w:gridCol w:w="109"/>
        <w:gridCol w:w="109"/>
        <w:gridCol w:w="109"/>
        <w:gridCol w:w="109"/>
        <w:gridCol w:w="479"/>
        <w:gridCol w:w="482"/>
        <w:gridCol w:w="196"/>
        <w:gridCol w:w="109"/>
        <w:gridCol w:w="109"/>
        <w:gridCol w:w="109"/>
        <w:gridCol w:w="248"/>
        <w:gridCol w:w="305"/>
        <w:gridCol w:w="138"/>
        <w:gridCol w:w="109"/>
        <w:gridCol w:w="109"/>
        <w:gridCol w:w="109"/>
        <w:gridCol w:w="203"/>
        <w:gridCol w:w="203"/>
        <w:gridCol w:w="196"/>
        <w:gridCol w:w="109"/>
        <w:gridCol w:w="109"/>
        <w:gridCol w:w="109"/>
        <w:gridCol w:w="240"/>
        <w:gridCol w:w="497"/>
        <w:gridCol w:w="134"/>
        <w:gridCol w:w="109"/>
        <w:gridCol w:w="109"/>
        <w:gridCol w:w="109"/>
        <w:gridCol w:w="228"/>
        <w:gridCol w:w="859"/>
        <w:gridCol w:w="129"/>
        <w:gridCol w:w="109"/>
        <w:gridCol w:w="109"/>
        <w:gridCol w:w="109"/>
        <w:gridCol w:w="475"/>
        <w:gridCol w:w="559"/>
        <w:gridCol w:w="182"/>
        <w:gridCol w:w="109"/>
        <w:gridCol w:w="109"/>
        <w:gridCol w:w="109"/>
        <w:gridCol w:w="196"/>
        <w:gridCol w:w="791"/>
        <w:gridCol w:w="109"/>
        <w:gridCol w:w="109"/>
        <w:gridCol w:w="109"/>
        <w:gridCol w:w="109"/>
        <w:gridCol w:w="243"/>
        <w:gridCol w:w="821"/>
        <w:gridCol w:w="137"/>
        <w:gridCol w:w="327"/>
        <w:gridCol w:w="301"/>
        <w:gridCol w:w="791"/>
        <w:gridCol w:w="109"/>
        <w:gridCol w:w="327"/>
        <w:gridCol w:w="196"/>
        <w:gridCol w:w="751"/>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w:t>
            </w:r>
          </w:p>
        </w:tc>
        <w:tc>
          <w:tcPr>
            <w:tcW w:w="1428" w:type="dxa"/>
            <w:gridSpan w:val="6"/>
            <w:tcBorders/>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 Attributable to MarketWise,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 Stockholders’ Deficit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 withheld to pay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Class A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 to Class A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Reversal of cumulative accrued dividends on Earnout Shares (see Note 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per redemption of Class B shares for Class 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(381,857)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deferred taxes due to change in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13,612,641 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101,945 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tbl>
      <w:tblPr>
        <w:tblW w:w="10107" w:type="dxa"/>
        <w:jc w:val="left"/>
        <w:tblInd w:w="0" w:type="dxa"/>
        <w:tblLayout w:type="fixed"/>
        <w:tblCellMar>
          <w:top w:w="28" w:type="dxa"/>
          <w:left w:w="28" w:type="dxa"/>
          <w:bottom w:w="28" w:type="dxa"/>
          <w:right w:w="28" w:type="dxa"/>
        </w:tblCellMar>
      </w:tblPr>
      <w:tblGrid>
        <w:gridCol w:w="2342"/>
        <w:gridCol w:w="2054"/>
        <w:gridCol w:w="2069"/>
        <w:gridCol w:w="196"/>
        <w:gridCol w:w="646"/>
        <w:gridCol w:w="109"/>
        <w:gridCol w:w="109"/>
        <w:gridCol w:w="109"/>
        <w:gridCol w:w="109"/>
        <w:gridCol w:w="196"/>
        <w:gridCol w:w="646"/>
        <w:gridCol w:w="109"/>
        <w:gridCol w:w="109"/>
        <w:gridCol w:w="109"/>
        <w:gridCol w:w="109"/>
        <w:gridCol w:w="196"/>
        <w:gridCol w:w="736"/>
        <w:gridCol w:w="154"/>
      </w:tblGrid>
      <w:tr>
        <w:trPr/>
        <w:tc>
          <w:tcPr>
            <w:tcW w:w="23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and other charges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derivative liabilities – 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foreign currency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gains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business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receivables and payables,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 and 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contract acquisition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payables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and long-term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acquisitions, net of cash acquired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and restricted stock units withheld to pay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distributions to noncontrolling interests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distributions to noncontrolling interests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Organization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Description of Business and 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multiple subsidiaries in the United States from our headquarters in Baltimore, Maryland.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accompanying consolidated financial statements (“financial statements”) include the accounts of MarketWise, Inc. and its subsidiary, MarketWise, LLC, a variable interest entity (“VIE”) for which MarketWise, Inc. is deemed to be the primary beneficiary.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financial statements. As of December 31, 2025, MarketWise, Inc. had a 15.2% ownership interest in MarketWise, LLC.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MarketWise, LLC is the primary beneficiary of a VIE, and therefore, the assets, liabilities, and results of operations of that VIE are included in the Company’s financial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have been prepared in accordance with accounting principles generally accepted in the United States of America (“GAAP”). All intercompany balances and transactions have been eliminated in consolidation.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derivatives, warrants, valuation of assets acquired and liabilities assumed in business combinations, useful lives of intangible assets with definite lives, benefit period of deferred contract acquisition costs, determination of standalone selling prices, estimated life of membership customers, recoverability of goodwill and long-lived assets, valuation allowances on 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Emerging Growth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were an “emerging growth company,” as defined in Section 2(a) of the Securities Act of 1933, as amended (the “Securities Act”), as modified by the Jumpstart Our Business Startups Act of 2012 (the “JOBS Act”), and took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exemptions from the requirements of holding a nonbinding advisory vote on executive compensation and stockholder approval of any golden parachute payments not previously approved.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We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audited financial statements with another public company that is neither an emerging growth company nor an emerging growth company that has opted out of using the extended transition period difficult or impossible because of the potential differences in accounting standards used. our Emerging Growth Company status expired on December 31,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Reverse Stock Split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Effective as of April 2, 2025, the Company effected a reverse stock split (the “Reverse Stock Split”) of the Company’s shares of Class A and Class B common stock at a ratio of 1-for-20 as approved by the Company’s Board of Directors (the “Board”) and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Reverse Stock Split proportionately decreased the number of shares of common stock authorized under the Company’s Certificate of Incorporation. The number of shares of authorized Class A common stock was reduced from 950,000,000 shares to 47,500,000 shares and the number of shares of authorized Class B common stock was reduced from 300,000,000 shares to 15,000,000 shares. The number of authorized shares of preferred stock remained unchanged.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Proportional adjustments were made to (i) the per share exercise price and number of shares issuable upon the exercise of outstanding equity awards, including Sponsor Earnout Shares and Management Earnout Shares (as defined and discussed in our Current Report on Form 8-K filed with the SEC on July 28, 2021); and (ii) the number of shares reserved for issuance pursuant to the Company’s equity incentive plan and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fractional shares were issued in connection with the Reverse Stock Split. Holders of fractional shares as a result of the Reverse Stock Split were paid in cash, with reference to the closing price of the Company’s common stock on April 2, 2025 (adjusted to give effect to the reverse stock split), without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audited consolidated financial statements and notes to the consolidated financial statements give retroactive effect to the Reverse Stock Split for all periods presented, unless otherwise specified.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Variable Interest Entity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usual condition for a controlling financial interest is ownership of a majority of the voting interests of an entity. However, a controlling financial interest may also exist through arrangements that do not involve controlling voting interests when an entity is insufficiently capitalized, or when an entity is not controlled through its voting interests, which is referred to as a variable interest entity.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evaluate our ownership, contractual and other interests in entities to determine if we have a variable interest in an entity. These evaluations are complex, involve judgment, and the use of estimates and assumptions based on available historical information, among other factors. If we hold a contractual or ownership interest in an entity and we determine that the entity is a VIE and that we are determined to be the primary beneficiary, we consolidate such entity in our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 Periodically, we determine whether any changes in the interest or relationship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with the entity impact the determination of whether we are still the primary beneficiary. If we are not deemed to be the primary beneficiary in a VIE, we account for the investment or other variable interests in a VIE in accordance with applicable GAAP.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segments are components of an enterprise that engage in business activities that may generate revenues and expenses for which separate financial information is available and is evaluated regularly by our chief operating decision-maker (“CODM”) in deciding how to allocate resources and assess performance. Our Interim Chief Executive Officer serves as the CODM.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 financial information presented to and reviewed by our CODM in assessing our performance and for the purposes of allocating resources, we have determined our operating subsidiaries represent individual operating segments with homogenous and fungible products with similar economic characteristics that meet the criteria for aggregation into a single reportable segment for financial statement purposes. Accordingly, we have a single reportable segment.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consider all financial instruments purchased with an original maturity of three months or less at the time of purchase to be cash equivalents. Our cash equivalents are composed of money market funds and certificates of deposit.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accounts receivable primarily consist of receivables from third-party credit card providers and revenue share agreements with external parties, which are both stated at net realizable value. We did not record an allowance for credit losses for the years ended December 31, 2025 and 2024.</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 of Credit Risk and Other Risks and Uncertainties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subject us to significant concentrations of credit risk consist primarily of cash. We maintain deposits in federally insured financial institutions in excess of federally insured limits. We are exposed to credit risk in the event of a default by the financial institutions holding our cash to the extent recorded on the consolidated balance sheets. Management believes we are not exposed to significant credit risk due to the financial position of the depository institutions in which those deposits are held.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individual customer accounted for more than 10% of revenue for the years ended December 31, 2025,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and amortization. Depreciation is computed on a straight-line basis over the estimated useful lives of the related assets. Leasehold improvements are amortized using the straight-line method over the shorter of the related asset’s estimated useful life or the remaining term of the lease. Maintenance and repairs are charged to operations as incurred. Upon sale or retirement of assets, the cost and related accumulated depreciation are removed from the balance sheet and the resulting gain or loss is reflected in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assets acquired and liabilities assumed include, but are not limited to, future expected cash flows from acquired customers, trade names, acquired technology and deferred revenue from a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participant perspective, as well as determining useful lives and discount rates. Management’s estimates of fair value are based upon assumptions believed to be reasonable, but which are inherently uncertain and unpredictable and as a result, actual results may differ from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in earnings.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 and Intangible Assets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aggregate fair value of the consideration transferred in a business combination over the fair value of the assets acquired, net of liabilities assumed. Goodwill is not amortized but is evaluated for impairment annually, or more frequently if events or changes in circumstances indicate the goodwill may be impaired. Our annual impairment testing date is the first day of the fourth quarter.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Events or changes in circumstances which could trigger an impairment review include significant changes in the manner of our use of the acquired assets or the strategy for our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We have the option to first assess qualitative factors to determine whether the existence of events or circumstances leads to a determination that it is more likely than not that the fair value of the reporting unit is less than its carrying amount, including goodwill. If, after assessing the totality of events or circumstances, we determine it is not more likely than not that the fair value of the reporting unit is less than its carrying amount, then the quantitative goodwill impairment test is not required. However, if we conclude otherwise, then we are required to perform the quantitative goodwill impairment test.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quantitative goodwill impairment test involves comparing the estimated fair value of the reporting unit with its respective carrying amount, including goodwill. If the estimated fair value exceeds the carrying amount, goodwill is considered not to be impaired and no additional steps are necessary. If, however, the estimated fair value of the reporting unit is less than the carrying amount, then an impairment loss is recognized in an amount equal to the excess, limited to the total amount of goodwill allocated to that reporting unit.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Intangible Assets,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consists primarily of identifiable intangible assets that are subject to amortization such as developed technology, customer relationships, and trade names resulting from our acquisitions. Intangible assets arising from acquisitions are recorded at fair value on the date of acquisition and amortized over their estimated economic lives on a straight-line basis which approximates the pattern in which the economic benefits of the assets will be consumed. Intangible assets are presented net of accumulated amortization in the consolidated balance sheet.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Long-lived assets are reviewed for indications of possible impairment whenever events or changes in circumstances indicate that the carrying amount of an asset or asset group may not be recoverable. Recoverability is measured by comparison of the carrying amounts to the future undiscounted cash flows attributable to these assets or asset groups. An impairment loss is recognized to the extent an asset group is not recoverable, and the carrying amount exceeds the projected discounted future cash flows arising from these assets.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determine revenue recognition through the following steps: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Identify the contract, or contracts, with a customer;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Identify the performance obligations in the contract;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Determine the transaction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Allocate the transaction price to the performance obligations in the contract;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Recognize revenue when, or as, a performance obligation is satisfied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Software-as-a-Service (“SaaS”) Subscriptions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primarily earn revenue from services provided in delivering subscription-based financial research, publications and SaaS offerings to individual customers through our online platforms. Revenues are recognized evenly over the duration of the subscriptions, in an amount that reflects the consideration the Company expects to be entitled to in exchange for those services. Customers are typically billed in advance of the subscriptions.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offer membership subscriptions where we receive an upfront payment upon entering into the contract and receive a lower amount annually (a “maintenance fee”) thereafter. The right to discounts on future maintenance fee payments is considered a material right which is recognized as revenue when the customer exercises the option or when the option expires. Certain upfront fees on membership subscriptions are paid in installments, generally over a twelve-month period. We recognize revenue related to membership subscriptions over the estimated customer lives, which was five years for each of the years ended December 31, 2025, 2024 and 2023. We have determined the estimated life of membership customers based on historic customer attrition rates.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Advertising and Other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earn revenue from the sale of advertising placements on our websites. We also earn revenue from the sale of print products and events, such as webinars and conferences. In addition we recognize revenue that we refer to as “revenue share,” where we earn a fee for each successful sale that third party companies or related parties generate from our customer list.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performance obligation is a promise in a contract to transfer a distinct good or service to the customer, and is the unit of account for revenue recognition. A contract’s transaction price is allocated to each distinct performance obligation and recognized as revenue when, or as, the performance obligation is satisfied.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certain marketing campaigns, we may offer a “performance guarantee” such that if we do not meet the guarantee conditions, the customer will receive, for example, an extension to their subscription term for no additional consideration. These offers are considered to be material rights for our customers and we allocate a portion of the transaction price to the material right performance obligation. Revenue associated with the material rights is recognized immediately if we have met the guarantee conditions, or over the extended subscription term if we have not met the guarantee conditions.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obligations are satisfied over time as subscriptions are available to customers or at a point-in-time as products are delivered to customers. Accordingly, revenue from subscription services is recognized over the duration of the subscription. Our advertising performance obligations are satisfied at a point-in-time, and revenue is recognized when impressions are delivered. Revenue from products is recognized at a point-in-time when delivered. Revenue from events is recognized over the duration of the event.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apply the sales-based or usage-based royalty exception to revenue share, which are sales of functional intellectual property. Revenue is recognized at a point-in-time as fees are earned on successful sales from the customer lists.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Contracts with Multiple Performance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contracts with customers may include multiple performance obligations if subscription services are sold with other subscriptions, products or events within one contract. For such contracts, we allocate the transaction price to each performance obligation based on its relative standalone selling price. We generally determine standalone selling prices based on the prices charged to customers on a standalone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contract asset is defined as an entity's right to consideration for goods or services that the entity has transferred to a customer but customer payment is contingent on a future event. A contract liability is defined to occur if the customer's payment of consideration precedes the entity's performance and represents the entity's obligation to transfer goods or services to a customer for which the entity has received consideration. Timing of revenue recognition may differ from the timing of invoicing to customers. We record a contract asset when revenue is recognized prior to invoicing, or deferred revenue when revenue is recognized subsequent to invoicing. No contract assets are recorded on our consolidated balance sheets as of December 31, 2025 and 2024.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revenue is primarily comprised of unearned revenue related to subscription services. Subscribers typically pay all or a portion of the subscription fees by credit card prior to the start of the subscriptions. Contract receivables are presented as accounts receivable due to processing time with credit card providers.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Subscribers may be able to cancel certain subscriptions for a full or pro-rated refund for a certain period of time, which is usually not more than 90 days after the start of their subscriptions. After the refund period, we have no obligation to refund any of the consideration received. Refund obligations are a significant estimate which we recognize as of each reporting period based on historical trends and record a contract liability for this amount in deferred revenue and other contract liabilities on the consolidated balance sheets.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Recognized from Costs to Obtain a Contract with a Customer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capitalize incremental costs that are directly related to the acquisition or renewal of customer contracts, to the extent that the costs are expected to be recovered and if we expect the benefit of these costs to be longer than one year. We have elected to utilize the practical expedient and expense costs to obtain a contract with a customer when the expected benefit period is one year or less. Our capitalizable incremental costs include sales commissions to employees and fees paid to marketing vendors that are generally calculated as a percentage of the customer sale. We also capitalize revenue share fees that are payable to other companies, including related parties, who share their customer lists with us for each successful sale we make to a customer from their list. Capitalized costs are amortized on a straight-line basis over the expected benefit period related directly to those costs, which is approximately four years.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determine if an arrangement is a lease at inception. Operating leases are included in operating lease right-of-use (“ROU”) assets, operating lease liabilities, and operating lease liabilities, noncurrent in the consolidated balance sheets. We do not have any finance lease agreements.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our leases do not provide an implicit rate, we use our incremental borrowing rate based on the information available at the commencement date in determining the present value of lease payments. The operating lease ROU asset includes any lease payments made and excludes payments received for lease incentives. Our lease terms may include options to extend or terminate the lease when it is reasonably certain that the option will be exercised. Lease expense for lease payments is recognized on a straight-line basis over the lease term.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elected to use the practical expedient for short-term leases, and therefore do not record right-of-use assets or lease liabilities with lease durations of twelve months or less. Rather, the lease payments for short-term leases are recognized on the consolidated statements of operations on a straight-line basis over the lease term. We have also elected the practical expedient on not separating lease components from nonlease components for our office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Variable payments, such as common area charges, maintenance, insurance and taxes, are primarily based on the amount of space we occupy. These payments in our leases are not dependent on an index or a rate and are excluded from the measurement of the lease liabilities and recognized in the consolidated statements of operations in the period in which the obligation for those payments is incurred. We remeasure our lease payments when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contingency underlying such variable payments is resolved such that some or all of the remaining payments become fixed.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consists primarily of payroll and payroll-related costs associated with producing and publishing our content, customer service, credit card processing fees, product costs and allocated overhead.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payroll and payroll-related costs, amortization of deferred contract acquisition costs, allocated overhead, agency costs, advertising campaigns, and branding initiatives. Conferences, webinars and other event costs are expensed during the period in which the event takes place. Other sales and marketing and advertising costs are expensed as they are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Advertising expense was $38,240, $29,970 and $44,270 for the years ended December 31, 2025, 2024 and 2023,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payroll and related costs, allocated overhead, technical services, software expenses, and hosting expenses.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primarily of payroll and related costs, including severances, associated with our finance, legal, information technology, human resources, executive and administrative personnel, legal fees, corporate insurance, office expenses, professional fees, and travel and entertainment costs.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expenses are included in cost of revenue, sales and marketing, and general and administrative expenses in a manner consistent with the employee’s salary and benefits in the consolidated statements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2021 Incentive Award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21, 2021, the MarketWise, Inc. 2021 Incentive Award Plan (the “2021 Incentive Award Plan”) became effective. As of December 31, 2025, 36,536,852 shares of Class A common stock were reserved for issuance pursuant to the 2021 Incentive Award Plan, and the maximum number of shares that may be issued pursuant to the exercise of incentive stock options granted under the 2021 Incentive Award Plan is 32,045,000, in each case, subject to certain adjustments set forth therein.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2021 Incentive Award Plan provides for the grant of stock options, including incentive stock options, or ISOs, and nonqualified stock options, or NSOs; restricted stock; restricted stock units, or RSUs; stock appreciation rights, or SARs; and other stock or cash-based awards.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Equity-based compensation with service conditions is measured based on the grant date fair value of the awards and recognized as compensation expense over the period during which the recipient is required to perform services in exchange for the award (the requisite service period). We have elected to use a straight-line attribution method for recognizing compensation costs relating to awards that have service conditions only. Forfeitures are recorded as they occur.</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2021 ESPP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Transactions, we adopted the 2021 Employee Stock Purchase Plan (“ESPP”) effective on January 1, 2022. Under the ESPP, the Company authorizes the grant of the right to purchase shares of Class A common stock by employees who qualify under the ESPP. As of December 31, 2025, the Company has reserved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issuance a total of 7,157,642 shares of Class A common stock for the ESPP. The current offering period began on July 1, 2025 and ended on December 31,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ESPP is implemented through a series of offerings under which eligible employees are granted purchase rights to purchase shares of the Company’s Class A common stock on specified dates during such offerings. Under the ESPP, the Company has determined the offering period to occur in six month intervals, with the purchase occurring as of the last trading day of each offering period.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 The fair value of the ESPP is determined using the Monte Carlo model as of the beginning of each offering period and is expensed ratably over the six month offering period.</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Profits Interests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During the year ended December 31, 2025, the Company granted fully vested profits interests in a subsidiary of the Company to an employee. The profits interests are accounted for under ASC 718, </w:t>
      </w:r>
      <w:r>
        <w:rPr>
          <w:rFonts w:ascii="Times New Roman;serif" w:hAnsi="Times New Roman;serif"/>
          <w:b w:val="false"/>
          <w:i/>
          <w:color w:val="000000"/>
          <w:sz w:val="20"/>
        </w:rPr>
        <w:t>Compensation—Stock Compensation,</w:t>
      </w:r>
      <w:r>
        <w:rPr>
          <w:color w:val="000000"/>
        </w:rPr>
        <w:t xml:space="preserve"> </w:t>
      </w:r>
      <w:r>
        <w:rPr>
          <w:rFonts w:ascii="Times New Roman;serif" w:hAnsi="Times New Roman;serif"/>
          <w:b w:val="false"/>
          <w:color w:val="000000"/>
          <w:sz w:val="20"/>
        </w:rPr>
        <w:t>and are classified as liability awards</w:t>
      </w:r>
      <w:r>
        <w:rPr>
          <w:rFonts w:ascii="Times New Roman;serif" w:hAnsi="Times New Roman;serif"/>
          <w:b w:val="false"/>
          <w:i/>
          <w:color w:val="000000"/>
          <w:sz w:val="20"/>
        </w:rPr>
        <w:t xml:space="preserve">, </w:t>
      </w:r>
      <w:r>
        <w:rPr>
          <w:rFonts w:ascii="Times New Roman;serif" w:hAnsi="Times New Roman;serif"/>
          <w:b w:val="false"/>
          <w:color w:val="000000"/>
          <w:sz w:val="20"/>
        </w:rPr>
        <w:t>which requires that the awards be remeasured to fair value at the end of each reporting period until the liability is settled. The profits interests are included within other liabilities on the consolidated balance sheets.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Capitalized Software Development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internal use software, we capitalize external costs and payroll and payroll-related costs related to employees that developed new or additional software functionality. Costs incurred during the preliminary project and post-implementation stages are expensed as incurred and included in research and development in the consolidated statements of operations. These capitalized costs are amortized using the straight-line method over the software’s expected useful life, which is generally three years.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Capitalized Implementation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capitalize implementation costs incurred in cloud computing hosting arrangements that are service contracts and amortize such costs using the straight-line method over the term of the related hosting arrangement and any expected renewal periods. These costs include external direct costs for materials and services and payroll and payroll-related costs of employees devoting time to the project. Software maintenance and training costs are expensed in the period in which they are incurred. The capitalized implementation costs are capitalized within other current assets on the consolidated balance sheets.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establishes a three-tier fair value hierarchy for disclosure of fair value measurements as follows: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1—Observable inputs such as unadjusted, quoted prices in active markets for identical assets or liabilities at the measurement date;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3— Unobservable inputs that are supported by little or no market activity and that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 of our financial instruments, including accounts receivable, trade and other payables, accrued expenses and related party receivables and payables, approximate their respective fair values because of their short maturities. We have not elected the fair value option for any financial assets and liabilities for which such an election would have been permitted.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a subsidiary in Singapore, and its functional currency is the local currency. Gains and losses on transactions denominated in currencies other than the functional currency are included in determining net income (loss) for the period. Assets and liabilities of our foreign subsidiary are translated using the exchange rates in effect at the balance sheet date. Results of operations are translated using weighted average exchange rates. Adjustments arising from the translation of our foreign subsidiary’s functional currency into U.S. dollars are reported as foreign currency translation adjustments in accumulated other comprehensive loss in the consolidated statements of stockholders’ deficit.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gains and losses that arise from exchange rate fluctuations on transactions denominated in a currency other than the functional currency are included in other income, net in the accompanying consolidated statement of operations when realized. Foreign currency transaction activity was immaterial for the years ended December 31, 2025,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Comprehensive Income (Loss)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Comprehensive income (loss) is currently comprised of changes in foreign currency translation adjustments in addition to our Net Income.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Transactions, we were a pass-through entity for income tax purposes. Subsequent to the Transactions, the portion of earnings allocable to MarketWise, Inc. is subject to corporate level tax rates at the federal, state and local levels.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our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account for income taxes pursuant to the asset and liability method which requires us to recognize current tax liabilities or receivables for the amount of taxes we estimate are payable or refundable for the current year,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it represents a potential future obligation to the taxing authority for a tax position that was not recognized. Interest costs and related penalties related to unrecognized tax benefits are required to be calculated, if applicable and are recognized as general and administrative expenses.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Tax Receivable Agreement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Transactions, concurrently with the Closing, we have entered into a Tax Receivable Agreement (“TRA”) with owners of MarketWise, LLC prior to the Transactions (that is, the MarketWise Members). The TRA generally provides for the payment by us to the MarketWise Members of 85% of the cash tax benefits, if any, that we are deemed to realize as a result of tax basis adjustments as a result of sales and exchanges of LLC Units in connection with, or following the Transactions, and certain distributions with respect to units. These tax basis adjustments generated over time may increase (for tax purposes) the depreciation and amortization deductions available to us and, therefore, may reduce the amount of U.S. federal, state and local tax that we would otherwise be required to pay in the future, although the IRS may challenge all or part of the validity of that tax basis, and a court could sustain such challenge. The tax basis adjustments upon sales or exchanges of units for shares of Class A common stock and certain distributions with respect to LLC Units may also decrease gains (or increase losses) on future dispositions of certain assets to the extent tax basis is allocated to those assets. Actual tax benefits realized by us may differ from tax benefits calculated under the Tax Receivable Agreement as a result of the use of certain assumptions in the TRA, including the use of an assumed weighted average state and local income tax rate to calculate tax benefits. The payments that we may make under the TRA are expected to be substantial.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account for the effects of these increases in tax basis and associated payments under the TRA when exchanges occur as follows: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a.recognize a contingent liability for the TRA obligation when it is deemed probable and estimable, with a corresponding adjustment to additional paid-in-capital, based on the estimate of the aggregate amount that MarketWise, Inc. will pay;</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b.record an increase in deferred tax assets for the estimated income tax effects of the increases in tax basis based on enacted federal and state tax rates at the date of the exchange;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c.to the extent we estimate that we will not realize the full benefit represented by the deferred tax asset, based on an analysis that will consider, among other things, our expectation of future earnings, we reduce the deferred tax asset with a valuation allowance;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effects of changes in any of the estimates and subsequent changes in the enacted tax rates after the initial recognition will be included in our net income.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Transaction Agreement, at the closing of the Transactions, we placed 152,550 shares of MarketWise, Inc. Class A common stock into escrow to be released to the Sponsor if certain conditions are met (“Sponsor Earnout Shares”). In addition, certain management members of the Company have been allocated 100,000 shares of Class A common stock in aggregate, with shares to be placed in escrow, and released at any time during a 4-year period following closing of the Transaction, if certain conditions are met (“Management Member Earnout Shares”). The Sponsor Earnout Shares and Management Member Earnout Shares (together, the “Earnout Shares”) will be released as follows: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1) 50% when the volume weighted average price (the “VWAP) of Class A common stock is greater than or equal to $240.00 for a period of at least 20 trading days within a consecutive 30-trading-day period, or based on the per share equity value in a transaction in which our stockholders sell their shares; and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2) 50% when the volume weighted average price (the “VWAP) of Class A common stock is greater than or equal to $280.00 for a period of at least 20 trading days within a consecutive 30-trading-day period, or based on the per share equity value in a transaction in which our stockholders sell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Earnout Shares are classified as equity transactions at initial issuance and at settlement when the release conditions are met. Until the shares are issued and released, the Earnout Shares are not included in shares outstanding. The Earnout Shares are not considered stock-based compensation. As of the date of the Transactions, the Earnout Shares had a fair value of $26.0 million for 252,550 shares of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July 2025, the earnout period expired for all 252,548 previously escrowed Management Member Earnout Shares and Sponsor Earnout Shares.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Noncontrolling interest represents the Company’s noncontrolling interest in consolidated subsidiaries which are not attributable, directly or indirectly, to the controlling Class A common stock ownership of the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income for the years ended December 31, 2025, 2024 and 2023 was attributable to consolidated MarketWise, Inc. and its respective noncontrolling interests.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MarketWise, Inc.’s controlling interest in MarketWise, LLC was 15.2% and the noncontrolling interest was 84.8%. For the year ended December 31, 2025 net income attributable to controlling interests included a $2,558 tax provision which is 100% attributable to the 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2024, MarketWise, Inc.’s controlling interest in MarketWise, LLC was 12.4% and the noncontrolling interest was 87.6%. For the year ended December 31, 2024 net income attributable to controlling interests included a $3,253 tax provision which is 100% attributable to the controlling interest.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2023, MarketWise, Inc.’s controlling interest in MarketWise, LLC was 11.2% and the noncontrolling interest was 88.8%. For the year ended December 31, 2023 net income attributable to controlling interests included a $1,803 tax provision, which is 100% attributable to the controlling interest.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income per share is based on the weighted average number of shares of Class A common stock issued and outstanding after the closing of the Transactions. Diluted net income per share is based on the weighted average number of shares of Class A common stock issued and outstanding and the effect of all dilutive common stock equivalents and potentially dilutive share based compensation awards outstanding during the period after the closing of the Transactions. Class B common stock is not a participating security, therefore it is not included in the earnings per share calculation.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Recently Issued and Adopted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FASB issued ASU 2025-06, </w:t>
      </w:r>
      <w:r>
        <w:rPr>
          <w:rFonts w:ascii="Times New Roman;serif" w:hAnsi="Times New Roman;serif"/>
          <w:b w:val="false"/>
          <w:i/>
          <w:color w:val="000000"/>
          <w:sz w:val="20"/>
        </w:rPr>
        <w:t>Intangibles—Goodwill and Other—Internal Use Software (Subtopic 350-40): Targeted Improvements to the Accounting for Internal-Use Software</w:t>
      </w:r>
      <w:r>
        <w:rPr>
          <w:rFonts w:ascii="Times New Roman;serif" w:hAnsi="Times New Roman;serif"/>
          <w:b w:val="false"/>
          <w:color w:val="000000"/>
          <w:sz w:val="20"/>
        </w:rPr>
        <w:t>. The amendments revise the capitalization criteria for internal-use software costs and eliminate stage-based development guidance. The update is effective for fiscal years beginning after December 15, 2027, with early adoption permitted. The Company is currently evaluating the guidance to determine the impact on its financial statements.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2024, the FASB issued Accounting Standards Update (“ASU”) 2024-03, </w:t>
      </w:r>
      <w:r>
        <w:rPr>
          <w:rFonts w:ascii="Times New Roman;serif" w:hAnsi="Times New Roman;serif"/>
          <w:b w:val="false"/>
          <w:i/>
          <w:color w:val="000000"/>
          <w:sz w:val="20"/>
        </w:rPr>
        <w:t xml:space="preserve">Disaggregation of Income Statement Expenses </w:t>
      </w:r>
      <w:r>
        <w:rPr>
          <w:rFonts w:ascii="Times New Roman;serif" w:hAnsi="Times New Roman;serif"/>
          <w:b w:val="false"/>
          <w:color w:val="000000"/>
          <w:sz w:val="20"/>
        </w:rPr>
        <w:t>(“ASU 2024-03”)</w:t>
      </w:r>
      <w:r>
        <w:rPr>
          <w:color w:val="000000"/>
        </w:rPr>
        <w:t xml:space="preserve"> </w:t>
      </w:r>
      <w:r>
        <w:rPr>
          <w:rFonts w:ascii="Times New Roman;serif" w:hAnsi="Times New Roman;serif"/>
          <w:b w:val="false"/>
          <w:color w:val="000000"/>
          <w:sz w:val="20"/>
        </w:rPr>
        <w:t>which requires disaggregated disclosure of income statement expenses for public business entities. ASU 2024-03 is effective for the Company for the annual period beginning January 1, 2027, and interim periods beginning on January 1, 2028. The Company is currently evaluating the guidance and expects it to only impact disclosures, with no impact to results of operations, cash flows, or financial condition.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 xml:space="preserve">Improvements to Income Tax Disclosures </w:t>
      </w:r>
      <w:r>
        <w:rPr>
          <w:rFonts w:ascii="Times New Roman;serif" w:hAnsi="Times New Roman;serif"/>
          <w:b w:val="false"/>
          <w:color w:val="000000"/>
          <w:sz w:val="20"/>
        </w:rPr>
        <w:t>(“ASU 2023-09”). Under ASU 2023-09, companies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ASU 2023-09 is effective for the Company on January 1, 2025. Early adoption is permitted for annual financial statements that have not yet been issued or made available for issuance. We have adopted and applied the guidance under the ASU for our year ended December 31, 2025, using the retrospective transition method. Note 12 – Income Taxes in the accompanying notes to the consolidated financial statements for further detail.</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November 2023, the FASB issued ASU 2023-07, </w:t>
      </w:r>
      <w:r>
        <w:rPr>
          <w:rFonts w:ascii="Times New Roman;serif" w:hAnsi="Times New Roman;serif"/>
          <w:b w:val="false"/>
          <w:i/>
          <w:color w:val="000000"/>
          <w:sz w:val="20"/>
        </w:rPr>
        <w:t xml:space="preserve">Improvements to Reportable Segment Disclosures, </w:t>
      </w:r>
      <w:r>
        <w:rPr>
          <w:rFonts w:ascii="Times New Roman;serif" w:hAnsi="Times New Roman;serif"/>
          <w:b w:val="false"/>
          <w:color w:val="000000"/>
          <w:sz w:val="20"/>
        </w:rPr>
        <w:t xml:space="preserve">(“ASU 2023-07”) which is aimed at improving reportable segment disclosure requirements, primarily through enhanced disclosures about significant segment expenses. ASU 2023-07 also requires additional interim disclosures. We adopted ASU 2023-07 effective for the annual period beginning January 1, 2024.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enhanced segment disclosure requirements were applied retrospectively to all prior periods presented in the financial statements, and prior period disclosures were based on the significant segment expense categories identified and disclosed in the period of adoption. The adoption of this guidance resulted in incremental disclosures in the Company’s financial statements. See </w:t>
      </w:r>
      <w:r>
        <w:rPr>
          <w:rFonts w:ascii="Times New Roman;serif" w:hAnsi="Times New Roman;serif"/>
          <w:b w:val="false"/>
          <w:i/>
          <w:color w:val="000000"/>
          <w:sz w:val="20"/>
        </w:rPr>
        <w:t>Note 16 – Segment Reporting.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Reclassifications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prior period amounts presented within the Consolidated Statements of Cash Flows have been reclassified to conform with the current period presentation. Specifically, the Company began separately presenting “tax distributions to noncontrolling interests” and “other distributions to noncontrolling interests” during the year ended December 31, 2025, which were previously combined as “distributions to noncontrolling interests” in the prior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3.</w:t>
      </w:r>
      <w:r>
        <w:rPr>
          <w:rFonts w:ascii="Times New Roman;serif" w:hAnsi="Times New Roman;serif"/>
          <w:b/>
          <w:color w:val="000000"/>
          <w:sz w:val="20"/>
        </w:rPr>
        <w:t>Revenue Recognition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tbl>
      <w:tblPr>
        <w:tblW w:w="10205" w:type="dxa"/>
        <w:jc w:val="left"/>
        <w:tblInd w:w="0" w:type="dxa"/>
        <w:tblLayout w:type="fixed"/>
        <w:tblCellMar>
          <w:top w:w="28" w:type="dxa"/>
          <w:left w:w="28" w:type="dxa"/>
          <w:bottom w:w="28" w:type="dxa"/>
          <w:right w:w="28" w:type="dxa"/>
        </w:tblCellMar>
      </w:tblPr>
      <w:tblGrid>
        <w:gridCol w:w="779"/>
        <w:gridCol w:w="584"/>
        <w:gridCol w:w="590"/>
        <w:gridCol w:w="211"/>
        <w:gridCol w:w="826"/>
        <w:gridCol w:w="109"/>
        <w:gridCol w:w="109"/>
        <w:gridCol w:w="109"/>
        <w:gridCol w:w="109"/>
        <w:gridCol w:w="274"/>
        <w:gridCol w:w="529"/>
        <w:gridCol w:w="143"/>
        <w:gridCol w:w="109"/>
        <w:gridCol w:w="109"/>
        <w:gridCol w:w="109"/>
        <w:gridCol w:w="419"/>
        <w:gridCol w:w="1224"/>
        <w:gridCol w:w="216"/>
        <w:gridCol w:w="109"/>
        <w:gridCol w:w="109"/>
        <w:gridCol w:w="109"/>
        <w:gridCol w:w="404"/>
        <w:gridCol w:w="1182"/>
        <w:gridCol w:w="211"/>
        <w:gridCol w:w="109"/>
        <w:gridCol w:w="109"/>
        <w:gridCol w:w="109"/>
        <w:gridCol w:w="211"/>
        <w:gridCol w:w="826"/>
        <w:gridCol w:w="159"/>
      </w:tblGrid>
      <w:tr>
        <w:trPr/>
        <w:tc>
          <w:tcPr>
            <w:tcW w:w="7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79"/>
        <w:gridCol w:w="584"/>
        <w:gridCol w:w="590"/>
        <w:gridCol w:w="211"/>
        <w:gridCol w:w="826"/>
        <w:gridCol w:w="109"/>
        <w:gridCol w:w="109"/>
        <w:gridCol w:w="109"/>
        <w:gridCol w:w="109"/>
        <w:gridCol w:w="253"/>
        <w:gridCol w:w="560"/>
        <w:gridCol w:w="133"/>
        <w:gridCol w:w="109"/>
        <w:gridCol w:w="109"/>
        <w:gridCol w:w="109"/>
        <w:gridCol w:w="419"/>
        <w:gridCol w:w="1224"/>
        <w:gridCol w:w="216"/>
        <w:gridCol w:w="109"/>
        <w:gridCol w:w="109"/>
        <w:gridCol w:w="109"/>
        <w:gridCol w:w="522"/>
        <w:gridCol w:w="1005"/>
        <w:gridCol w:w="270"/>
        <w:gridCol w:w="109"/>
        <w:gridCol w:w="109"/>
        <w:gridCol w:w="109"/>
        <w:gridCol w:w="211"/>
        <w:gridCol w:w="826"/>
        <w:gridCol w:w="159"/>
      </w:tblGrid>
      <w:tr>
        <w:trPr/>
        <w:tc>
          <w:tcPr>
            <w:tcW w:w="7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404,504 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10205" w:type="dxa"/>
        <w:jc w:val="left"/>
        <w:tblInd w:w="0" w:type="dxa"/>
        <w:tblLayout w:type="fixed"/>
        <w:tblCellMar>
          <w:top w:w="28" w:type="dxa"/>
          <w:left w:w="28" w:type="dxa"/>
          <w:bottom w:w="28" w:type="dxa"/>
          <w:right w:w="28" w:type="dxa"/>
        </w:tblCellMar>
      </w:tblPr>
      <w:tblGrid>
        <w:gridCol w:w="779"/>
        <w:gridCol w:w="584"/>
        <w:gridCol w:w="590"/>
        <w:gridCol w:w="211"/>
        <w:gridCol w:w="826"/>
        <w:gridCol w:w="109"/>
        <w:gridCol w:w="109"/>
        <w:gridCol w:w="109"/>
        <w:gridCol w:w="109"/>
        <w:gridCol w:w="253"/>
        <w:gridCol w:w="560"/>
        <w:gridCol w:w="133"/>
        <w:gridCol w:w="109"/>
        <w:gridCol w:w="109"/>
        <w:gridCol w:w="109"/>
        <w:gridCol w:w="419"/>
        <w:gridCol w:w="1224"/>
        <w:gridCol w:w="216"/>
        <w:gridCol w:w="109"/>
        <w:gridCol w:w="109"/>
        <w:gridCol w:w="109"/>
        <w:gridCol w:w="482"/>
        <w:gridCol w:w="1066"/>
        <w:gridCol w:w="249"/>
        <w:gridCol w:w="109"/>
        <w:gridCol w:w="109"/>
        <w:gridCol w:w="109"/>
        <w:gridCol w:w="211"/>
        <w:gridCol w:w="826"/>
        <w:gridCol w:w="159"/>
      </w:tblGrid>
      <w:tr>
        <w:trPr/>
        <w:tc>
          <w:tcPr>
            <w:tcW w:w="77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2023</w:t>
            </w:r>
          </w:p>
        </w:tc>
      </w:tr>
      <w:tr>
        <w:trPr/>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Subscriptions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Advertising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(Related 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Share (Third-party)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Timing of transfer:</w:t>
            </w:r>
          </w:p>
        </w:tc>
        <w:tc>
          <w:tcPr>
            <w:tcW w:w="8252" w:type="dxa"/>
            <w:gridSpan w:val="27"/>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over time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Transferred at a point in time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4,937 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recognition by subscription type was as follows:</w:t>
      </w:r>
    </w:p>
    <w:tbl>
      <w:tblPr>
        <w:tblW w:w="6401" w:type="dxa"/>
        <w:jc w:val="left"/>
        <w:tblInd w:w="0" w:type="dxa"/>
        <w:tblLayout w:type="fixed"/>
        <w:tblCellMar>
          <w:top w:w="28" w:type="dxa"/>
          <w:left w:w="28" w:type="dxa"/>
          <w:bottom w:w="28" w:type="dxa"/>
          <w:right w:w="28" w:type="dxa"/>
        </w:tblCellMar>
      </w:tblPr>
      <w:tblGrid>
        <w:gridCol w:w="820"/>
        <w:gridCol w:w="720"/>
        <w:gridCol w:w="724"/>
        <w:gridCol w:w="211"/>
        <w:gridCol w:w="826"/>
        <w:gridCol w:w="109"/>
        <w:gridCol w:w="109"/>
        <w:gridCol w:w="109"/>
        <w:gridCol w:w="109"/>
        <w:gridCol w:w="211"/>
        <w:gridCol w:w="826"/>
        <w:gridCol w:w="109"/>
        <w:gridCol w:w="109"/>
        <w:gridCol w:w="109"/>
        <w:gridCol w:w="109"/>
        <w:gridCol w:w="211"/>
        <w:gridCol w:w="826"/>
        <w:gridCol w:w="15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Membership 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Non-subscription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for the membership and term subscription types are determined based on the terms of the subscription agreements. Non-subscription revenue consists of revenue from advertising and other revenue from revenue share arrangements and the sale of print products and events, such as webinars and conferences.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revenue by principal geographic areas was as follows:</w:t>
      </w:r>
    </w:p>
    <w:tbl>
      <w:tblPr>
        <w:tblW w:w="5336" w:type="dxa"/>
        <w:jc w:val="left"/>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Revenue by location is determined by the billing entity for the customer.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timing of revenue recognition, amounts invoiced to customers, cash collections and refunds affects the recognition of accounts receivable, contract assets and deferred revenue. Our current deferred revenue balance is presented within the deferred revenue and other contract liabilities line item in the consolidated balance sheets and includes an obligation for refunds for contracts where the provision for refund has not lapsed. Accounts receivable, deferred revenue and obligation for refunds are as follows:</w:t>
      </w:r>
    </w:p>
    <w:tbl>
      <w:tblPr>
        <w:tblW w:w="6147" w:type="dxa"/>
        <w:jc w:val="left"/>
        <w:tblInd w:w="0" w:type="dxa"/>
        <w:tblLayout w:type="fixed"/>
        <w:tblCellMar>
          <w:top w:w="28" w:type="dxa"/>
          <w:left w:w="28" w:type="dxa"/>
          <w:bottom w:w="28" w:type="dxa"/>
          <w:right w:w="28" w:type="dxa"/>
        </w:tblCellMar>
      </w:tblPr>
      <w:tblGrid>
        <w:gridCol w:w="956"/>
        <w:gridCol w:w="840"/>
        <w:gridCol w:w="844"/>
        <w:gridCol w:w="211"/>
        <w:gridCol w:w="616"/>
        <w:gridCol w:w="109"/>
        <w:gridCol w:w="109"/>
        <w:gridCol w:w="109"/>
        <w:gridCol w:w="109"/>
        <w:gridCol w:w="211"/>
        <w:gridCol w:w="616"/>
        <w:gridCol w:w="109"/>
        <w:gridCol w:w="109"/>
        <w:gridCol w:w="109"/>
        <w:gridCol w:w="109"/>
        <w:gridCol w:w="211"/>
        <w:gridCol w:w="616"/>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 balances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for refunds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non-current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recognized $217,973 and $288,266 of revenue during the years ended December 31, 2025 and 2024, respectively, that was included within the beginning contract liability balance of the respective periods. The Company has collected all amounts included in deferred revenue other than $5,722 and $1,876 as of December 31, 2025 and 2024, respectively, related to the timing of cash settlement with credit card processors.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Assets Recognized from Costs to Obtain a Contract with a Customer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opening and closing balances of our capitalized costs associated with contracts with customers:</w:t>
      </w:r>
    </w:p>
    <w:tbl>
      <w:tblPr>
        <w:tblW w:w="5795" w:type="dxa"/>
        <w:jc w:val="left"/>
        <w:tblInd w:w="0" w:type="dxa"/>
        <w:tblLayout w:type="fixed"/>
        <w:tblCellMar>
          <w:top w:w="28" w:type="dxa"/>
          <w:left w:w="28" w:type="dxa"/>
          <w:bottom w:w="28" w:type="dxa"/>
          <w:right w:w="28" w:type="dxa"/>
        </w:tblCellMar>
      </w:tblPr>
      <w:tblGrid>
        <w:gridCol w:w="1669"/>
        <w:gridCol w:w="1462"/>
        <w:gridCol w:w="1473"/>
        <w:gridCol w:w="211"/>
        <w:gridCol w:w="82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sales commissions –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and cost per acquisition fees – 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capitalized costs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sales commissions – 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and cost per acquisition fees –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capitalized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 and sales commissions – additions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and cost per acquisition fees – additions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recognized impairment on capitalized costs associated with contracts with customers during the year ended December 31, 2024, related to the disposal of certain Legacy Research brands as part of the Legacy reorganization. We recognized an impairment of capitalized costs associated with contracts with customers during the year ended December 31, 2023 which was related to the sale of Buttonwood Publishing. See </w:t>
      </w:r>
      <w:r>
        <w:rPr>
          <w:rFonts w:ascii="Times New Roman;serif" w:hAnsi="Times New Roman;serif"/>
          <w:b w:val="false"/>
          <w:i/>
          <w:color w:val="000000"/>
          <w:sz w:val="20"/>
        </w:rPr>
        <w:t>Note 5 – Acquisitions and Disposals</w:t>
      </w:r>
      <w:r>
        <w:rPr>
          <w:rFonts w:ascii="Times New Roman;serif" w:hAnsi="Times New Roman;serif"/>
          <w:b w:val="false"/>
          <w:color w:val="000000"/>
          <w:sz w:val="20"/>
        </w:rPr>
        <w:t>. We did not recognize any impairment on capitalized costs associated with contracts with customers for the year ended December 31,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$369,552 of remaining performance obligations presented as deferred revenue in the consolidated balance sheets. We expect to recognize approximately 50% of that amount as revenues over the next twelve months, with the remainder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4.</w:t>
      </w:r>
      <w:r>
        <w:rPr>
          <w:rFonts w:ascii="Times New Roman;serif" w:hAnsi="Times New Roman;serif"/>
          <w:b/>
          <w:color w:val="000000"/>
          <w:sz w:val="20"/>
        </w:rPr>
        <w:t>Reorganizations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Legacy Reorganization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8, 2024, the Company reported that its board of directors (“Board”) had committed to a strategic realignment and reorganization (the “Reorganization”) to wind-down the operations of its Legacy Research Group business (“Legacy Research”) in response to misconduct discovered at Legacy Research where certain managers violated the Company’s policies.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commitment to the Reorganization, Legacy Research continued to serve existing subscribers and fulfill existing subscriptions, but began to significantly curtail business activities including any marketing efforts to acquire new subscribers.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second quarter 2024, we began the process of offering certain Legacy Research subscribers similar products published by other MarketWise brands, consistent with past Company practice when we cease a publication. We continued this process through the third quarter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completed our Reorganization and operational transition plans with respect to substantially all of the Legacy Research brands, which resulted in the transfer of the related assets and related fulfillment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val="false"/>
          <w:color w:val="000000"/>
          <w:sz w:val="20"/>
        </w:rPr>
        <w:t xml:space="preserve">obligations to other businesses within MarketWise for fair consideration. We also entered into agreements in October 2024 to sell certain Legacy Research brands that had immaterial year-to-date September 2024 Billings, one of which was to a related party. See also </w:t>
      </w:r>
      <w:r>
        <w:rPr>
          <w:rFonts w:ascii="Times New Roman;serif" w:hAnsi="Times New Roman;serif"/>
          <w:b w:val="false"/>
          <w:i/>
          <w:color w:val="000000"/>
          <w:sz w:val="20"/>
        </w:rPr>
        <w:t>Note 5 – Acquisitions and Disposals.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completion of the Reorganization resulted in a change in the Company’s internal reporting structure whereby the operations of substantially all the former Legacy brands were merged into its Alta reporting unit, certain other brands were merged into its 1729 Research and Brownstone Research reporting units, and certain brands were sold. Legacy Research ceased to be an operating segment as a result of these transactions. Accordingly, assets and liabilities were reassigned to Alta, 1729 Research, Brownstone Research, and the respective sold brands, including goodwill of $1.8 million, $0.4 million, $2.8 million, and $3.5 million, respectively, which was determined using a relative fair value approach. Significant assumptions of the valuation included, but were not limited to, prospective financial information and growth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Separation costs incurred in the year ended December 31, 2024 totaled approximately $2.3 million within 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Legacy Research has leased office space and the current lease end date for this property is December 2028. The Company evaluated alternatives for this property and believes it is unlikely the space will be subleased. As such, the Company recorded a full impairment of the operating lease right-of-use asset as of December 31, 2024, totaling $2.1 million.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Reorganization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we reorganized our reporting structure by eliminating our 1729 Research and Alta operating subsidiaries, which were also two of our three reporting units. Accordingly, assets and liabilities were reassigned to the operating subsidiary level, including 1729 Research and Alta goodwill of $14,190 and $13,004, respectively, which was determined using a relative fair value approach. See also Note 6 – Goodwill and Intangible Assets, Net. Significant assumptions of the valuation included, but were not limited to, prospective financial information, growth rates, discount rates, and inflation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5.</w:t>
      </w:r>
      <w:r>
        <w:rPr>
          <w:rFonts w:ascii="Times New Roman;serif" w:hAnsi="Times New Roman;serif"/>
          <w:b/>
          <w:color w:val="000000"/>
          <w:sz w:val="20"/>
        </w:rPr>
        <w:t>Acquisitions and Disposals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Disposal of certain former Legacy Research brands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2024, we entered into an agreement to sell certain assets and liabilities that we had previously acquired as part of the MMP Acquisition (“MMP Business”) to a related party. The consideration of the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did not require any upfront consideration. As defined in the sale agreement, the buyer will assume the subscription fulfillment obligation, which was $1.5 million as of the December 31, 2024 disposal date.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October 2024, the Company disposed of two other brands as part of the Reorganization. Goodwill was allocated to the disposed brands using a relative fair value allocation methodology. The net gain on disposal is recognized within other income (expense) on the consolidated statement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aggregates the balances of the disposal groups as of the respective sale dates: </w:t>
      </w:r>
    </w:p>
    <w:tbl>
      <w:tblPr>
        <w:tblW w:w="3531" w:type="dxa"/>
        <w:jc w:val="left"/>
        <w:tblInd w:w="0" w:type="dxa"/>
        <w:tblLayout w:type="fixed"/>
        <w:tblCellMar>
          <w:top w:w="28" w:type="dxa"/>
          <w:left w:w="28" w:type="dxa"/>
          <w:bottom w:w="28" w:type="dxa"/>
          <w:right w:w="28" w:type="dxa"/>
        </w:tblCellMar>
      </w:tblPr>
      <w:tblGrid>
        <w:gridCol w:w="896"/>
        <w:gridCol w:w="786"/>
        <w:gridCol w:w="793"/>
        <w:gridCol w:w="211"/>
        <w:gridCol w:w="69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credit liability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MMP Acquisition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 2024, we acquired 100% ownership of certain assets and liabilities from Money Map Press, LLC (“MMP Acquisition”), a provider of financial newsletters, which is a related party. The transaction consideration did not include any upfront consideration and the Company was to pay contingent consideration based on the level of subscription sales it achieves from certain customers beginning from the sale date through January 1, 2026, as defined in the sale agreement. The fair value of the contingent consideration was estimated to be $707. The MMP Acquisition was accounted for using the acquisition method of accounting for business combinations. The following table summarizes the fair value of assets acquired and liabilities assumed as of the acquisition date: </w:t>
      </w:r>
    </w:p>
    <w:tbl>
      <w:tblPr>
        <w:tblW w:w="3455" w:type="dxa"/>
        <w:jc w:val="left"/>
        <w:tblInd w:w="0" w:type="dxa"/>
        <w:tblLayout w:type="fixed"/>
        <w:tblCellMar>
          <w:top w:w="28" w:type="dxa"/>
          <w:left w:w="28" w:type="dxa"/>
          <w:bottom w:w="28" w:type="dxa"/>
          <w:right w:w="28" w:type="dxa"/>
        </w:tblCellMar>
      </w:tblPr>
      <w:tblGrid>
        <w:gridCol w:w="896"/>
        <w:gridCol w:w="784"/>
        <w:gridCol w:w="794"/>
        <w:gridCol w:w="211"/>
        <w:gridCol w:w="61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assumed</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excess purchase consideration over the fair values of assets acquired and liabilities assumed was recorded as goodwill. The acquired intangible assets related to the MMP Acquisition are amortized over their estimated useful lives. Accordingly, the tradenames are amortized over 8.7 years and customer relationships are amortized over 6.2 years. Amortization for the acquired intangible assets was $393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6.</w:t>
      </w:r>
      <w:r>
        <w:rPr>
          <w:rFonts w:ascii="Times New Roman;serif" w:hAnsi="Times New Roman;serif"/>
          <w:b/>
          <w:color w:val="000000"/>
          <w:sz w:val="20"/>
        </w:rPr>
        <w:t>Goodwill and Intangible Assets, Net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amounts of goodwill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5405" w:type="dxa"/>
        <w:jc w:val="left"/>
        <w:tblInd w:w="0" w:type="dxa"/>
        <w:tblLayout w:type="fixed"/>
        <w:tblCellMar>
          <w:top w:w="28" w:type="dxa"/>
          <w:left w:w="28" w:type="dxa"/>
          <w:bottom w:w="28" w:type="dxa"/>
          <w:right w:w="28" w:type="dxa"/>
        </w:tblCellMar>
      </w:tblPr>
      <w:tblGrid>
        <w:gridCol w:w="1565"/>
        <w:gridCol w:w="1371"/>
        <w:gridCol w:w="1383"/>
        <w:gridCol w:w="211"/>
        <w:gridCol w:w="721"/>
        <w:gridCol w:w="154"/>
      </w:tblGrid>
      <w:tr>
        <w:trPr/>
        <w:tc>
          <w:tcPr>
            <w:tcW w:w="1565"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January 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Acquisition of Investor Channel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Sale of Buttonwood Publishing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December 31, 2023</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MPP</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of MPP and other Legacy Research Brands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has six reporting units with goodwill. The reporting units to which goodwill is allocated that have negative carrying amounts are as follows: </w:t>
      </w:r>
    </w:p>
    <w:tbl>
      <w:tblPr>
        <w:tblW w:w="4013" w:type="dxa"/>
        <w:jc w:val="left"/>
        <w:tblInd w:w="0" w:type="dxa"/>
        <w:tblLayout w:type="fixed"/>
        <w:tblCellMar>
          <w:top w:w="28" w:type="dxa"/>
          <w:left w:w="28" w:type="dxa"/>
          <w:bottom w:w="28" w:type="dxa"/>
          <w:right w:w="28" w:type="dxa"/>
        </w:tblCellMar>
      </w:tblPr>
      <w:tblGrid>
        <w:gridCol w:w="679"/>
        <w:gridCol w:w="595"/>
        <w:gridCol w:w="600"/>
        <w:gridCol w:w="211"/>
        <w:gridCol w:w="406"/>
        <w:gridCol w:w="109"/>
        <w:gridCol w:w="109"/>
        <w:gridCol w:w="109"/>
        <w:gridCol w:w="109"/>
        <w:gridCol w:w="211"/>
        <w:gridCol w:w="72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1729 Research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Altimetry</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Brownstone Research</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Chaikin Resources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InvestorPlace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Stansberry Research</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TradeSmith</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goodwill impairment charges have been recorded during the years ended December 31, 2025, 2024 and 2023.</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Intangible assets,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 as of the dates indicated:</w:t>
      </w:r>
    </w:p>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(19,743)</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10205" w:type="dxa"/>
        <w:jc w:val="left"/>
        <w:tblInd w:w="0" w:type="dxa"/>
        <w:tblLayout w:type="fixed"/>
        <w:tblCellMar>
          <w:top w:w="28" w:type="dxa"/>
          <w:left w:w="28" w:type="dxa"/>
          <w:bottom w:w="28" w:type="dxa"/>
          <w:right w:w="28" w:type="dxa"/>
        </w:tblCellMar>
      </w:tblPr>
      <w:tblGrid>
        <w:gridCol w:w="997"/>
        <w:gridCol w:w="760"/>
        <w:gridCol w:w="764"/>
        <w:gridCol w:w="211"/>
        <w:gridCol w:w="721"/>
        <w:gridCol w:w="109"/>
        <w:gridCol w:w="109"/>
        <w:gridCol w:w="109"/>
        <w:gridCol w:w="109"/>
        <w:gridCol w:w="315"/>
        <w:gridCol w:w="1174"/>
        <w:gridCol w:w="162"/>
        <w:gridCol w:w="109"/>
        <w:gridCol w:w="109"/>
        <w:gridCol w:w="109"/>
        <w:gridCol w:w="250"/>
        <w:gridCol w:w="733"/>
        <w:gridCol w:w="129"/>
        <w:gridCol w:w="109"/>
        <w:gridCol w:w="109"/>
        <w:gridCol w:w="109"/>
        <w:gridCol w:w="847"/>
        <w:gridCol w:w="847"/>
        <w:gridCol w:w="1205"/>
      </w:tblGrid>
      <w:tr>
        <w:trPr/>
        <w:tc>
          <w:tcPr>
            <w:tcW w:w="99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Remaining Useful Life (in years)</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Tradenames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3,586 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9" w:type="dxa"/>
            <w:gridSpan w:val="3"/>
            <w:tcBorders/>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Internet domain names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Indefinite-lived intangible assets,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recorded amortization expense related to finite-lived intangible</w:t>
      </w:r>
      <w:r>
        <w:rPr>
          <w:color w:val="000000"/>
        </w:rPr>
        <w:t xml:space="preserve"> </w:t>
      </w:r>
      <w:r>
        <w:rPr>
          <w:rFonts w:ascii="Times New Roman;serif" w:hAnsi="Times New Roman;serif"/>
          <w:b w:val="false"/>
          <w:color w:val="000000"/>
          <w:sz w:val="20"/>
        </w:rPr>
        <w:t xml:space="preserve">assets of $2,036, $2,522 and $3,554 for the years ended December 31, 2025, 2024 and 2023, respectively, within depreciation and amortization in the </w:t>
      </w:r>
      <w:r>
        <w:rPr>
          <w:rFonts w:ascii="Times New Roman;serif" w:hAnsi="Times New Roman;serif"/>
          <w:b w:val="false"/>
          <w:color w:val="000000"/>
          <w:sz w:val="20"/>
          <w:shd w:fill="FFFFFF" w:val="clear"/>
        </w:rPr>
        <w:t>accompanying consolid</w:t>
      </w:r>
      <w:r>
        <w:rPr>
          <w:rFonts w:ascii="Times New Roman;serif" w:hAnsi="Times New Roman;serif"/>
          <w:b w:val="false"/>
          <w:color w:val="000000"/>
          <w:sz w:val="20"/>
        </w:rPr>
        <w:t>ated statement of operations. These amounts include amortization of capitalized software development costs of $1,061, $1,105 and $737 for the</w:t>
      </w:r>
      <w:r>
        <w:rPr>
          <w:color w:val="000000"/>
          <w:shd w:fill="FFFFFF" w:val="clear"/>
        </w:rPr>
        <w:t xml:space="preserve"> </w:t>
      </w:r>
      <w:r>
        <w:rPr>
          <w:rFonts w:ascii="Times New Roman;serif" w:hAnsi="Times New Roman;serif"/>
          <w:b w:val="false"/>
          <w:color w:val="000000"/>
          <w:sz w:val="20"/>
          <w:shd w:fill="FFFFFF" w:val="clear"/>
        </w:rPr>
        <w:t>years ended December 31, 2025, 2024 and 2023, respectively.</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recorded additions to capitalized software development costs o</w:t>
      </w:r>
      <w:r>
        <w:rPr>
          <w:rFonts w:ascii="Times New Roman;serif" w:hAnsi="Times New Roman;serif"/>
          <w:b w:val="false"/>
          <w:color w:val="000000"/>
          <w:sz w:val="20"/>
        </w:rPr>
        <w:t>f $1,176, $542 and $1,712 f</w:t>
      </w:r>
      <w:r>
        <w:rPr>
          <w:rFonts w:ascii="Times New Roman;serif" w:hAnsi="Times New Roman;serif"/>
          <w:b w:val="false"/>
          <w:color w:val="000000"/>
          <w:sz w:val="20"/>
          <w:shd w:fill="FFFFFF" w:val="clear"/>
        </w:rPr>
        <w:t>or the years ended December 31, 2025, 2024 and 2023, respectivel</w:t>
      </w:r>
      <w:r>
        <w:rPr>
          <w:rFonts w:ascii="Times New Roman;serif" w:hAnsi="Times New Roman;serif"/>
          <w:b w:val="false"/>
          <w:color w:val="000000"/>
          <w:sz w:val="20"/>
        </w:rPr>
        <w:t xml:space="preserve">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total expected future amortization expense for finite-lived intangible assets is as follows: </w:t>
      </w:r>
    </w:p>
    <w:tbl>
      <w:tblPr>
        <w:tblW w:w="3800" w:type="dxa"/>
        <w:jc w:val="left"/>
        <w:tblInd w:w="0" w:type="dxa"/>
        <w:tblLayout w:type="fixed"/>
        <w:tblCellMar>
          <w:top w:w="28" w:type="dxa"/>
          <w:left w:w="28" w:type="dxa"/>
          <w:bottom w:w="28" w:type="dxa"/>
          <w:right w:w="28" w:type="dxa"/>
        </w:tblCellMar>
      </w:tblPr>
      <w:tblGrid>
        <w:gridCol w:w="1017"/>
        <w:gridCol w:w="892"/>
        <w:gridCol w:w="910"/>
        <w:gridCol w:w="211"/>
        <w:gridCol w:w="616"/>
        <w:gridCol w:w="154"/>
      </w:tblGrid>
      <w:tr>
        <w:trPr/>
        <w:tc>
          <w:tcPr>
            <w:tcW w:w="101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Finite-lived intangible assets,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7.</w:t>
      </w:r>
      <w:r>
        <w:rPr>
          <w:rFonts w:ascii="Times New Roman;serif" w:hAnsi="Times New Roman;serif"/>
          <w:b/>
          <w:color w:val="000000"/>
          <w:sz w:val="20"/>
        </w:rPr>
        <w:t>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summarize our financial assets and liabilities measured at fair value on a recurring basis by level within the fair value hierarchy as of the dates indicated: </w:t>
      </w:r>
    </w:p>
    <w:tbl>
      <w:tblPr>
        <w:tblW w:w="8513" w:type="dxa"/>
        <w:jc w:val="left"/>
        <w:tblInd w:w="0" w:type="dxa"/>
        <w:tblLayout w:type="fixed"/>
        <w:tblCellMar>
          <w:top w:w="28" w:type="dxa"/>
          <w:left w:w="28" w:type="dxa"/>
          <w:bottom w:w="28" w:type="dxa"/>
          <w:right w:w="28" w:type="dxa"/>
        </w:tblCellMar>
      </w:tblPr>
      <w:tblGrid>
        <w:gridCol w:w="1116"/>
        <w:gridCol w:w="980"/>
        <w:gridCol w:w="994"/>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338"/>
        <w:gridCol w:w="1155"/>
        <w:gridCol w:w="24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66,381 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Profits interests, noncurrent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8513" w:type="dxa"/>
        <w:jc w:val="left"/>
        <w:tblInd w:w="0" w:type="dxa"/>
        <w:tblLayout w:type="fixed"/>
        <w:tblCellMar>
          <w:top w:w="28" w:type="dxa"/>
          <w:left w:w="28" w:type="dxa"/>
          <w:bottom w:w="28" w:type="dxa"/>
          <w:right w:w="28" w:type="dxa"/>
        </w:tblCellMar>
      </w:tblPr>
      <w:tblGrid>
        <w:gridCol w:w="1116"/>
        <w:gridCol w:w="980"/>
        <w:gridCol w:w="994"/>
        <w:gridCol w:w="211"/>
        <w:gridCol w:w="721"/>
        <w:gridCol w:w="109"/>
        <w:gridCol w:w="109"/>
        <w:gridCol w:w="109"/>
        <w:gridCol w:w="109"/>
        <w:gridCol w:w="211"/>
        <w:gridCol w:w="406"/>
        <w:gridCol w:w="109"/>
        <w:gridCol w:w="109"/>
        <w:gridCol w:w="109"/>
        <w:gridCol w:w="109"/>
        <w:gridCol w:w="211"/>
        <w:gridCol w:w="616"/>
        <w:gridCol w:w="109"/>
        <w:gridCol w:w="109"/>
        <w:gridCol w:w="109"/>
        <w:gridCol w:w="109"/>
        <w:gridCol w:w="338"/>
        <w:gridCol w:w="1155"/>
        <w:gridCol w:w="246"/>
      </w:tblGrid>
      <w:tr>
        <w:trPr/>
        <w:tc>
          <w:tcPr>
            <w:tcW w:w="111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96,215 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The level 3 assets relate to contingent consideration receivable from a related party associated with the sale of brands disposed as part of the Reorganization and the Buttonwood Publishing sale, and the level 3 liabilities relate to profits interests. S</w:t>
      </w:r>
      <w:r>
        <w:rPr>
          <w:rFonts w:ascii="Times New Roman;serif" w:hAnsi="Times New Roman;serif"/>
          <w:b w:val="false"/>
          <w:color w:val="000000"/>
          <w:sz w:val="20"/>
          <w:shd w:fill="FFFFFF" w:val="clear"/>
        </w:rPr>
        <w:t xml:space="preserve">ee </w:t>
      </w:r>
      <w:r>
        <w:rPr>
          <w:rFonts w:ascii="Times New Roman;serif" w:hAnsi="Times New Roman;serif"/>
          <w:b w:val="false"/>
          <w:i/>
          <w:color w:val="000000"/>
          <w:sz w:val="20"/>
          <w:shd w:fill="FFFFFF" w:val="clear"/>
        </w:rPr>
        <w:t>Note 5 – Acquisitions and Disposals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i/>
          <w:color w:val="000000"/>
          <w:sz w:val="20"/>
          <w:shd w:fill="FFFFFF" w:val="clear"/>
        </w:rPr>
        <w:t>Note 10 – Stock-Based Compensation</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fair value of the recurring Level 3 fair value measurements during the year ended December 31, 2025:</w:t>
      </w:r>
    </w:p>
    <w:tbl>
      <w:tblPr>
        <w:tblW w:w="10205" w:type="dxa"/>
        <w:jc w:val="left"/>
        <w:tblInd w:w="0" w:type="dxa"/>
        <w:tblLayout w:type="fixed"/>
        <w:tblCellMar>
          <w:top w:w="28" w:type="dxa"/>
          <w:left w:w="28" w:type="dxa"/>
          <w:bottom w:w="28" w:type="dxa"/>
          <w:right w:w="28" w:type="dxa"/>
        </w:tblCellMar>
      </w:tblPr>
      <w:tblGrid>
        <w:gridCol w:w="976"/>
        <w:gridCol w:w="747"/>
        <w:gridCol w:w="752"/>
        <w:gridCol w:w="1225"/>
        <w:gridCol w:w="1042"/>
        <w:gridCol w:w="1046"/>
        <w:gridCol w:w="109"/>
        <w:gridCol w:w="109"/>
        <w:gridCol w:w="109"/>
        <w:gridCol w:w="544"/>
        <w:gridCol w:w="1201"/>
        <w:gridCol w:w="283"/>
        <w:gridCol w:w="124"/>
        <w:gridCol w:w="124"/>
        <w:gridCol w:w="124"/>
        <w:gridCol w:w="361"/>
        <w:gridCol w:w="1057"/>
        <w:gridCol w:w="272"/>
      </w:tblGrid>
      <w:tr>
        <w:trPr/>
        <w:tc>
          <w:tcPr>
            <w:tcW w:w="97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Level 3 Fair Value Measurements </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Statement Line Item That Includes The Gains And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Contingent consideration receivable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Profits interests, noncurrent</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Issues</w:t>
            </w:r>
          </w:p>
        </w:tc>
        <w:tc>
          <w:tcPr>
            <w:tcW w:w="3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(losses) recorded in earnings</w:t>
            </w:r>
          </w:p>
        </w:tc>
        <w:tc>
          <w:tcPr>
            <w:tcW w:w="3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690"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losses recorded in earnings</w:t>
            </w:r>
          </w:p>
        </w:tc>
        <w:tc>
          <w:tcPr>
            <w:tcW w:w="3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received and net settlements</w:t>
            </w:r>
          </w:p>
        </w:tc>
        <w:tc>
          <w:tcPr>
            <w:tcW w:w="3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provides quantitative information regarding the recurring Level 3 fair value measurements inputs for the contingent consideration receivable, profits interests, and derivative liabilities at their measurement dates:</w:t>
      </w:r>
    </w:p>
    <w:tbl>
      <w:tblPr>
        <w:tblW w:w="4725" w:type="dxa"/>
        <w:jc w:val="left"/>
        <w:tblInd w:w="0" w:type="dxa"/>
        <w:tblLayout w:type="fixed"/>
        <w:tblCellMar>
          <w:top w:w="28" w:type="dxa"/>
          <w:left w:w="28" w:type="dxa"/>
          <w:bottom w:w="28" w:type="dxa"/>
          <w:right w:w="28" w:type="dxa"/>
        </w:tblCellMar>
      </w:tblPr>
      <w:tblGrid>
        <w:gridCol w:w="1151"/>
        <w:gridCol w:w="1012"/>
        <w:gridCol w:w="1017"/>
        <w:gridCol w:w="314"/>
        <w:gridCol w:w="314"/>
        <w:gridCol w:w="917"/>
      </w:tblGrid>
      <w:tr>
        <w:trPr/>
        <w:tc>
          <w:tcPr>
            <w:tcW w:w="1151"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consideration receivable</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Profits interests</w:t>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for lack of marketability</w:t>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30.70 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fourth quarter of 2024, the Company determined that impairment indicators were present due to the Legacy reorganization which began in 2024. As a result, the Company recorded an impairment loss on Legacy’s intangible assets totaling $0.3 million, deferred contract acquisition costs totaling $2.1 million, as well as full impairment of the operating lease right-of-use asset totaling $2.1 million.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During the year ended December 31, 2023, the Company determined that impairment indicators were present due to continuing losses with respect to its Buttonwood Publishing business which it had acquired during 2022. As a result, the Company recorded an impairment loss on Buttonwood Publishing’s intangible assets totaling $584. The Company used a with and without method to determine the fair value of the customer relationships and a relief from royalty method to determine the fair value of the tradenames. The key input for these nonrecurring Level 3 fair value measurements was the 22.8% discount rate. Additional impairments were recorded in December 2023, as further described in </w:t>
      </w:r>
      <w:r>
        <w:rPr>
          <w:rFonts w:ascii="Times New Roman;serif" w:hAnsi="Times New Roman;serif"/>
          <w:b w:val="false"/>
          <w:i/>
          <w:color w:val="000000"/>
          <w:sz w:val="20"/>
        </w:rPr>
        <w:t>Note 5 – Acquisitions and Disposals.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embedded derivative instruments were settled at fair value. The following table summarizes the change in fair value of the derivative liabilities during the year ended December 31, 2023:</w:t>
      </w:r>
    </w:p>
    <w:tbl>
      <w:tblPr>
        <w:tblW w:w="4684" w:type="dxa"/>
        <w:jc w:val="left"/>
        <w:tblInd w:w="0" w:type="dxa"/>
        <w:tblLayout w:type="fixed"/>
        <w:tblCellMar>
          <w:top w:w="28" w:type="dxa"/>
          <w:left w:w="28" w:type="dxa"/>
          <w:bottom w:w="28" w:type="dxa"/>
          <w:right w:w="28" w:type="dxa"/>
        </w:tblCellMar>
      </w:tblPr>
      <w:tblGrid>
        <w:gridCol w:w="1389"/>
        <w:gridCol w:w="1222"/>
        <w:gridCol w:w="1229"/>
        <w:gridCol w:w="235"/>
        <w:gridCol w:w="455"/>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 December 31, 2022</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 instruments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derivative instruments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Balance – December 31, 2023</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3840"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8.</w:t>
      </w:r>
      <w:r>
        <w:rPr>
          <w:rFonts w:ascii="Times New Roman;serif" w:hAnsi="Times New Roman;serif"/>
          <w:b/>
          <w:color w:val="000000"/>
          <w:sz w:val="20"/>
        </w:rPr>
        <w:t>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Capitalized Implementation Costs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capitalized cloud computing implementation costs for customer-relationship management, revenue management, and enterprise resou</w:t>
      </w:r>
      <w:r>
        <w:rPr>
          <w:rFonts w:ascii="Times New Roman;serif" w:hAnsi="Times New Roman;serif"/>
          <w:b w:val="false"/>
          <w:color w:val="000000"/>
          <w:sz w:val="20"/>
        </w:rPr>
        <w:t>rce planning systems of $0, $108 and $71 for the years ended December 31, 2025, 2024 and 2023, respectively. The capitalized implementation costs are capita</w:t>
      </w:r>
      <w:r>
        <w:rPr>
          <w:rFonts w:ascii="Times New Roman;serif" w:hAnsi="Times New Roman;serif"/>
          <w:b w:val="false"/>
          <w:color w:val="000000"/>
          <w:sz w:val="20"/>
          <w:shd w:fill="FFFFFF" w:val="clear"/>
        </w:rPr>
        <w:t xml:space="preserve">lized within other current assets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val="false"/>
          <w:color w:val="000000"/>
          <w:sz w:val="20"/>
          <w:shd w:fill="FFFFFF" w:val="clear"/>
        </w:rPr>
        <w:t>con</w:t>
      </w:r>
      <w:r>
        <w:rPr>
          <w:rFonts w:ascii="Times New Roman;serif" w:hAnsi="Times New Roman;serif"/>
          <w:b w:val="false"/>
          <w:color w:val="000000"/>
          <w:sz w:val="20"/>
        </w:rPr>
        <w:t>solidated balance sheets. Amortization expense related to capitalized cloud computing implementation costs was $526, $974 and $939 for the years ended December 31, 2025, 2024 and 2023,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consists of the following:</w:t>
      </w:r>
    </w:p>
    <w:tbl>
      <w:tblPr>
        <w:tblW w:w="10205" w:type="dxa"/>
        <w:jc w:val="left"/>
        <w:tblInd w:w="0" w:type="dxa"/>
        <w:tblLayout w:type="fixed"/>
        <w:tblCellMar>
          <w:top w:w="28" w:type="dxa"/>
          <w:left w:w="28" w:type="dxa"/>
          <w:bottom w:w="28" w:type="dxa"/>
          <w:right w:w="28" w:type="dxa"/>
        </w:tblCellMar>
      </w:tblPr>
      <w:tblGrid>
        <w:gridCol w:w="1364"/>
        <w:gridCol w:w="1135"/>
        <w:gridCol w:w="1143"/>
        <w:gridCol w:w="1361"/>
        <w:gridCol w:w="1342"/>
        <w:gridCol w:w="1347"/>
        <w:gridCol w:w="109"/>
        <w:gridCol w:w="109"/>
        <w:gridCol w:w="109"/>
        <w:gridCol w:w="214"/>
        <w:gridCol w:w="473"/>
        <w:gridCol w:w="109"/>
        <w:gridCol w:w="109"/>
        <w:gridCol w:w="109"/>
        <w:gridCol w:w="109"/>
        <w:gridCol w:w="214"/>
        <w:gridCol w:w="473"/>
        <w:gridCol w:w="109"/>
        <w:gridCol w:w="109"/>
        <w:gridCol w:w="158"/>
      </w:tblGrid>
      <w:tr>
        <w:trPr/>
        <w:tc>
          <w:tcPr>
            <w:tcW w:w="136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As of December 31, </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Computers, software and equipment</w:t>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estimated useful life or remaining term of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36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4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and equipment was $150, $231 and $267 for the years ended December 31, 2025, 2024 and 2023,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5937" w:type="dxa"/>
        <w:jc w:val="left"/>
        <w:tblInd w:w="0" w:type="dxa"/>
        <w:tblLayout w:type="fixed"/>
        <w:tblCellMar>
          <w:top w:w="28" w:type="dxa"/>
          <w:left w:w="28" w:type="dxa"/>
          <w:bottom w:w="28" w:type="dxa"/>
          <w:right w:w="28" w:type="dxa"/>
        </w:tblCellMar>
      </w:tblPr>
      <w:tblGrid>
        <w:gridCol w:w="1223"/>
        <w:gridCol w:w="1073"/>
        <w:gridCol w:w="1078"/>
        <w:gridCol w:w="211"/>
        <w:gridCol w:w="721"/>
        <w:gridCol w:w="109"/>
        <w:gridCol w:w="109"/>
        <w:gridCol w:w="109"/>
        <w:gridCol w:w="109"/>
        <w:gridCol w:w="211"/>
        <w:gridCol w:w="721"/>
        <w:gridCol w:w="109"/>
        <w:gridCol w:w="154"/>
      </w:tblGrid>
      <w:tr>
        <w:trPr/>
        <w:tc>
          <w:tcPr>
            <w:tcW w:w="122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variable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and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9.</w:t>
      </w:r>
      <w:r>
        <w:rPr>
          <w:rFonts w:ascii="Times New Roman;serif" w:hAnsi="Times New Roman;serif"/>
          <w:b/>
          <w:color w:val="000000"/>
          <w:sz w:val="20"/>
        </w:rPr>
        <w:t>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lease office facilities under operating lease agreements in the United States which have an initial term of longer than twelve months as of December 31, 2025. As of December 31, 2025, remaining lease terms vary from 10 months to 7 years. For one lease we have the option to extend the lease terms for an additional 5 year period. The renewal options are not considered in the remaining lease term as we are not reasonably certain that we will exercise such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 were as follows:</w:t>
      </w:r>
    </w:p>
    <w:tbl>
      <w:tblPr>
        <w:tblW w:w="5262" w:type="dxa"/>
        <w:jc w:val="left"/>
        <w:tblInd w:w="0" w:type="dxa"/>
        <w:tblLayout w:type="fixed"/>
        <w:tblCellMar>
          <w:top w:w="28" w:type="dxa"/>
          <w:left w:w="28" w:type="dxa"/>
          <w:bottom w:w="28" w:type="dxa"/>
          <w:right w:w="28" w:type="dxa"/>
        </w:tblCellMar>
      </w:tblPr>
      <w:tblGrid>
        <w:gridCol w:w="635"/>
        <w:gridCol w:w="558"/>
        <w:gridCol w:w="562"/>
        <w:gridCol w:w="211"/>
        <w:gridCol w:w="616"/>
        <w:gridCol w:w="109"/>
        <w:gridCol w:w="109"/>
        <w:gridCol w:w="109"/>
        <w:gridCol w:w="109"/>
        <w:gridCol w:w="211"/>
        <w:gridCol w:w="616"/>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2,639 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1,775 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6704" w:type="dxa"/>
        <w:jc w:val="left"/>
        <w:tblInd w:w="0" w:type="dxa"/>
        <w:tblLayout w:type="fixed"/>
        <w:tblCellMar>
          <w:top w:w="28" w:type="dxa"/>
          <w:left w:w="28" w:type="dxa"/>
          <w:bottom w:w="28" w:type="dxa"/>
          <w:right w:w="28" w:type="dxa"/>
        </w:tblCellMar>
      </w:tblPr>
      <w:tblGrid>
        <w:gridCol w:w="1488"/>
        <w:gridCol w:w="1306"/>
        <w:gridCol w:w="1315"/>
        <w:gridCol w:w="180"/>
        <w:gridCol w:w="181"/>
        <w:gridCol w:w="271"/>
        <w:gridCol w:w="109"/>
        <w:gridCol w:w="109"/>
        <w:gridCol w:w="109"/>
        <w:gridCol w:w="180"/>
        <w:gridCol w:w="181"/>
        <w:gridCol w:w="271"/>
        <w:gridCol w:w="109"/>
        <w:gridCol w:w="109"/>
        <w:gridCol w:w="109"/>
        <w:gridCol w:w="180"/>
        <w:gridCol w:w="181"/>
        <w:gridCol w:w="316"/>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Term and Discount Rate</w:t>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632"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271"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1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recording the present value of lease liabilities, a discount rate is required. We have concluded that the rates implicit in the various operating lease agreements are not readily determinable. As a result, we instead used our incremental borrowing rate, which is calculated based on hypothetical borrowings to fund each respective lease over the lease term, as of the lease commencement date, assuming that borrowings are secured by the various leased properties. The incremental borrowing rates are determined based on an assessment of our implied credit rating, using ratings scales from reputable rating agencies that consider a number of qualitative and quantitative factors. Market rates are derived as of the lease commencement dates with reference to companies with the same debt rating that operate in a similar industry.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maturities of lease liabilities were as follows:</w:t>
      </w:r>
    </w:p>
    <w:tbl>
      <w:tblPr>
        <w:tblW w:w="3836" w:type="dxa"/>
        <w:jc w:val="left"/>
        <w:tblInd w:w="0" w:type="dxa"/>
        <w:tblLayout w:type="fixed"/>
        <w:tblCellMar>
          <w:top w:w="28" w:type="dxa"/>
          <w:left w:w="28" w:type="dxa"/>
          <w:bottom w:w="28" w:type="dxa"/>
          <w:right w:w="28" w:type="dxa"/>
        </w:tblCellMar>
      </w:tblPr>
      <w:tblGrid>
        <w:gridCol w:w="877"/>
        <w:gridCol w:w="773"/>
        <w:gridCol w:w="776"/>
        <w:gridCol w:w="303"/>
        <w:gridCol w:w="886"/>
        <w:gridCol w:w="221"/>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1,130 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14"/>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firstLine="522"/>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firstLine="522"/>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(1,334)</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6"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firstLine="522"/>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6,083 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Supplemental cash flow information related to leases is included in </w:t>
      </w:r>
      <w:r>
        <w:rPr>
          <w:rFonts w:ascii="Times New Roman;serif" w:hAnsi="Times New Roman;serif"/>
          <w:b w:val="false"/>
          <w:i/>
          <w:color w:val="000000"/>
          <w:sz w:val="20"/>
        </w:rPr>
        <w:t>Note 14 – Supplemental Cash Flow Information.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involved in disputes or regulatory inquiries, which arise in the ordinary course of business. When we determine that a loss is both probable and reasonably estimable, a liability is recorded and disclosed if the amount is material to us in aggregate. When a material loss contingency is reasonably possible, we do not record a liability, but instead disclose the nature and the amount of the claim and an estimate of the loss or range of loss, if such an estimate can reasonably be made. While it is not feasible to predict or determine the ultimate outcome of these matters, the Company believes that none of its current legal proceedings will have a material adverse effect on its financial position or results of operations and no corresponding liability has been recorded for any periods presented.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November 22, 2024, the Company's former Chief Executive Officer, Mark Arnold ("Claimant"), filed a demand for arbitration ("Demand") with the American Arbitration Association ("AAA"). The Demand includes claims against MarketWise, Inc. and MarketWise, LLC (collectively, the "Respondent") for (i) breach of employment agreement between Claimant and Respondent dated December 1, 2019; (ii) breach of letter agreement between Claimant and Respondent dated November 17, 2022; and (iii) violation of the Maryland Payment and Collection Wage Act. Claimant seeks (i) money damages in excess of $9,000,000; (ii) treble damages pursuant to the Maryland Payment and Collection Wage Act; (iii) incidental and consequential damages; (iv) attorneys' fees and costs; and (v) prejudgment interest. We have defenses and intend to vigorously defend against the claims brought by Mark Arnold in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color w:val="000000"/>
          <w:sz w:val="20"/>
        </w:rPr>
        <w:t>10.</w:t>
      </w:r>
      <w:r>
        <w:rPr>
          <w:rFonts w:ascii="Times New Roman;serif" w:hAnsi="Times New Roman;serif"/>
          <w:b/>
          <w:color w:val="000000"/>
          <w:sz w:val="20"/>
        </w:rPr>
        <w:t>Stock-Based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years ended December 31, 2025, 2024 and 2023 we recorded stock-based compensation related to our 2021 Incentive Award Plan, profits interests, and our ESPP.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Included within cost of revenue, sales and marketing, and general and administrative expenses are stock-based compensation expenses as follows:</w:t>
      </w:r>
    </w:p>
    <w:tbl>
      <w:tblPr>
        <w:tblW w:w="7272" w:type="dxa"/>
        <w:jc w:val="left"/>
        <w:tblInd w:w="0" w:type="dxa"/>
        <w:tblLayout w:type="fixed"/>
        <w:tblCellMar>
          <w:top w:w="28" w:type="dxa"/>
          <w:left w:w="28" w:type="dxa"/>
          <w:bottom w:w="28" w:type="dxa"/>
          <w:right w:w="28" w:type="dxa"/>
        </w:tblCellMar>
      </w:tblPr>
      <w:tblGrid>
        <w:gridCol w:w="1247"/>
        <w:gridCol w:w="1099"/>
        <w:gridCol w:w="1104"/>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includes: expense related to our new 2021 Incentive Award Plan, our ESPP, and profits interests, as follows:</w:t>
      </w:r>
    </w:p>
    <w:tbl>
      <w:tblPr>
        <w:tblW w:w="7272" w:type="dxa"/>
        <w:jc w:val="left"/>
        <w:tblInd w:w="0" w:type="dxa"/>
        <w:tblLayout w:type="fixed"/>
        <w:tblCellMar>
          <w:top w:w="28" w:type="dxa"/>
          <w:left w:w="28" w:type="dxa"/>
          <w:bottom w:w="28" w:type="dxa"/>
          <w:right w:w="28" w:type="dxa"/>
        </w:tblCellMar>
      </w:tblPr>
      <w:tblGrid>
        <w:gridCol w:w="1250"/>
        <w:gridCol w:w="1099"/>
        <w:gridCol w:w="1101"/>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Incentive Award Plan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Profits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2021 Incentive Award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granted 207,873 restricted stock units to certain employees, service providers and members of our Board in aggregate under our 2021 Incentive Award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employees and service providers, both RSUs and SARs are primarily time-based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pStyle w:val="TextBody"/>
        <w:bidi w:val="0"/>
        <w:spacing w:lineRule="auto" w:line="288" w:before="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fair value of RSUs is the same as the Company’s share price on the date of grant. The fair value of the SARs was determined using a Black-Scholes model.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activities of the RSUs and SARs and the related weighted average grant-date fair value of the respective share classes, including granted, vested or exercised and forfeited, from January, 1 2023 to December 31, 2025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summarized as follows:</w:t>
      </w:r>
    </w:p>
    <w:tbl>
      <w:tblPr>
        <w:tblW w:w="10205" w:type="dxa"/>
        <w:jc w:val="left"/>
        <w:tblInd w:w="0" w:type="dxa"/>
        <w:tblLayout w:type="fixed"/>
        <w:tblCellMar>
          <w:top w:w="28" w:type="dxa"/>
          <w:left w:w="28" w:type="dxa"/>
          <w:bottom w:w="28" w:type="dxa"/>
          <w:right w:w="28" w:type="dxa"/>
        </w:tblCellMar>
      </w:tblPr>
      <w:tblGrid>
        <w:gridCol w:w="828"/>
        <w:gridCol w:w="677"/>
        <w:gridCol w:w="678"/>
        <w:gridCol w:w="109"/>
        <w:gridCol w:w="109"/>
        <w:gridCol w:w="487"/>
        <w:gridCol w:w="489"/>
        <w:gridCol w:w="161"/>
        <w:gridCol w:w="109"/>
        <w:gridCol w:w="109"/>
        <w:gridCol w:w="109"/>
        <w:gridCol w:w="529"/>
        <w:gridCol w:w="1550"/>
        <w:gridCol w:w="275"/>
        <w:gridCol w:w="109"/>
        <w:gridCol w:w="109"/>
        <w:gridCol w:w="109"/>
        <w:gridCol w:w="382"/>
        <w:gridCol w:w="384"/>
        <w:gridCol w:w="161"/>
        <w:gridCol w:w="109"/>
        <w:gridCol w:w="109"/>
        <w:gridCol w:w="109"/>
        <w:gridCol w:w="516"/>
        <w:gridCol w:w="1506"/>
        <w:gridCol w:w="383"/>
      </w:tblGrid>
      <w:tr>
        <w:trPr/>
        <w:tc>
          <w:tcPr>
            <w:tcW w:w="82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SARs</w:t>
            </w:r>
          </w:p>
        </w:tc>
      </w:tr>
      <w:tr>
        <w:trPr/>
        <w:tc>
          <w:tcPr>
            <w:tcW w:w="2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January 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313,077 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254,941 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(RSUs) or Exercised (SARs)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(112,995)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at January 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(RSUs) or Exercised (SARs)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1,269,883 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 (RSUs) or Exercised (SARs)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5" w:type="dxa"/>
            <w:gridSpan w:val="3"/>
            <w:tcBorders/>
            <w:vAlign w:val="center"/>
          </w:tcPr>
          <w:p>
            <w:pPr>
              <w:pStyle w:val="TableContents"/>
              <w:bidi w:val="0"/>
              <w:spacing w:before="0" w:after="283"/>
              <w:jc w:val="left"/>
              <w:rPr>
                <w:sz w:val="4"/>
                <w:szCs w:val="4"/>
              </w:rPr>
            </w:pPr>
            <w:r>
              <w:rPr>
                <w:sz w:val="4"/>
                <w:szCs w:val="4"/>
              </w:rPr>
            </w:r>
          </w:p>
        </w:tc>
      </w:tr>
      <w:tr>
        <w:trPr/>
        <w:tc>
          <w:tcPr>
            <w:tcW w:w="21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Outstanding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1,016,466 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Exercisable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58,208 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3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stock compensation expense related to the RSU and SAR grants was $11,254, $9,897 and $22,297 for the years ended December 31, 2025, 2024 and 2023, respectively. As of December 31, 2025, 58,208 SARs were exercisable and they have a remaining contractual term of 5.7 years. As of December 31, 2025, the outstanding RSUs have a weighted-average remaining contractual term of 2.5 years.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$52, $240 and $341 of stock-based compensation expense related to the ESPP during the years ended December 31, 2025, 2024 and 2023, respectively. The Company issued 25,852 shares of Class A common stock for $418 related to employee purchases under the ESPP during the year ended December 31,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Profits Interests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$(200), $2,065 and $746 of stock-based compensation expense related to the profits interests during the years ended December 31,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color w:val="000000"/>
          <w:sz w:val="20"/>
        </w:rPr>
        <w:t>11.</w:t>
      </w:r>
      <w:r>
        <w:rPr>
          <w:rFonts w:ascii="Times New Roman;serif" w:hAnsi="Times New Roman;serif"/>
          <w:b/>
          <w:color w:val="000000"/>
          <w:sz w:val="20"/>
        </w:rPr>
        <w:t>Earnings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respective periods:</w:t>
      </w:r>
    </w:p>
    <w:tbl>
      <w:tblPr>
        <w:tblW w:w="8562" w:type="dxa"/>
        <w:jc w:val="left"/>
        <w:tblInd w:w="0" w:type="dxa"/>
        <w:tblLayout w:type="fixed"/>
        <w:tblCellMar>
          <w:top w:w="28" w:type="dxa"/>
          <w:left w:w="28" w:type="dxa"/>
          <w:bottom w:w="28" w:type="dxa"/>
          <w:right w:w="28" w:type="dxa"/>
        </w:tblCellMar>
      </w:tblPr>
      <w:tblGrid>
        <w:gridCol w:w="1716"/>
        <w:gridCol w:w="1507"/>
        <w:gridCol w:w="1517"/>
        <w:gridCol w:w="211"/>
        <w:gridCol w:w="721"/>
        <w:gridCol w:w="109"/>
        <w:gridCol w:w="109"/>
        <w:gridCol w:w="109"/>
        <w:gridCol w:w="109"/>
        <w:gridCol w:w="211"/>
        <w:gridCol w:w="721"/>
        <w:gridCol w:w="109"/>
        <w:gridCol w:w="109"/>
        <w:gridCol w:w="109"/>
        <w:gridCol w:w="109"/>
        <w:gridCol w:w="211"/>
        <w:gridCol w:w="721"/>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(in thousands)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share</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potentially dilutive securities and their impact on the computation of dilutive earnings per share are as follows: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Sponsor and MarketWise Management Member Earnout Shares: the 152,550 Sponsor Earnout Shares and the 99,998 MarketWise Management Member Earnout Shares held in escrow were excluded from the earnings per share computation in the 2024 periods since the earnout contingency had not been met. In July 2025, the earnout period for all 252,548 previously escrowed Management Member Earnout Shares and Sponsor Earnout Shares (“EO Shares”) expired. As a result, there was no dilution to other shareholders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related to this arrangement. As a result of the EO Shares expiration, the Company reversed $1,263 in cumulative dividends that had been accrued attributable to the EO Shares during the earnout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Restricted stock units: The basic earnings per share calculation includes the impact of vested RSUs. The diluted earnings per share calculation includes the impact of unvested RSUs, where the impact is dilutive, unless the Company has a net loss.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Stock appreciation rights: The diluted earnings per share calculation excludes the impact of SARs since the effect was antidilutive.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ESPP: The basic earnings per share calculation includes the impact of the shares that were issued under the ESPP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that were not included in the diluted per share calculations because they would be anti-dilutive were as follows (in thousands):</w:t>
      </w:r>
    </w:p>
    <w:tbl>
      <w:tblPr>
        <w:tblW w:w="5715" w:type="dxa"/>
        <w:jc w:val="left"/>
        <w:tblInd w:w="0" w:type="dxa"/>
        <w:tblLayout w:type="fixed"/>
        <w:tblCellMar>
          <w:top w:w="28" w:type="dxa"/>
          <w:left w:w="28" w:type="dxa"/>
          <w:bottom w:w="28" w:type="dxa"/>
          <w:right w:w="28" w:type="dxa"/>
        </w:tblCellMar>
      </w:tblPr>
      <w:tblGrid>
        <w:gridCol w:w="1087"/>
        <w:gridCol w:w="955"/>
        <w:gridCol w:w="958"/>
        <w:gridCol w:w="233"/>
        <w:gridCol w:w="233"/>
        <w:gridCol w:w="156"/>
        <w:gridCol w:w="132"/>
        <w:gridCol w:w="132"/>
        <w:gridCol w:w="132"/>
        <w:gridCol w:w="233"/>
        <w:gridCol w:w="233"/>
        <w:gridCol w:w="156"/>
        <w:gridCol w:w="132"/>
        <w:gridCol w:w="132"/>
        <w:gridCol w:w="132"/>
        <w:gridCol w:w="232"/>
        <w:gridCol w:w="234"/>
        <w:gridCol w:w="213"/>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RSUs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subject to outstanding SARs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12.</w:t>
      </w:r>
      <w:r>
        <w:rPr>
          <w:rFonts w:ascii="Times New Roman;serif" w:hAnsi="Times New Roman;serif"/>
          <w:b/>
          <w:color w:val="000000"/>
          <w:sz w:val="20"/>
        </w:rPr>
        <w:t xml:space="preserve">Income Taxes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 </w:t>
      </w:r>
      <w:r>
        <w:rPr>
          <w:rFonts w:ascii="Times New Roman;serif" w:hAnsi="Times New Roman;serif"/>
          <w:b w:val="false"/>
          <w:color w:val="000000"/>
          <w:sz w:val="20"/>
          <w:shd w:fill="FFFFFF" w:val="clear"/>
        </w:rPr>
        <w:t xml:space="preserve">The Company has no foreign components of income in the years ending December 31, 2025, 2024 and 2023.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income tax expense consisted of the following:</w:t>
      </w:r>
    </w:p>
    <w:tbl>
      <w:tblPr>
        <w:tblW w:w="6762" w:type="dxa"/>
        <w:jc w:val="left"/>
        <w:tblInd w:w="0" w:type="dxa"/>
        <w:tblLayout w:type="fixed"/>
        <w:tblCellMar>
          <w:top w:w="28" w:type="dxa"/>
          <w:left w:w="28" w:type="dxa"/>
          <w:bottom w:w="28" w:type="dxa"/>
          <w:right w:w="28" w:type="dxa"/>
        </w:tblCellMar>
      </w:tblPr>
      <w:tblGrid>
        <w:gridCol w:w="1179"/>
        <w:gridCol w:w="1034"/>
        <w:gridCol w:w="1042"/>
        <w:gridCol w:w="211"/>
        <w:gridCol w:w="616"/>
        <w:gridCol w:w="109"/>
        <w:gridCol w:w="109"/>
        <w:gridCol w:w="109"/>
        <w:gridCol w:w="109"/>
        <w:gridCol w:w="211"/>
        <w:gridCol w:w="616"/>
        <w:gridCol w:w="109"/>
        <w:gridCol w:w="109"/>
        <w:gridCol w:w="109"/>
        <w:gridCol w:w="109"/>
        <w:gridCol w:w="211"/>
        <w:gridCol w:w="616"/>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 (benefit):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(benefit):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reconciliation of the U.S. statutory income tax rate to the Company's effective income tax rate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tbl>
      <w:tblPr>
        <w:tblW w:w="10205" w:type="dxa"/>
        <w:jc w:val="left"/>
        <w:tblInd w:w="0" w:type="dxa"/>
        <w:tblLayout w:type="fixed"/>
        <w:tblCellMar>
          <w:top w:w="28" w:type="dxa"/>
          <w:left w:w="28" w:type="dxa"/>
          <w:bottom w:w="28" w:type="dxa"/>
          <w:right w:w="28" w:type="dxa"/>
        </w:tblCellMar>
      </w:tblPr>
      <w:tblGrid>
        <w:gridCol w:w="1178"/>
        <w:gridCol w:w="686"/>
        <w:gridCol w:w="691"/>
        <w:gridCol w:w="211"/>
        <w:gridCol w:w="751"/>
        <w:gridCol w:w="109"/>
        <w:gridCol w:w="109"/>
        <w:gridCol w:w="109"/>
        <w:gridCol w:w="109"/>
        <w:gridCol w:w="322"/>
        <w:gridCol w:w="323"/>
        <w:gridCol w:w="271"/>
        <w:gridCol w:w="109"/>
        <w:gridCol w:w="109"/>
        <w:gridCol w:w="109"/>
        <w:gridCol w:w="211"/>
        <w:gridCol w:w="751"/>
        <w:gridCol w:w="109"/>
        <w:gridCol w:w="109"/>
        <w:gridCol w:w="109"/>
        <w:gridCol w:w="109"/>
        <w:gridCol w:w="322"/>
        <w:gridCol w:w="323"/>
        <w:gridCol w:w="271"/>
        <w:gridCol w:w="109"/>
        <w:gridCol w:w="109"/>
        <w:gridCol w:w="109"/>
        <w:gridCol w:w="211"/>
        <w:gridCol w:w="751"/>
        <w:gridCol w:w="109"/>
        <w:gridCol w:w="109"/>
        <w:gridCol w:w="109"/>
        <w:gridCol w:w="109"/>
        <w:gridCol w:w="322"/>
        <w:gridCol w:w="323"/>
        <w:gridCol w:w="325"/>
      </w:tblGrid>
      <w:tr>
        <w:trPr/>
        <w:tc>
          <w:tcPr>
            <w:tcW w:w="117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State and Local Taxes, net of Federal Income Tax Effect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Tax Laws or Rates Enacted in the Current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non-controlling interests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attributable to flow-thru partnerships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income tax rate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(1) State taxes in California, Florida, Illinois and New York made up the majority (greater than 50%) of the tax effect in this category</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effective tax rate was 3.84%, 3.37%, and 3.21% in 2025, 2024, and 2023 respectively, in comparison to the U.S. statutory rate of 21.00%. Our effective tax rates in 2025, 2024, and 2023 differ from the U.S. federal statutory rate primarily because we generally do not record income taxes for the noncontrolling portion of pre-tax income. Further, the year over year difference includes the effects of the change in income allocation to the noncontrolling interest, partially offsetting the increase in the state tax apportionment.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Details of the Company’s deferred tax assets and liabilities are as follows:</w:t>
      </w:r>
    </w:p>
    <w:tbl>
      <w:tblPr>
        <w:tblW w:w="6042" w:type="dxa"/>
        <w:jc w:val="left"/>
        <w:tblInd w:w="0" w:type="dxa"/>
        <w:tblLayout w:type="fixed"/>
        <w:tblCellMar>
          <w:top w:w="28" w:type="dxa"/>
          <w:left w:w="28" w:type="dxa"/>
          <w:bottom w:w="28" w:type="dxa"/>
          <w:right w:w="28" w:type="dxa"/>
        </w:tblCellMar>
      </w:tblPr>
      <w:tblGrid>
        <w:gridCol w:w="1259"/>
        <w:gridCol w:w="1106"/>
        <w:gridCol w:w="1114"/>
        <w:gridCol w:w="211"/>
        <w:gridCol w:w="721"/>
        <w:gridCol w:w="109"/>
        <w:gridCol w:w="109"/>
        <w:gridCol w:w="109"/>
        <w:gridCol w:w="109"/>
        <w:gridCol w:w="211"/>
        <w:gridCol w:w="721"/>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154" w:type="dxa"/>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MarketWise, LLC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flow-through partnerships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Receivable Agreement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Charitable contributions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capitalization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Deferred tax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deferred tax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had a federal net operating loss carryforward (“NOL”) of $4,754 and $5,938, which can be carried forward indefinitely as of December 31, 2025 and 2024, respectively. We also had state net operating losses of $2,530 and $0 as of December 31, 2025 and 2024, respectively, with various carryforward periods. As of December 31, 2025 and 2024, it is more likely than not that future operations will generate sufficient taxable income to realize the NOL and therefore, no valuation allowance was recorded on the NOL.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 Transactions,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evaluating the need for a valuation allowance on the deferred tax asset, the Company considered positive evidence related to its historic earnings, forecasted income and reversal of temporary differences. Therefore, the Company recorded a valuation allowance of $32,192 and $30,944 for the periods ending December 31, 2025 and 2024 respectively, related to the deferred tax asset associated with the Investment in Partnership.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deferred tax asset is remeasured at the end of the reporting period to reflect the change in relative ownership of MarketWise, LLC held by the Company. The impact of the remeasurement of the noncontrolling interest is reflected in the consolidated statements of stockholders’ deficit.</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did not record any penalties or interest related to uncertain tax positions, as management has concluded that no such positions exist, on the consolidated balance sheets as of </w:t>
      </w:r>
      <w:r>
        <w:rPr>
          <w:rFonts w:ascii="Times New Roman;serif" w:hAnsi="Times New Roman;serif"/>
          <w:b w:val="false"/>
          <w:color w:val="000000"/>
          <w:sz w:val="20"/>
        </w:rPr>
        <w:t>December 31, 2025 and 2024</w:t>
      </w:r>
      <w:r>
        <w:rPr>
          <w:rFonts w:ascii="Times New Roman;serif" w:hAnsi="Times New Roman;serif"/>
          <w:b w:val="false"/>
          <w:color w:val="000000"/>
          <w:sz w:val="20"/>
          <w:shd w:fill="FFFFFF" w:val="clear"/>
        </w:rPr>
        <w:t>. The Company does not expect any changes to uncertain tax positions within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Company is subject to examination for tax years beginning with the year e</w:t>
      </w:r>
      <w:r>
        <w:rPr>
          <w:rFonts w:ascii="Times New Roman;serif" w:hAnsi="Times New Roman;serif"/>
          <w:b w:val="false"/>
          <w:color w:val="000000"/>
          <w:sz w:val="20"/>
        </w:rPr>
        <w:t xml:space="preserve">nded December 31, 2021. The Company had been under IRS examination of MarketWise, LLC for tax year 2020, and received final written confirmation in 2024 that the audit was completed with no changes. </w:t>
      </w:r>
      <w:r>
        <w:rPr>
          <w:rFonts w:ascii="Times New Roman;serif" w:hAnsi="Times New Roman;serif"/>
          <w:b w:val="false"/>
          <w:color w:val="000000"/>
          <w:sz w:val="20"/>
          <w:shd w:fill="FFFFFF" w:val="clear"/>
        </w:rPr>
        <w:t>The Company is currently under IRS examination of Stansberry China, LLC for tax year 2021</w:t>
      </w:r>
      <w:r>
        <w:rPr>
          <w:rFonts w:ascii="Times New Roman;serif" w:hAnsi="Times New Roman;serif"/>
          <w:b w:val="false"/>
          <w:color w:val="000000"/>
          <w:sz w:val="20"/>
        </w:rPr>
        <w:t>, and currently is awaiting responses to the first round of IDR responses.</w:t>
      </w:r>
      <w:r>
        <w:rPr>
          <w:color w:val="000000"/>
          <w:shd w:fill="FFFFFF" w:val="clear"/>
        </w:rPr>
        <w:t xml:space="preserve"> </w:t>
      </w:r>
      <w:r>
        <w:rPr>
          <w:rFonts w:ascii="Times New Roman;serif" w:hAnsi="Times New Roman;serif"/>
          <w:b w:val="false"/>
          <w:color w:val="000000"/>
          <w:sz w:val="20"/>
        </w:rPr>
        <w:t xml:space="preserve">The Company is not currently subject to income tax audits in any state jurisdictions for any tax year.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One Big Beautiful Bill was enacted on July 4, 2025. The legislation did not have a material impact on the financial statements for the year ended December 31, 2025 and the Company will continue to evaluate the impact of the legislation through subsequent periods.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Tax Receivable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Transactions,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that we anticipate to be able to utilize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Members of MarketWise, LLC exchanged an aggregate of 381,857 common units of MarketWise, LLC (“LLC Units”) together with an equal number of shares of Class B common stock for 381,857 newly-issued shares of Class A common stock. As a result, we have recorded a cumulative liability of $4,260 under the TRA as of December 31, 2025. No payments have been made under the TRA and no significant payments are expected in the next 12 months.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Income taxes paid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Details of the Company’s income taxes paid, net of refunds received, are as follows:</w:t>
      </w:r>
    </w:p>
    <w:tbl>
      <w:tblPr>
        <w:tblW w:w="5937" w:type="dxa"/>
        <w:jc w:val="left"/>
        <w:tblInd w:w="0" w:type="dxa"/>
        <w:tblLayout w:type="fixed"/>
        <w:tblCellMar>
          <w:top w:w="28" w:type="dxa"/>
          <w:left w:w="28" w:type="dxa"/>
          <w:bottom w:w="28" w:type="dxa"/>
          <w:right w:w="28" w:type="dxa"/>
        </w:tblCellMar>
      </w:tblPr>
      <w:tblGrid>
        <w:gridCol w:w="1065"/>
        <w:gridCol w:w="936"/>
        <w:gridCol w:w="939"/>
        <w:gridCol w:w="211"/>
        <w:gridCol w:w="466"/>
        <w:gridCol w:w="109"/>
        <w:gridCol w:w="109"/>
        <w:gridCol w:w="109"/>
        <w:gridCol w:w="109"/>
        <w:gridCol w:w="211"/>
        <w:gridCol w:w="466"/>
        <w:gridCol w:w="109"/>
        <w:gridCol w:w="109"/>
        <w:gridCol w:w="109"/>
        <w:gridCol w:w="109"/>
        <w:gridCol w:w="211"/>
        <w:gridCol w:w="406"/>
        <w:gridCol w:w="15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 (benefit)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Income taxes paid, net of refunds, that exceeded 5 percent of total taxes paid, net of refunds, in the following jurisdictions:</w:t>
      </w:r>
    </w:p>
    <w:tbl>
      <w:tblPr>
        <w:tblW w:w="7484" w:type="dxa"/>
        <w:jc w:val="left"/>
        <w:tblInd w:w="0" w:type="dxa"/>
        <w:tblLayout w:type="fixed"/>
        <w:tblCellMar>
          <w:top w:w="28" w:type="dxa"/>
          <w:left w:w="28" w:type="dxa"/>
          <w:bottom w:w="28" w:type="dxa"/>
          <w:right w:w="28" w:type="dxa"/>
        </w:tblCellMar>
      </w:tblPr>
      <w:tblGrid>
        <w:gridCol w:w="1760"/>
        <w:gridCol w:w="1554"/>
        <w:gridCol w:w="1576"/>
        <w:gridCol w:w="216"/>
        <w:gridCol w:w="219"/>
        <w:gridCol w:w="156"/>
        <w:gridCol w:w="132"/>
        <w:gridCol w:w="132"/>
        <w:gridCol w:w="132"/>
        <w:gridCol w:w="218"/>
        <w:gridCol w:w="218"/>
        <w:gridCol w:w="156"/>
        <w:gridCol w:w="132"/>
        <w:gridCol w:w="132"/>
        <w:gridCol w:w="132"/>
        <w:gridCol w:w="203"/>
        <w:gridCol w:w="203"/>
        <w:gridCol w:w="213"/>
      </w:tblGrid>
      <w:tr>
        <w:trPr/>
        <w:tc>
          <w:tcPr>
            <w:tcW w:w="1760"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state</w:t>
            </w:r>
          </w:p>
        </w:tc>
        <w:tc>
          <w:tcPr>
            <w:tcW w:w="5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Jersey</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i/>
                <w:color w:val="000000"/>
                <w:sz w:val="20"/>
              </w:rPr>
              <w:t>Jurisdiction below the threshold for the period presented</w:t>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13.</w:t>
      </w:r>
      <w:r>
        <w:rPr>
          <w:rFonts w:ascii="Times New Roman;serif" w:hAnsi="Times New Roman;serif"/>
          <w:b/>
          <w:color w:val="000000"/>
          <w:sz w:val="20"/>
        </w:rPr>
        <w:t>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certain revenue share agreements with related parties. Accordingly, we recognized revenue from related parties of $2,414, $3,344 and $4,937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incurred costs related to revenue share agreements with related parties which are capitalized within deferred contract acquisition costs. We capitalized $4,696, $3,281 and $6,578 for the years ended December 31, 2025, 2024 and 2023,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a related party provided call center support and other services to the Company for which we recorded an expense within cost of revenue of $384, $326 and $511 for the years ended December 31, 2025, 2024 and 2023,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related party provided marketing and copywriting services to the Company for which we recorded an expense within cost of revenue of $554, $897 and $1,845 for the years ended December 31, 2025, 2024 and 2023,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related party also provided certain corporate functions to the Company and the costs of these services are recorded within related party expense in the accompanying consolidated statement of operations. We recorded $89, $94 and $102 for the years ended December 31, 2025, 2024 and 2023, respectively. We held balances of $502 and $354 as of December 31, 2025 and December 31, 2024 of related party payables related to revenue share expenses, call center support, and the services noted above. The balances with this related party are presented net and are included in related party payables in the consolidated balance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earned fees and provided certain accounting and marketing services to companies owned by certain Class B unitholders. As a result, we recognized $420, $469 and $737 in other income, net for the years ended December 31, 2025, 2024 and 2023, respectively. Related party receivables related to these services were $176 and $194 as of December 31, 2025 and 2024,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lease offices from related parties. In July 2025, we executed an amendment to a headquarters lease to extend the lease end date from 2026 to 2032. The amendment was accounted for as a modification, which increased the ROU asset (net of an improvement allowance of $678) and lease liability by $4,814 and $5,493, respectively. We lease offices from related parties. Lease payments made to related parties were $1,987, $1,744 and $1,800 for the years ended December 31, 2025, 2024 and 2023, respectively, and rent expense of $1,706, $2,396 and $2,438 were recognized in general and administrative expenses for the years ended December 31, 2025, 2024 and 2023, respectively, related to leases with related parties. At December 31, 2025 and 2024, respectively, ROU assets of $6,684 and $3,172 and lease liabilities of $6,083 and $4,335 are associated with leases with related parties. Additionally, we paid $700 in lease termination fees related to our former Legacy Research lease during the year ended December 31, 2025. For more information, see Note 8 – Balance Sheet Components.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pPr>
      <w:r>
        <w:rPr>
          <w:rFonts w:ascii="Times New Roman;serif" w:hAnsi="Times New Roman;serif"/>
          <w:b/>
          <w:color w:val="000000"/>
          <w:sz w:val="20"/>
        </w:rPr>
        <w:t>14.</w:t>
      </w:r>
      <w:r>
        <w:rPr>
          <w:rFonts w:ascii="Times New Roman;serif" w:hAnsi="Times New Roman;serif"/>
          <w:b/>
          <w:color w:val="000000"/>
          <w:sz w:val="20"/>
        </w:rPr>
        <w:t>Supplemental Cash Flow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cash flow disclosures are as follows:</w:t>
      </w:r>
    </w:p>
    <w:tbl>
      <w:tblPr>
        <w:tblW w:w="10205" w:type="dxa"/>
        <w:jc w:val="left"/>
        <w:tblInd w:w="0" w:type="dxa"/>
        <w:tblLayout w:type="fixed"/>
        <w:tblCellMar>
          <w:top w:w="28" w:type="dxa"/>
          <w:left w:w="28" w:type="dxa"/>
          <w:bottom w:w="28" w:type="dxa"/>
          <w:right w:w="28" w:type="dxa"/>
        </w:tblCellMar>
      </w:tblPr>
      <w:tblGrid>
        <w:gridCol w:w="2168"/>
        <w:gridCol w:w="1886"/>
        <w:gridCol w:w="1895"/>
        <w:gridCol w:w="211"/>
        <w:gridCol w:w="721"/>
        <w:gridCol w:w="109"/>
        <w:gridCol w:w="109"/>
        <w:gridCol w:w="109"/>
        <w:gridCol w:w="109"/>
        <w:gridCol w:w="211"/>
        <w:gridCol w:w="721"/>
        <w:gridCol w:w="109"/>
        <w:gridCol w:w="109"/>
        <w:gridCol w:w="109"/>
        <w:gridCol w:w="109"/>
        <w:gridCol w:w="211"/>
        <w:gridCol w:w="826"/>
        <w:gridCol w:w="109"/>
        <w:gridCol w:w="109"/>
        <w:gridCol w:w="109"/>
        <w:gridCol w:w="156"/>
      </w:tblGrid>
      <w:tr>
        <w:trPr/>
        <w:tc>
          <w:tcPr>
            <w:tcW w:w="2168"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lease obligations from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included in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included in accounts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and Cash Equivalents and Restricted Cash:</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15.</w:t>
      </w:r>
      <w:r>
        <w:rPr>
          <w:rFonts w:ascii="Times New Roman;serif" w:hAnsi="Times New Roman;serif"/>
          <w:b/>
          <w:color w:val="000000"/>
          <w:sz w:val="20"/>
        </w:rPr>
        <w:t>Stockholders’ Equity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capital stock consists of (i) issued and outstanding Class A common stock with a par value of $0.0001 per share, and (ii) issued and outstanding Class B common stock with a par value of $0.0001 per share.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 set forth below reflects information about the Company’s equity as of December 31, 2025.</w:t>
      </w:r>
    </w:p>
    <w:tbl>
      <w:tblPr>
        <w:tblW w:w="6890" w:type="dxa"/>
        <w:jc w:val="left"/>
        <w:tblInd w:w="0" w:type="dxa"/>
        <w:tblLayout w:type="fixed"/>
        <w:tblCellMar>
          <w:top w:w="28" w:type="dxa"/>
          <w:left w:w="28" w:type="dxa"/>
          <w:bottom w:w="28" w:type="dxa"/>
          <w:right w:w="28" w:type="dxa"/>
        </w:tblCellMar>
      </w:tblPr>
      <w:tblGrid>
        <w:gridCol w:w="711"/>
        <w:gridCol w:w="625"/>
        <w:gridCol w:w="628"/>
        <w:gridCol w:w="592"/>
        <w:gridCol w:w="594"/>
        <w:gridCol w:w="306"/>
        <w:gridCol w:w="109"/>
        <w:gridCol w:w="109"/>
        <w:gridCol w:w="109"/>
        <w:gridCol w:w="540"/>
        <w:gridCol w:w="541"/>
        <w:gridCol w:w="181"/>
        <w:gridCol w:w="109"/>
        <w:gridCol w:w="109"/>
        <w:gridCol w:w="109"/>
        <w:gridCol w:w="540"/>
        <w:gridCol w:w="541"/>
        <w:gridCol w:w="43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47,500,000 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2,445,010 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2,445,010 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13,612,641 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13,612,641 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162,500,000 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16,057,651 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16,057,651 </w:t>
            </w:r>
          </w:p>
        </w:tc>
        <w:tc>
          <w:tcPr>
            <w:tcW w:w="4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Each share of Class A and Class B common stock entitles the holder one vote per share. Holders of Class A common stock have the right to receive dividends while holders of class B common stock have the right to receive a proportionate amount of distributions.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paid quarterly dividends on shares of our Class A common stock. Our continued declaration and payment of dividends and institution of any other distributions of capital to shareholders will nonetheless be at the discretion of our Board and will depend on many factors, including our earnings, financial condition and results of operations, capital requirements, level of indebtedness, contractual restrictions with respect to payment of dividends, ability to obtain cash or other assets from our subsidiaries, restrictions imposed by applicable law, general business conditions and other factors that our Board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dividends on shares of Class A common stock and other distributions on LLC Units declared during the year ended December 31, 2025, on a split adjusted basis, were as follows:</w:t>
      </w:r>
    </w:p>
    <w:tbl>
      <w:tblPr>
        <w:tblW w:w="8641" w:type="dxa"/>
        <w:jc w:val="left"/>
        <w:tblInd w:w="0" w:type="dxa"/>
        <w:tblLayout w:type="fixed"/>
        <w:tblCellMar>
          <w:top w:w="28" w:type="dxa"/>
          <w:left w:w="28" w:type="dxa"/>
          <w:bottom w:w="28" w:type="dxa"/>
          <w:right w:w="28" w:type="dxa"/>
        </w:tblCellMar>
      </w:tblPr>
      <w:tblGrid>
        <w:gridCol w:w="276"/>
        <w:gridCol w:w="243"/>
        <w:gridCol w:w="247"/>
        <w:gridCol w:w="529"/>
        <w:gridCol w:w="529"/>
        <w:gridCol w:w="532"/>
        <w:gridCol w:w="572"/>
        <w:gridCol w:w="572"/>
        <w:gridCol w:w="581"/>
        <w:gridCol w:w="211"/>
        <w:gridCol w:w="511"/>
        <w:gridCol w:w="109"/>
        <w:gridCol w:w="109"/>
        <w:gridCol w:w="109"/>
        <w:gridCol w:w="109"/>
        <w:gridCol w:w="211"/>
        <w:gridCol w:w="616"/>
        <w:gridCol w:w="109"/>
        <w:gridCol w:w="109"/>
        <w:gridCol w:w="109"/>
        <w:gridCol w:w="109"/>
        <w:gridCol w:w="211"/>
        <w:gridCol w:w="511"/>
        <w:gridCol w:w="109"/>
        <w:gridCol w:w="109"/>
        <w:gridCol w:w="109"/>
        <w:gridCol w:w="109"/>
        <w:gridCol w:w="211"/>
        <w:gridCol w:w="616"/>
        <w:gridCol w:w="154"/>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Type</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declared</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paid</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15, 2025</w:t>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26,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25,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Regular</w:t>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24,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w:t>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24,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February 28, 2025, the Company announced that the Board authorized a stock repurchase program of up to $50 million of Class A common stock. Repurchases of Class A common stock may be made from time to time, either through open market transactions (including pre-set trading plans) or through other transactions, at the discretion of the management of the Company and in accordance with the limitations set forth in Rule 10b-18 promulgated under the Securities Exchange Act of 1934, as amended, and other applicable securities laws. The timing of the repurchases will depend on market conditions and other requirements. Repurchases under the program have been authorized for a period of one year but the program may be modified, suspended, or terminated at any time. The share repurchase program does not obligate the Company to repurchase any dollar amount or number of shares. During the year ended December 31, 2025, we repurchased 209,726 shares totaling $3,379 in the aggregate, including fees and commissions of $6.</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29, 2025, the Company announced that it had received a proposal from Monument &amp; Cathedral Holdings, LLC (collectively with its affiliates, “M&amp;C”) to acquire all of the outstanding equity interests of the Company and MarketWise, LLC that are not owned by M&amp;C. In connection with the Proposal, the Company suspended repurchases under its stock repurchase program effective October 30, 2025. The Company confirmed publicly on February 18, 2026 that M&amp;C had withdrawn its Proposal. The stock repurchase program remains authorized and the Company plans to resume repurchases after filing this annual report.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each share of Class A common stock the Company repurchased under the share repurchase program, MarketWise, LLC, the Company’s direct subsidiary, redeemed one LLC Unit held by the Company, decreasing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percentage ownership of MarketWise, LLC by the Company and relatively increasing the ownership by the other unitholders.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16.</w:t>
      </w:r>
      <w:r>
        <w:rPr>
          <w:rFonts w:ascii="Times New Roman;serif" w:hAnsi="Times New Roman;serif"/>
          <w:b/>
          <w:color w:val="000000"/>
          <w:sz w:val="20"/>
        </w:rPr>
        <w:t xml:space="preserve">Segment Reporting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monitors financial results for internal purposes that are not prepared in accordance with GAAP (“Adjusted Basis”) because these results more closely align to how the business generates and uses cash.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CODM uses Adjusted Net Profit (Loss) as the key performance measure for evaluating segment income or loss on a monthly basis when assessing segment performance and when making decisions about how to allocate operating resources, such as marketing spend and determining variable compensation for certain employees.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primary components of the “Corporate and all other” line in the following tables include certain corporate overhead charges, expenses that have not been allocated to the reportable segment, including corporate functions, taxes, and activity related to components that is below quantitative threshold for separate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reportable segment Adjusted Basis Net Profit (Loss) to the consolidated totals are as follows:</w:t>
      </w:r>
    </w:p>
    <w:tbl>
      <w:tblPr>
        <w:tblW w:w="10205" w:type="dxa"/>
        <w:jc w:val="left"/>
        <w:tblInd w:w="0" w:type="dxa"/>
        <w:tblLayout w:type="fixed"/>
        <w:tblCellMar>
          <w:top w:w="28" w:type="dxa"/>
          <w:left w:w="28" w:type="dxa"/>
          <w:bottom w:w="28" w:type="dxa"/>
          <w:right w:w="28" w:type="dxa"/>
        </w:tblCellMar>
      </w:tblPr>
      <w:tblGrid>
        <w:gridCol w:w="2247"/>
        <w:gridCol w:w="1903"/>
        <w:gridCol w:w="1916"/>
        <w:gridCol w:w="211"/>
        <w:gridCol w:w="826"/>
        <w:gridCol w:w="109"/>
        <w:gridCol w:w="109"/>
        <w:gridCol w:w="109"/>
        <w:gridCol w:w="109"/>
        <w:gridCol w:w="211"/>
        <w:gridCol w:w="826"/>
        <w:gridCol w:w="109"/>
        <w:gridCol w:w="109"/>
        <w:gridCol w:w="109"/>
        <w:gridCol w:w="109"/>
        <w:gridCol w:w="211"/>
        <w:gridCol w:w="826"/>
        <w:gridCol w:w="156"/>
      </w:tblGrid>
      <w:tr>
        <w:trPr/>
        <w:tc>
          <w:tcPr>
            <w:tcW w:w="2247"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93" w:type="dxa"/>
            <w:gridSpan w:val="12"/>
            <w:tcBorders/>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net revenue for reportable segment</w:t>
            </w:r>
            <w:r>
              <w:rPr>
                <w:color w:val="000000"/>
              </w:rPr>
              <w:t xml:space="preserve"> </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to total net revenue for reportable segment </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Variable expense </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 share expense </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Direct marketing </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and outside labor </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overhead </w:t>
            </w:r>
            <w:r>
              <w:rPr>
                <w:rFonts w:ascii="Times New Roman;serif" w:hAnsi="Times New Roman;serif"/>
                <w:b w:val="false"/>
                <w:color w:val="000000"/>
                <w:sz w:val="13"/>
              </w:rPr>
              <w:t>(c)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allocations </w:t>
            </w:r>
            <w:r>
              <w:rPr>
                <w:rFonts w:ascii="Times New Roman;serif" w:hAnsi="Times New Roman;serif"/>
                <w:b w:val="false"/>
                <w:color w:val="000000"/>
                <w:sz w:val="13"/>
              </w:rPr>
              <w:t>(c)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 Adjusted Net Profit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of Adjusted Net Profit (Loss) to consolidated income before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 Adjusted Net Profit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to total net revenue </w:t>
            </w:r>
            <w:r>
              <w:rPr>
                <w:rFonts w:ascii="Times New Roman;serif" w:hAnsi="Times New Roman;serif"/>
                <w:b w:val="false"/>
                <w:color w:val="000000"/>
                <w:sz w:val="13"/>
              </w:rPr>
              <w:t>(b)</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contract acquisition costs </w:t>
            </w:r>
            <w:r>
              <w:rPr>
                <w:rFonts w:ascii="Times New Roman;serif" w:hAnsi="Times New Roman;serif"/>
                <w:b w:val="false"/>
                <w:color w:val="000000"/>
                <w:sz w:val="13"/>
              </w:rPr>
              <w: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Depreciation and amortization </w:t>
            </w:r>
            <w:r>
              <w:rPr>
                <w:rFonts w:ascii="Times New Roman;serif" w:hAnsi="Times New Roman;serif"/>
                <w:b w:val="false"/>
                <w:color w:val="000000"/>
                <w:sz w:val="13"/>
              </w:rPr>
              <w:t>(f)(g)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income before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(a)total net revenue for reportable segment is in accordance with GAAP</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(b)subscription revenue, revenue share and other income are generally recognized on a cash basis under Adjusted Basis, rather than deferred and recognized over the subscription term or when earned in accordance with ASC 606</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(c)amounts represent Adjusted Basis</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(d)amounts represent stock-based compensation expense</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(e)costs to obtain a contract are expensed under Adjusted Basis, rather than capitalized as deferred contract acquisition costs and subsequently amortized in accordance with ASC 340</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(f)certain operating leases are recognized on a cash basis under Adjusted Basis, rather than initially recognizing right-of-use assets and lease liabilities, which are subsequently amortized over the lease term in accordance with ASC 842</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(g)certain intangible assets arising from business combinations are not recognized upon acquisition and subsequently amortized in accordance with ASC 805 under Adjusted Basis</w:t>
      </w:r>
    </w:p>
    <w:p>
      <w:pPr>
        <w:pStyle w:val="TextBody"/>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(h)other line includes various items that are recognized differently under Adjusted Basis, software development and implementation related costs, including implementation costs of cloud computing arrangements, employee benefit related items, gain on lease termination, change in fair value of contingent consideration, and certain tax related items.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reconciliation of reportable segment revenues to the consolidated totals are as follows:</w:t>
      </w:r>
    </w:p>
    <w:tbl>
      <w:tblPr>
        <w:tblW w:w="7541" w:type="dxa"/>
        <w:jc w:val="left"/>
        <w:tblInd w:w="0" w:type="dxa"/>
        <w:tblLayout w:type="fixed"/>
        <w:tblCellMar>
          <w:top w:w="28" w:type="dxa"/>
          <w:left w:w="28" w:type="dxa"/>
          <w:bottom w:w="28" w:type="dxa"/>
          <w:right w:w="28" w:type="dxa"/>
        </w:tblCellMar>
      </w:tblPr>
      <w:tblGrid>
        <w:gridCol w:w="1231"/>
        <w:gridCol w:w="1083"/>
        <w:gridCol w:w="1090"/>
        <w:gridCol w:w="211"/>
        <w:gridCol w:w="826"/>
        <w:gridCol w:w="109"/>
        <w:gridCol w:w="109"/>
        <w:gridCol w:w="109"/>
        <w:gridCol w:w="109"/>
        <w:gridCol w:w="211"/>
        <w:gridCol w:w="826"/>
        <w:gridCol w:w="109"/>
        <w:gridCol w:w="109"/>
        <w:gridCol w:w="109"/>
        <w:gridCol w:w="109"/>
        <w:gridCol w:w="211"/>
        <w:gridCol w:w="826"/>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2991" w:type="dxa"/>
            <w:gridSpan w:val="12"/>
            <w:tcBorders/>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 for reportable segment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all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total net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 amounts in thousands, except share, unit, per share, and per unit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CODM does not use segment assets to evaluate segment performance or allocate resources. Therefore, we do not disclose segment assets. Long-lived assets were located in the United States as of December 31, 2025 and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July 2025, we reorganized our reporting structure by eliminating our 1729 Research and Alta operating subsidiaries, which were also two of our three reporting units. See also Note 4 – Reorganizations.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17.</w:t>
      </w:r>
      <w:r>
        <w:rPr>
          <w:rFonts w:ascii="Times New Roman;serif" w:hAnsi="Times New Roman;serif"/>
          <w:b/>
          <w:color w:val="000000"/>
          <w:sz w:val="20"/>
        </w:rPr>
        <w:t>Subsequent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Subsequent events have been evaluated through March 5, 2026, which is the date that the financial statements were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Annual Report, we carried out an evaluation, under the supervision and with the participation of our management, including our CEO (principal executive officer) and Chief Financial Officer (principal financial officer, “CFO”), of the effectiveness of the design and operation of our disclosure controls and procedures (as defined in Rules 13a-15(e) and 15d-15(e) under the Securities Exchange Act of 1934, as amended (the “Exchange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CEO and CFO have concluded that our disclosure controls and procedures were effective at the reasonable assurance level as of December 31, 2025.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(as defined in Rule 13a-15(f) and Rule 15d-15(f) under the Exchange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Management conducted an evaluation of the effectiveness of its internal controls over financial reporting as of December 31, 2024, based on the updated framework in Internal Control – Integrated Framework (2013) issued by the Committee of Sponsoring Organizations of the Treadway Commission.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its assessment, management has concluded that the company’s internal control over financial reporting was effective as of December 31, 2025.</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change occurred in our internal control over financial reporting that materially affected, or is reasonably likely to materially affect, our internal control over financial reporting</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December 31, 2025, no director or Section 16 officer adopted or terminated any Rule 10b5-1 trading arrangements or non-Rule 10b5-1 trading arrangements.</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III</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by reference to the section captioned “Directors and Executive Officers” in our definitive Proxy Statement for the 2026 Annual Meeting of stockholders and incorporated herein by reference or will be provided in an amendment to this Annual Report on Form 10-K.</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either be set forth under the “Executive Compensation” section in the definitive Proxy Statement for the 2026 Annual Meeting of stockholders and incorporated herein by reference or will be provided in an amendment to this Annual Report on Form 10-K.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either set forth under the sections captioned “Voting Securities and Principal Holders Thereof,” and “Executive Compensation” in the definitive Proxy Statement for the 2026 Annual Meeting of stockholders and incorporated herein by reference or will be provided in an amendment to this Annual Report on Form 10-K.</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either set forth under the “Directors and Executive Officers” section in the definitive Proxy Statement for the 2026 Annual Meeting of stockholders and incorporated herein by reference or will be provided in an amendment to this Annual Report on Form 10-K.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either set forth under the “Audit Committee Pre-Approval of Audit and Non-Audit Services” section in the definitive Proxy Statement for the 2026 Annual Meeting of stockholders and incorporated herein by reference or will be provided in an amendment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PART IV</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 and Financial Statement Schedules.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Annual Report on Form 10-K.</w:t>
      </w:r>
    </w:p>
    <w:tbl>
      <w:tblPr>
        <w:tblW w:w="10205" w:type="dxa"/>
        <w:jc w:val="left"/>
        <w:tblInd w:w="0" w:type="dxa"/>
        <w:tblLayout w:type="fixed"/>
        <w:tblCellMar>
          <w:top w:w="28" w:type="dxa"/>
          <w:left w:w="28" w:type="dxa"/>
          <w:bottom w:w="28" w:type="dxa"/>
          <w:right w:w="28" w:type="dxa"/>
        </w:tblCellMar>
      </w:tblPr>
      <w:tblGrid>
        <w:gridCol w:w="298"/>
        <w:gridCol w:w="262"/>
        <w:gridCol w:w="264"/>
        <w:gridCol w:w="109"/>
        <w:gridCol w:w="109"/>
        <w:gridCol w:w="109"/>
        <w:gridCol w:w="2797"/>
        <w:gridCol w:w="2590"/>
        <w:gridCol w:w="3667"/>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590"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"https://www.sec.gov/ix?doc=/Archives/edgar/data/1805651/000162828021013239/acnd-20210630.htm" \l "ieb60ee908ff44da8b1cdc50f18bc9834_3421"</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March 1, 2021, by and among Ascendant Digital Acquisition Corp., Beacon Street Group, LLC, Members of Beacon Street Group, LLC, and Shareholder Representative Services LLC (incorporated by reference to Exhibit 2.1 to the Registrant’s Current Report on Form 8-K, filed with the SEC on July 28, 2021).</w:t>
            </w:r>
            <w:r>
              <w:rPr>
                <w:rStyle w:val="InternetLink"/>
                <w:sz w:val="20"/>
                <w:u w:val="single"/>
                <w:b w:val="false"/>
                <w:rFonts w:ascii="Times New Roman;serif" w:hAnsi="Times New Roman;serif"/>
                <w:color w:val="0000FF"/>
              </w:rPr>
              <w:fldChar w:fldCharType="end"/>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"https://www.sec.gov/ix?doc=/Archives/edgar/data/1805651/000162828021013239/acnd-20210630.htm" \l "ieb60ee908ff44da8b1cdc50f18bc9834_5508"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1 to Business Combination Agreement, dated as of May 21, 2021, by and among Ascendant Digital Acquisition Corp., Beacon Street Group, LLC, and Shareholder Representative Services LLC (incorporated by reference to Exhibit 2.2 to the Registrant’s Current Report on Form 8-K, filed with the SEC on July 28, 2021).</w:t>
            </w:r>
            <w:r>
              <w:rPr>
                <w:rStyle w:val="InternetLink"/>
                <w:sz w:val="20"/>
                <w:u w:val="single"/>
                <w:b w:val="false"/>
                <w:rFonts w:ascii="Times New Roman;serif" w:hAnsi="Times New Roman;serif"/>
                <w:color w:val="0000FF"/>
              </w:rPr>
              <w:fldChar w:fldCharType="end"/>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"https://www.sec.gov/ix?doc=/Archives/edgar/data/1805651/000162828021013239/acnd-20210630.htm" \l "ieb60ee908ff44da8b1cdc50f18bc9834_5594"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 2 to Business Combination Agreement, dated as of June 16, 2021, by and among Ascendant Digital Acquisition Corp., MarketWise, LLC, and Shareholder Representative Services LLC (incorporated by reference to Exhibit 2.3 to the Registrant’s Current Report on Form 8-K, filed with the SEC on July 28, 2021).</w:t>
            </w:r>
            <w:r>
              <w:rPr>
                <w:rStyle w:val="InternetLink"/>
                <w:sz w:val="20"/>
                <w:u w:val="single"/>
                <w:b w:val="false"/>
                <w:rFonts w:ascii="Times New Roman;serif" w:hAnsi="Times New Roman;serif"/>
                <w:color w:val="0000FF"/>
              </w:rPr>
              <w:fldChar w:fldCharType="end"/>
            </w:r>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Incorporation of MarketWise, Inc. (incorporated by reference to Exhibit 3.1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Bylaws of MarketWise, Inc. (incorporated by reference to Exhibit 3.2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the Certificate of Incorporation of MarketWise, Inc. (incorporated by reference to Exhibit 3.1 to the Registrant’s Current Report on Form 8-K, filed with the SEC on March 31, 2025).</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5-descriptionofsec.htm">
              <w:r>
                <w:rPr>
                  <w:rStyle w:val="InternetLink"/>
                  <w:rFonts w:ascii="Times New Roman;serif" w:hAnsi="Times New Roman;serif"/>
                  <w:b w:val="false"/>
                  <w:color w:val="0000FF"/>
                  <w:sz w:val="20"/>
                  <w:u w:val="single"/>
                </w:rPr>
                <w:t>Description of Registrant’s Securities</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Amended and Restated Registration Rights Agreement dated July 21, 2021, by and among MarketWise, Inc., Ascendant Sponsor LP, and certain members of Ascendant Sponsor LP and of MarketWise, LLC (incorporated by reference to Exhibit 10.1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Tax Receivable Agreement dated July 21, 2021, by and among MarketWise, Inc., MarketWise, LLC, and certain members of MarketWise, LLC (incorporated by reference to Exhibit 10.2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A&amp;R Operating Agreement dated July 21, 2021, by and among MarketWise, Inc., MarketWise, LLC and the members of MarketWise, LLC (incorporated by reference to Exhibit 10.3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Form of Indemnification Agreement (incorporated by reference to Exhibit 10.4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MarketWise, Inc. Non-Employee Director Compensation Policy (Effective August 1, 2024) (incorporated by reference to Exhibit 10.1 to the Registrant’s Periodic Report on Form 10-Q, filed with the SEC on November 7, 2024).</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2021 MarketWise, Inc. Incentive Award Plan (incorporated by reference to Exhibit 10.6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2021 MarketWise, Inc. Employee Stock Purchase Plan (incorporated by reference to Exhibit 10.7 to the Registrant’s Current Report on Form 8-K, filed with the SEC on July 28, 2021).</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MarketWise, Inc. Executive Severance Plan, effective as of December 16, 2022 (incorporated by reference to Exhibit 10.1 to the Registrant’s Current Report on Form 8-K, filed with the SEC on January 13, 2023)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Letter Agreement, dated as of July 6, 2023, by and between MarketWise, Inc. and Erik Mickels (incorporated by reference to Exhibit 10.1 to the Registrant’s Current Report on Form 8-K, filed with the SEC on July 6, 2023).</w:t>
              </w:r>
            </w:hyperlink>
          </w:p>
        </w:tc>
      </w:tr>
      <w:tr>
        <w:trPr/>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Agreement, dated as of September 8, 2023, by and between MarketWise, Inc., F. Porter Stansberry and Stokes Holding, LLC (incorporated by reference to Exhibit 10.1 to the Registrant’s Current Report on Form 8-K, filed with the SEC on September 8,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53"/>
        <w:gridCol w:w="223"/>
        <w:gridCol w:w="225"/>
        <w:gridCol w:w="109"/>
        <w:gridCol w:w="109"/>
        <w:gridCol w:w="109"/>
        <w:gridCol w:w="2769"/>
        <w:gridCol w:w="2654"/>
        <w:gridCol w:w="3754"/>
      </w:tblGrid>
      <w:tr>
        <w:trPr/>
        <w:tc>
          <w:tcPr>
            <w:tcW w:w="25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9" w:type="dxa"/>
            <w:tcBorders/>
            <w:vAlign w:val="center"/>
          </w:tcPr>
          <w:p>
            <w:pPr>
              <w:pStyle w:val="TableContents"/>
              <w:bidi w:val="0"/>
              <w:spacing w:before="0" w:after="283"/>
              <w:jc w:val="left"/>
              <w:rPr>
                <w:sz w:val="4"/>
                <w:szCs w:val="4"/>
              </w:rPr>
            </w:pPr>
            <w:r>
              <w:rPr>
                <w:sz w:val="4"/>
                <w:szCs w:val="4"/>
              </w:rPr>
            </w:r>
          </w:p>
        </w:tc>
        <w:tc>
          <w:tcPr>
            <w:tcW w:w="2654"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Letter Agreement, dated October 20, 2023, by and between the Company and F. Porter Stansberry (incorporated by reference to Exhibit 10.1 to the Registrant’s Current Report on Form 8-K, filed with the SEC on October 23, 2023).</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Restricted Stock Unit Grant Notice and Restricted Stock Unit Agreement (Employees) (incorporated by reference to Exhibit 10.3 to the Registrant’s Periodic Report on Form 10-Q, filed with the SEC on November 9, 2023).</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Restricted Stock Unit Grant Notice and Restricted Stock Unit Agreement (Non-Employee Directors) (incorporated by reference to Exhibit 10.4 to the Registrant’s Periodic Report on Form 10-Q, filed with the SEC on November 9, 2023).</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Restricted Stock Grant Notice and Restricted Stock Agreement (incorporated by reference to Exhibit 10.5 to the Registrant’s Periodic Report on Form 10-Q, filed with the SEC on November 9, 2023).</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MarketWise, Inc. Form of Stock Appreciation Right Grant Notice and Stock Appreciation Right Agreement (incorporated by reference to Exhibit 99.4 to the Registrant’s Registration Statement on Form S-8, filed with the SEC on September 27, 2021).</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MarketWise, Inc. Form of Stock Option Grant Notice and Stock Option Agreement (incorporated by reference to Exhibit 99.6 to the Registrant’s Registration Statement on Form S-8, filed with the SEC on September 27, 2021).</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MarketWise, Inc. Form of Restricted Stock Unit Grant Notice and Restricted Stock Unit Agreement (incorporated by reference to Exhibit 99.3 to the Registrant’s Registration Statement on Form S-8, filed with the SEC on September 27, 2021).</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MarketWise, Inc. Form of Restricted Stock Grant Notice and Restricted Stock Agreement (incorporated by reference to Exhibit 99.5 to the Registrant’s Registration Statement on Form S-8, filed with the SEC on September 27, 2021).</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Letter Agreement, dated November 10, 2023, by and between the Company and Chad Curlett (incorporated by reference to Exhibit 10.1 to the Registrant’s Current Report on Form 8-K, filed with the SEC on November 16, 2023).</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Letter Agreement by and between Dr. David Eifrig and MarketWise, Inc. dated May 23, 2025 (incorporated by reference to Exhibit 10.1 to the Registrant’s Current Report on Form 8-K, filed with the SEC on May 27, 2025).</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80"/>
                  <w:sz w:val="20"/>
                  <w:u w:val="single"/>
                </w:rPr>
                <w:t>Amendment to the MarketWise, Inc. 2021 Incentive Award Plan (incorporated by reference to Exhibit 10.1 to the Registrant’s Current Report on Form 8-K, filed with the SEC on June 1</w:t>
              </w:r>
            </w:hyperlink>
            <w:hyperlink r:id="rId26">
              <w:r>
                <w:rPr>
                  <w:rStyle w:val="InternetLink"/>
                  <w:rFonts w:ascii="Times New Roman;serif" w:hAnsi="Times New Roman;serif"/>
                  <w:b w:val="false"/>
                  <w:color w:val="000080"/>
                  <w:sz w:val="20"/>
                  <w:u w:val="single"/>
                </w:rPr>
                <w:t>8</w:t>
              </w:r>
            </w:hyperlink>
            <w:hyperlink r:id="rId27">
              <w:r>
                <w:rPr>
                  <w:rStyle w:val="InternetLink"/>
                  <w:rFonts w:ascii="Times New Roman;serif" w:hAnsi="Times New Roman;serif"/>
                  <w:b w:val="false"/>
                  <w:color w:val="000080"/>
                  <w:sz w:val="20"/>
                  <w:u w:val="single"/>
                </w:rPr>
                <w:t>, 2025).</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Letter from Deloitte &amp; Touche LLP to the Securities and Exchange Commission, dated March 14, 2025 (incorporated by reference to Exhibit 16.1 to the Registrant’s Quarterly Report on Form 10-Q, filed with the SEC on May 8, 2025).</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MarketWise, Inc. Insider Trading Policy (incorporated by reference to Exhibit 10.32 to the Registrant’s Annual Report on Form 10-K, filed with the SEC on March 7, 2024).</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1-subsidiariesofm.htm">
              <w:r>
                <w:rPr>
                  <w:rStyle w:val="InternetLink"/>
                  <w:rFonts w:ascii="Times New Roman;serif" w:hAnsi="Times New Roman;serif"/>
                  <w:b w:val="false"/>
                  <w:color w:val="0000FF"/>
                  <w:sz w:val="20"/>
                  <w:u w:val="single"/>
                </w:rPr>
                <w:t>List of Subsidiaries of MarketWise, Inc.</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2025.htm">
              <w:r>
                <w:rPr>
                  <w:rStyle w:val="InternetLink"/>
                  <w:rFonts w:ascii="Times New Roman;serif" w:hAnsi="Times New Roman;serif"/>
                  <w:b w:val="false"/>
                  <w:color w:val="0000FF"/>
                  <w:sz w:val="20"/>
                  <w:u w:val="single"/>
                </w:rPr>
                <w:t>Consents of Experts and Counsel</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02510-q_exhibit311.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02510-q_exhibit312.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02510-q_exhibit321.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4q202510-q_exhibit322.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 xml:space="preserve">MarketWise, Inc. Policy for Recovery of Erroneously Awarded Compensation (incorporated by reference to Exhibit 97.1 to the Registrant’s Annual Report on Form 10-K, filed with the SEC on March 7, 2024). </w:t>
              </w:r>
            </w:hyperlink>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r>
      <w:tr>
        <w:trPr/>
        <w:tc>
          <w:tcPr>
            <w:tcW w:w="7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180"/>
        <w:ind w:left="0" w:right="0" w:firstLine="360"/>
        <w:jc w:val="left"/>
        <w:rPr/>
      </w:pPr>
      <w:r>
        <w:rPr/>
      </w:r>
    </w:p>
    <w:tbl>
      <w:tblPr>
        <w:tblW w:w="7795" w:type="dxa"/>
        <w:jc w:val="left"/>
        <w:tblInd w:w="0" w:type="dxa"/>
        <w:tblLayout w:type="fixed"/>
        <w:tblCellMar>
          <w:top w:w="28" w:type="dxa"/>
          <w:left w:w="28" w:type="dxa"/>
          <w:bottom w:w="28" w:type="dxa"/>
          <w:right w:w="28" w:type="dxa"/>
        </w:tblCellMar>
      </w:tblPr>
      <w:tblGrid>
        <w:gridCol w:w="315"/>
        <w:gridCol w:w="276"/>
        <w:gridCol w:w="278"/>
        <w:gridCol w:w="109"/>
        <w:gridCol w:w="109"/>
        <w:gridCol w:w="109"/>
        <w:gridCol w:w="1930"/>
        <w:gridCol w:w="1930"/>
        <w:gridCol w:w="2739"/>
      </w:tblGrid>
      <w:tr>
        <w:trPr/>
        <w:tc>
          <w:tcPr>
            <w:tcW w:w="31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r>
      <w:tr>
        <w:trPr/>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180"/>
        <w:ind w:left="0" w:right="0" w:hanging="540"/>
        <w:jc w:val="left"/>
        <w:rPr>
          <w:color w:val="000000"/>
        </w:rPr>
      </w:pPr>
      <w:r>
        <w:rPr>
          <w:color w:val="000000"/>
        </w:rPr>
        <w:t>†    </w:t>
      </w:r>
      <w:r>
        <w:rPr>
          <w:rFonts w:ascii="Times New Roman;serif" w:hAnsi="Times New Roman;serif"/>
          <w:b w:val="false"/>
          <w:color w:val="000000"/>
          <w:sz w:val="20"/>
        </w:rPr>
        <w:t>The annexes, schedules, and certain exhibits to this exhibit have been omitted pursuant to Item 601(a)(5) of Regulation S-K. The Registrant hereby agrees to furnish supplementally a copy of any omitted annex, schedule, or exhibit to the SEC upon request.</w:t>
      </w:r>
    </w:p>
    <w:p>
      <w:pPr>
        <w:pStyle w:val="TextBody"/>
        <w:bidi w:val="0"/>
        <w:spacing w:lineRule="auto" w:line="288" w:before="0" w:after="18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annual report to be signed on its behalf by the undersigned hereunto duly authorized.</w:t>
      </w:r>
    </w:p>
    <w:tbl>
      <w:tblPr>
        <w:tblW w:w="6094" w:type="dxa"/>
        <w:jc w:val="left"/>
        <w:tblInd w:w="0" w:type="dxa"/>
        <w:tblLayout w:type="fixed"/>
        <w:tblCellMar>
          <w:top w:w="28" w:type="dxa"/>
          <w:left w:w="28" w:type="dxa"/>
          <w:bottom w:w="28" w:type="dxa"/>
          <w:right w:w="28" w:type="dxa"/>
        </w:tblCellMar>
      </w:tblPr>
      <w:tblGrid>
        <w:gridCol w:w="645"/>
        <w:gridCol w:w="568"/>
        <w:gridCol w:w="571"/>
        <w:gridCol w:w="367"/>
        <w:gridCol w:w="367"/>
        <w:gridCol w:w="367"/>
        <w:gridCol w:w="938"/>
        <w:gridCol w:w="938"/>
        <w:gridCol w:w="1333"/>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Dr. David Eifrig and Erik Mickels,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180"/>
        <w:ind w:left="0" w:right="0" w:firstLine="360"/>
        <w:jc w:val="left"/>
        <w:rPr/>
      </w:pPr>
      <w:r>
        <w:rPr/>
      </w:r>
    </w:p>
    <w:tbl>
      <w:tblPr>
        <w:tblW w:w="7448" w:type="dxa"/>
        <w:jc w:val="left"/>
        <w:tblInd w:w="0" w:type="dxa"/>
        <w:tblLayout w:type="fixed"/>
        <w:tblCellMar>
          <w:top w:w="28" w:type="dxa"/>
          <w:left w:w="28" w:type="dxa"/>
          <w:bottom w:w="28" w:type="dxa"/>
          <w:right w:w="28" w:type="dxa"/>
        </w:tblCellMar>
      </w:tblPr>
      <w:tblGrid>
        <w:gridCol w:w="630"/>
        <w:gridCol w:w="554"/>
        <w:gridCol w:w="556"/>
        <w:gridCol w:w="109"/>
        <w:gridCol w:w="109"/>
        <w:gridCol w:w="109"/>
        <w:gridCol w:w="1234"/>
        <w:gridCol w:w="1234"/>
        <w:gridCol w:w="1251"/>
        <w:gridCol w:w="109"/>
        <w:gridCol w:w="109"/>
        <w:gridCol w:w="109"/>
        <w:gridCol w:w="389"/>
        <w:gridCol w:w="389"/>
        <w:gridCol w:w="557"/>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7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Dr. David Eifrig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and Director </w:t>
              <w:b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Dr. David Eifrig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Erik Mickels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Chief Operating and Financial Officer </w:t>
              <w:b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Erik Mickels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Porter Stansberry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Porter Stansberry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Michael Palmer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Michael Palmer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Van Simmons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Van Simmons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Matthew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Matthew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Glenn Tongue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Glenn Tongue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 Matthew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and Acting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5, 2026</w:t>
            </w:r>
          </w:p>
        </w:tc>
      </w:tr>
      <w:tr>
        <w:trPr/>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Matthew Turner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180" w:after="180"/>
        <w:jc w:val="right"/>
        <w:rPr>
          <w:rFonts w:ascii="Times New Roman;serif" w:hAnsi="Times New Roman;serif"/>
          <w:b/>
          <w:color w:val="000000"/>
          <w:sz w:val="20"/>
        </w:rPr>
      </w:pPr>
      <w:r>
        <w:rPr>
          <w:rFonts w:ascii="Times New Roman;serif" w:hAnsi="Times New Roman;serif"/>
          <w:b/>
          <w:color w:val="000000"/>
          <w:sz w:val="20"/>
        </w:rPr>
        <w:t>Exhibit 4.5</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180" w:after="180"/>
        <w:jc w:val="right"/>
        <w:rPr/>
      </w:pPr>
      <w:r>
        <w:rPr/>
      </w:r>
    </w:p>
    <w:p>
      <w:pPr>
        <w:pStyle w:val="TextBody"/>
        <w:bidi w:val="0"/>
        <w:spacing w:lineRule="auto" w:line="240" w:before="180" w:after="180"/>
        <w:jc w:val="center"/>
        <w:rPr>
          <w:rFonts w:ascii="Times New Roman;serif" w:hAnsi="Times New Roman;serif"/>
          <w:b/>
          <w:color w:val="000000"/>
          <w:sz w:val="20"/>
        </w:rPr>
      </w:pPr>
      <w:r>
        <w:rPr>
          <w:rFonts w:ascii="Times New Roman;serif" w:hAnsi="Times New Roman;serif"/>
          <w:b/>
          <w:color w:val="000000"/>
          <w:sz w:val="20"/>
        </w:rPr>
        <w:t>MARKETWISE, INC.</w:t>
      </w:r>
    </w:p>
    <w:p>
      <w:pPr>
        <w:pStyle w:val="TextBody"/>
        <w:bidi w:val="0"/>
        <w:spacing w:lineRule="auto" w:line="240" w:before="180" w:after="180"/>
        <w:jc w:val="center"/>
        <w:rPr>
          <w:rFonts w:ascii="Times New Roman;serif" w:hAnsi="Times New Roman;serif"/>
          <w:b/>
          <w:color w:val="000000"/>
          <w:sz w:val="20"/>
        </w:rPr>
      </w:pPr>
      <w:r>
        <w:rPr>
          <w:rFonts w:ascii="Times New Roman;serif" w:hAnsi="Times New Roman;serif"/>
          <w:b/>
          <w:color w:val="000000"/>
          <w:sz w:val="20"/>
        </w:rPr>
        <w:t>DESCRIPTION OF SECURITIES REGISTERED UNDER SECTION 12 OF THE SECURITIES EXCHANGE ACT OF 1934</w:t>
      </w:r>
    </w:p>
    <w:p>
      <w:pPr>
        <w:pStyle w:val="TextBody"/>
        <w:bidi w:val="0"/>
        <w:spacing w:lineRule="auto" w:line="240" w:before="180" w:after="180"/>
        <w:jc w:val="both"/>
        <w:rPr/>
      </w:pPr>
      <w:r>
        <w:rPr>
          <w:rFonts w:ascii="Times New Roman;serif" w:hAnsi="Times New Roman;serif"/>
          <w:b w:val="false"/>
          <w:i/>
          <w:color w:val="000000"/>
          <w:sz w:val="20"/>
        </w:rPr>
        <w:t>The Class A common stock, par value $0.0001 per share (“Class A Common Stock”) of MarketWise, Inc. (“MarketWise”, “we,” “our,” or “us”) is listed on</w:t>
      </w:r>
      <w:r>
        <w:rPr>
          <w:color w:val="000000"/>
        </w:rPr>
        <w:t xml:space="preserve"> </w:t>
      </w:r>
      <w:r>
        <w:rPr>
          <w:rFonts w:ascii="Times New Roman;serif" w:hAnsi="Times New Roman;serif"/>
          <w:b w:val="false"/>
          <w:i/>
          <w:color w:val="000000"/>
          <w:sz w:val="20"/>
        </w:rPr>
        <w:t>The Nasdaq Stock Market LLC (“Nasdaq”) under the symbol “MKTW” and is registered under Section 12 of the Securities Exchange Act of 1934. All outstanding shares of Class A Common Stock are validly issued, fully paid and nonassessable.</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The following description of the terms of our common stock is not complete and is qualified in its entirety by reference to our Certificate of Incorporation (the “Charter”), and our Bylaws (the “Bylaws”), both of which are exhibits to our Annual Reports on Form 10-K.</w:t>
      </w:r>
    </w:p>
    <w:p>
      <w:pPr>
        <w:pStyle w:val="TextBody"/>
        <w:bidi w:val="0"/>
        <w:spacing w:lineRule="auto" w:line="240" w:before="0" w:after="180"/>
        <w:jc w:val="both"/>
        <w:rPr>
          <w:rFonts w:ascii="Times New Roman;serif" w:hAnsi="Times New Roman;serif"/>
          <w:b w:val="false"/>
          <w:i/>
          <w:color w:val="000000"/>
          <w:sz w:val="20"/>
        </w:rPr>
      </w:pPr>
      <w:r>
        <w:rPr>
          <w:rFonts w:ascii="Times New Roman;serif" w:hAnsi="Times New Roman;serif"/>
          <w:b w:val="false"/>
          <w:i/>
          <w:color w:val="000000"/>
          <w:sz w:val="20"/>
        </w:rPr>
        <w:t>Our authorized capital stock consists of 47,500,000 shares of Class A Common Stock, 15,000,000 shares of Class B common stock, par value $0.0001 per share (“Class B Common Stock”), and 100,000,000 shares of preferred stock, par value $0.0001 per share.</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Voting Rights</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shares of our Class A Common Stock and Class B Common Stock are each entitled to one vote for each share held of record on all matters submitted to a vote of stockholders. Holders of shares of our Class A Common Stock will vote together with holders of our Class B Common Stock as a single class on all matters presented to our stockholders for their vote or approval, except for certain amendments to the Charter described below or as otherwise required by applicable law or the Charter.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Dividend Rights</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declare and pay cash dividends on our Class A Common Stock on a quarterly basis.</w:t>
      </w:r>
    </w:p>
    <w:p>
      <w:pPr>
        <w:pStyle w:val="TextBody"/>
        <w:bidi w:val="0"/>
        <w:spacing w:before="0" w:after="0"/>
        <w:jc w:val="left"/>
        <w:rPr/>
      </w:pPr>
      <w:r>
        <w:rPr/>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Liquidation Rights</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Upon our dissolution or liquidation, after payment in full of all amounts required to be paid to creditors and to the holders of preferred stock having liquidation preferences, if any, the holders of shares of our Class A Common Stock and our Class B Common Stock will be entitled to receive ratable portions of the remaining assets available for distribution; provided, that each holder of shares of our Class B Common Stock shall not be entitled to receive more than $0.0001 per share of our Class B Common Stock owned of record by such holder on the record date for such distribution and, upon receiving such amount, shall not be entitled to receive any other assets or funds with respect to such shares of our Class B Common Stock.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Holders of shares of our Class A Common Stock do not have preemptive, subscription, redemption, or conversion rights with respect to such shares of our Class A Common Stock. There will be no redemption or sinking fund provisions applicable to our Class A Common Stock.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Forum Selection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Charter provides that (A) (i) any derivative action or proceeding brought on our behalf , (ii) any action asserting a claim of breach of a fiduciary duty owed by any of our current or former director, officer, other employee, or stockholder to us or our stockholders, (iii) any action asserting a claim arising pursuant to any provision of the General Corporation Law of the State of Delaware (the “DGCL”), the Charter, or the Bylaws (as </w:t>
      </w:r>
    </w:p>
    <w:p>
      <w:pPr>
        <w:pStyle w:val="TextBody"/>
        <w:bidi w:val="0"/>
        <w:spacing w:lineRule="auto" w:line="240" w:before="180" w:after="180"/>
        <w:jc w:val="right"/>
        <w:rPr>
          <w:rFonts w:ascii="Times New Roman;serif" w:hAnsi="Times New Roman;serif"/>
          <w:b/>
          <w:color w:val="000000"/>
          <w:sz w:val="20"/>
        </w:rPr>
      </w:pPr>
      <w:r>
        <w:rPr>
          <w:rFonts w:ascii="Times New Roman;serif" w:hAnsi="Times New Roman;serif"/>
          <w:b/>
          <w:color w:val="000000"/>
          <w:sz w:val="20"/>
        </w:rPr>
        <w:t>Exhibit 4.5</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Arial;sans-serif" w:hAnsi="Arial;sans-serif"/>
                                <w:b w:val="false"/>
                                <w:color w:val="000000"/>
                                <w:sz w:val="16"/>
                              </w:rPr>
                              <w:t xml:space="preserve">Doc. # DC-34283344 v.1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40" w:before="0" w:after="0"/>
                        <w:jc w:val="left"/>
                        <w:rPr/>
                      </w:pPr>
                      <w:r>
                        <w:rPr>
                          <w:color w:val="000000"/>
                        </w:rPr>
                        <w:t>        </w:t>
                      </w:r>
                      <w:r>
                        <w:rPr>
                          <w:rFonts w:ascii="Arial;sans-serif" w:hAnsi="Arial;sans-serif"/>
                          <w:b w:val="false"/>
                          <w:color w:val="000000"/>
                          <w:sz w:val="16"/>
                        </w:rPr>
                        <w:t xml:space="preserve">Doc. # DC-34283344 v.1 </w:t>
                      </w:r>
                    </w:p>
                  </w:txbxContent>
                </v:textbox>
                <w10:wrap type="none"/>
              </v:rect>
            </w:pict>
          </mc:Fallback>
        </mc:AlternateContent>
      </w:r>
    </w:p>
    <w:p>
      <w:pPr>
        <w:pStyle w:val="TextBody"/>
        <w:bidi w:val="0"/>
        <w:spacing w:lineRule="auto" w:line="240"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either may be amended or restated) or as to which the DGCL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Charter also provides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compliance with the federal securities laws and the rules and regulations thereunder.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Classified Board of Directors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Charter provides that our board of directors is divided into three classes, with the classes as nearly equal in number as possible and each class serving three-year staggered terms. The Charter also provides that, subject to the rights of the holders of any series of preferred stock then outstanding, for as long as the Charter provides for a classified board of directors, any director, or the entire board of directors, may otherwise be removed only for cause by an affirmative vote of at least a majority of the voting power of all the outstanding shares of our capital stock entitled to vote generally in the election of directors, at a meeting duly called for that purpose. These provisions may have the effect of deferring, delaying, or discouraging hostile takeovers, or changes in control of us or our management.</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Anti-Takeover Provisions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Authorized but Unissued Shares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authorized but unissued shares of our common stock and preferred stock are available for future issuance without stockholder approval, subject to any limitations imposed by Nasdaq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Advance Notice Requirements for Stockholder Proposals and Director Nominations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Stockholder Action by Written Consent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Charter, subject to the terms of any series of preferred stock, any action required or permitted to be taken by the stockholders must be effected at an annual or special meeting of the stockholders and may not be effected by written consent in lieu of a meeting.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Special Meetings of Stockholders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Bylaws provide that only the chairperson of our board of directors or a majority of our whole board of directors may call special meetings of the stockholders.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Amendment of Certificate of Incorporation or Bylaws </w:t>
      </w:r>
    </w:p>
    <w:p>
      <w:pPr>
        <w:pStyle w:val="TextBody"/>
        <w:bidi w:val="0"/>
        <w:spacing w:lineRule="auto" w:line="240" w:before="180" w:after="180"/>
        <w:jc w:val="right"/>
        <w:rPr>
          <w:rFonts w:ascii="Times New Roman;serif" w:hAnsi="Times New Roman;serif"/>
          <w:b/>
          <w:color w:val="000000"/>
          <w:sz w:val="20"/>
        </w:rPr>
      </w:pPr>
      <w:r>
        <w:rPr>
          <w:rFonts w:ascii="Times New Roman;serif" w:hAnsi="Times New Roman;serif"/>
          <w:b/>
          <w:color w:val="000000"/>
          <w:sz w:val="20"/>
        </w:rPr>
        <w:t>Exhibit 4.5</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Arial;sans-serif" w:hAnsi="Arial;sans-serif"/>
                                <w:b w:val="false"/>
                                <w:color w:val="000000"/>
                                <w:sz w:val="16"/>
                              </w:rPr>
                              <w:t xml:space="preserve">Doc. # DC-34283344 v.1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5.35pt;mso-position-horizontal:left;mso-position-horizontal-relative:text">
                <v:textbox>
                  <w:txbxContent>
                    <w:p>
                      <w:pPr>
                        <w:pStyle w:val="TextBody"/>
                        <w:bidi w:val="0"/>
                        <w:spacing w:lineRule="auto" w:line="240" w:before="0" w:after="0"/>
                        <w:jc w:val="left"/>
                        <w:rPr/>
                      </w:pPr>
                      <w:r>
                        <w:rPr>
                          <w:color w:val="000000"/>
                        </w:rPr>
                        <w:t>        </w:t>
                      </w:r>
                      <w:r>
                        <w:rPr>
                          <w:rFonts w:ascii="Arial;sans-serif" w:hAnsi="Arial;sans-serif"/>
                          <w:b w:val="false"/>
                          <w:color w:val="000000"/>
                          <w:sz w:val="16"/>
                        </w:rPr>
                        <w:t xml:space="preserve">Doc. # DC-34283344 v.1 </w:t>
                      </w:r>
                    </w:p>
                  </w:txbxContent>
                </v:textbox>
                <w10:wrap type="none"/>
              </v:rect>
            </w:pict>
          </mc:Fallback>
        </mc:AlternateConten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Section 203 of the DGCL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 unless: (1) the board of directors of such corporation approves the acquisition of stock or the merger transaction before the time that the person becomes an interested stockholder; (2) the interested stockholder owns at least 85% of the outstanding voting stock of such corporation at the time the merger transaction commences (excluding voting stock owned by directors who are also officers and certain employee stock plans); or (3) the merger transaction is approved by the board of directors and at a meeting of stockholders, not by written consent, by the affirmative vote of two-thirds of the outstanding voting stock not owned by the interested stockholder. A Delaware corporation may elect in its certificate of incorporation or bylaws not to be governed by this particular Delaware law. The Charter does not contain a provision opting out of Section 203 of the DGCL.</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Limitations on Liability and Indemnification of Officers and Directors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Charter and Bylaws provide indemnification and advancement of expenses for our directors and officers to the fullest extent permitted by the DGCL. In addition, as permitted by Delaware law, the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These provisions may be held not to be enforceable for violations of the federal securities laws of the United States.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Corporate Opportunity Doctrine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Delaware law permits corporations to adopt provisions renouncing any interest or expectancy in certain opportunities that are presented to the corporation or its officers, directors, or stockholders. Under the Charter, we will, to the fullest extent permitted by Delaware law, renounce any interest or expectancy that we otherwise would be entitled to have in, all rights to be offered an opportunity to participate in, any business opportunity that from time to time may be presented to the Sponsor or its affiliates (other than MarketWise and its subsidiaries), and any of its or their respective principals, members, directors, partners, stockholders, officers, employees, or other representatives (other than any such person who is also an officer or employee of MarketWise or its subsidiaries), or any director or stockholder who is not employed by MarketWise or its subsidiaries (each such person, an “exempt person”). The Charter provides that, to the fullest extent permitted by law, no exempt person will have any duty to refrain from (1) engaging in a corporate opportunity in the same or similar lines of business in which MarketWise or its subsidiaries now engage or propose to engage or (2) otherwise competing, directly or indirectly, with MarketWise or any of its subsidiaries. In addition, to the fullest extent permitted by law, if an exempt person acquires knowledge of a potential transaction or other business opportunity which may be a corporate opportunity for itself or himself or its or his affiliates or for MarketWise or its subsidiaries, such exempt person will have no duty to communicate or offer such transaction or business opportunity to MarketWise or any of its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MarketWise or its subsidiaries.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Dissenters’ Rights of Appraisal and Payment </w:t>
      </w:r>
    </w:p>
    <w:p>
      <w:pPr>
        <w:pStyle w:val="TextBody"/>
        <w:bidi w:val="0"/>
        <w:spacing w:lineRule="auto" w:line="240"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DGCL, with certain exceptions, our stockholders will have appraisal rights in connection with a merger or consolidation of MarketWise. Pursuant to the DGCL, stockholders who properly request and perfect appraisal rights in connection with such merger or consolidation will have the right to receive payment of the fair value of their shares as determined by the Delaware Court of Chancery. </w:t>
      </w:r>
    </w:p>
    <w:p>
      <w:pPr>
        <w:pStyle w:val="TextBody"/>
        <w:bidi w:val="0"/>
        <w:spacing w:lineRule="auto" w:line="240" w:before="0" w:after="180"/>
        <w:jc w:val="both"/>
        <w:rPr>
          <w:rFonts w:ascii="Times New Roman;serif" w:hAnsi="Times New Roman;serif"/>
          <w:b/>
          <w:color w:val="000000"/>
          <w:sz w:val="20"/>
        </w:rPr>
      </w:pPr>
      <w:r>
        <w:rPr>
          <w:rFonts w:ascii="Times New Roman;serif" w:hAnsi="Times New Roman;serif"/>
          <w:b/>
          <w:color w:val="000000"/>
          <w:sz w:val="20"/>
        </w:rPr>
        <w:t xml:space="preserve">Stockholders’ Derivative Actions </w:t>
      </w:r>
    </w:p>
    <w:p>
      <w:pPr>
        <w:pStyle w:val="TextBody"/>
        <w:bidi w:val="0"/>
        <w:spacing w:lineRule="auto" w:line="240" w:before="0" w:after="180"/>
        <w:ind w:left="0" w:right="0" w:firstLine="360"/>
        <w:jc w:val="both"/>
        <w:rPr/>
      </w:pPr>
      <w:r>
        <w:rPr>
          <w:rFonts w:ascii="Times New Roman;serif" w:hAnsi="Times New Roman;serif"/>
          <w:b w:val="false"/>
          <w:color w:val="000000"/>
          <w:sz w:val="20"/>
        </w:rPr>
        <w:t xml:space="preserve">Under the DGCL, any of our stockholders may bring an action in our name to procure a judgment in our favor, also known as a derivative action; </w:t>
      </w:r>
      <w:r>
        <w:rPr>
          <w:rFonts w:ascii="Times New Roman;serif" w:hAnsi="Times New Roman;serif"/>
          <w:b w:val="false"/>
          <w:i/>
          <w:color w:val="000000"/>
          <w:sz w:val="20"/>
        </w:rPr>
        <w:t>provided</w:t>
      </w:r>
      <w:r>
        <w:rPr>
          <w:color w:val="000000"/>
        </w:rPr>
        <w:t xml:space="preserve"> </w:t>
      </w:r>
      <w:r>
        <w:rPr>
          <w:rFonts w:ascii="Times New Roman;serif" w:hAnsi="Times New Roman;serif"/>
          <w:b w:val="false"/>
          <w:color w:val="000000"/>
          <w:sz w:val="20"/>
        </w:rPr>
        <w:t xml:space="preserve">that the stockholder bringing the action is a holder of our shares at the time of the transaction to which the action relates or such stockholder’s stock thereafter devolved by operation of law.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21.1</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Arial;sans-serif" w:hAnsi="Arial;sans-serif"/>
                                <w:b w:val="false"/>
                                <w:color w:val="000000"/>
                                <w:sz w:val="16"/>
                              </w:rPr>
                              <w:t xml:space="preserve">Doc. # DC-34283344 v.1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left"/>
                        <w:rPr/>
                      </w:pPr>
                      <w:r>
                        <w:rPr>
                          <w:color w:val="000000"/>
                        </w:rPr>
                        <w:t>        </w:t>
                      </w:r>
                      <w:r>
                        <w:rPr>
                          <w:rFonts w:ascii="Arial;sans-serif" w:hAnsi="Arial;sans-serif"/>
                          <w:b w:val="false"/>
                          <w:color w:val="000000"/>
                          <w:sz w:val="16"/>
                        </w:rPr>
                        <w:t xml:space="preserve">Doc. # DC-34283344 v.1 </w:t>
                      </w:r>
                    </w:p>
                  </w:txbxContent>
                </v:textbox>
                <w10:wrap type="none"/>
              </v:rect>
            </w:pict>
          </mc:Fallback>
        </mc:AlternateContent>
      </w:r>
    </w:p>
    <w:p>
      <w:pPr>
        <w:pStyle w:val="TextBody"/>
        <w:bidi w:val="0"/>
        <w:spacing w:lineRule="auto" w:line="24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Subsidiaries of MarketWise, Inc.</w:t>
      </w:r>
    </w:p>
    <w:p>
      <w:pPr>
        <w:pStyle w:val="TextBody"/>
        <w:bidi w:val="0"/>
        <w:spacing w:before="0" w:after="160"/>
        <w:jc w:val="center"/>
        <w:rPr/>
      </w:pPr>
      <w:r>
        <w:rPr/>
      </w:r>
    </w:p>
    <w:tbl>
      <w:tblPr>
        <w:tblW w:w="7931" w:type="dxa"/>
        <w:jc w:val="left"/>
        <w:tblInd w:w="0" w:type="dxa"/>
        <w:tblLayout w:type="fixed"/>
        <w:tblCellMar>
          <w:top w:w="28" w:type="dxa"/>
          <w:left w:w="28" w:type="dxa"/>
          <w:bottom w:w="28" w:type="dxa"/>
          <w:right w:w="28" w:type="dxa"/>
        </w:tblCellMar>
      </w:tblPr>
      <w:tblGrid>
        <w:gridCol w:w="1792"/>
        <w:gridCol w:w="1574"/>
        <w:gridCol w:w="1584"/>
        <w:gridCol w:w="109"/>
        <w:gridCol w:w="109"/>
        <w:gridCol w:w="109"/>
        <w:gridCol w:w="776"/>
        <w:gridCol w:w="776"/>
        <w:gridCol w:w="1102"/>
      </w:tblGrid>
      <w:tr>
        <w:trPr/>
        <w:tc>
          <w:tcPr>
            <w:tcW w:w="1792"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Entity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2"/>
              </w:rPr>
            </w:pPr>
            <w:r>
              <w:rPr>
                <w:rFonts w:ascii="Times New Roman;serif" w:hAnsi="Times New Roman;serif"/>
                <w:b/>
                <w:color w:val="000000"/>
                <w:sz w:val="22"/>
              </w:rPr>
              <w:t>Jurisdiction of Formation</w:t>
            </w:r>
          </w:p>
        </w:tc>
      </w:tr>
      <w:tr>
        <w:trPr/>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MarketWise,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Alta Finance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Alta Trading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MarketWise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Brownstone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Chaikin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Chaikin Analytics,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Chaikin Investments,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Finpub,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1729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InvestorPlace Media,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MarketWise Publishing Group,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Stansberry &amp; Associates Investment Research,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Maryland</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Tradesmith,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Florida</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VRSH, LLC d/b/a Altimetry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r>
        <w:trPr/>
        <w:tc>
          <w:tcPr>
            <w:tcW w:w="495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2"/>
              </w:rPr>
            </w:pPr>
            <w:r>
              <w:rPr>
                <w:rFonts w:ascii="Times New Roman;serif" w:hAnsi="Times New Roman;serif"/>
                <w:b w:val="false"/>
                <w:color w:val="000000"/>
                <w:sz w:val="22"/>
              </w:rPr>
              <w:t>Wide Moat,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2"/>
              </w:rPr>
            </w:pPr>
            <w:r>
              <w:rPr>
                <w:rFonts w:ascii="Times New Roman;serif" w:hAnsi="Times New Roman;serif"/>
                <w:b w:val="false"/>
                <w:color w:val="000000"/>
                <w:sz w:val="22"/>
              </w:rPr>
              <w:t>Delaware</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360"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 xml:space="preserve">We have issued our report dated March 5, 2026, with respect to the consolidated financial statements included in the Annual Report of MarketWise, Inc. on Form 10-K for the year ended December 31, 2025. We consent to the incorporation by reference of said reports in the Registration Statements of Marketwise, Inc. on Form S-3 (File No. 333-258734) and Forms S-8 (File No. 333-259822 and File No. 333-288441).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/s/ GRANT THORNTON LLP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Arlington, Virginia March 05,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014730"/>
                <wp:effectExtent l="0" t="0" r="0" b="0"/>
                <wp:wrapNone/>
                <wp:docPr id="115" name="Frame115"/>
                <a:graphic xmlns:a="http://schemas.openxmlformats.org/drawingml/2006/main">
                  <a:graphicData uri="http://schemas.microsoft.com/office/word/2010/wordprocessingShape">
                    <wps:wsp>
                      <wps:cNvSpPr txBox="1"/>
                      <wps:spPr>
                        <a:xfrm>
                          <a:off x="0" y="0"/>
                          <a:ext cx="6480175" cy="10147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9.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60" w:before="0" w:after="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 333-258734 on Form S-3 and Registration Statement Nos. 333-288441 and 333-259822 on Form S-8 of our report dated March 6, 2025 (March 5, 2026, as to the effects of the reverse stock split discussed in Note 2 and the 2025 reorganization discussed in Note 4), relating to the financial statements of Marketwise, Inc. appearing in this Annual Report on Form 10-K for the year ended December 31, 2024.</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/s/ Deloitte &amp; Touche LLP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March 5, 2026</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Executive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Dr. David Eifrig,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MarketWise, Inc. (the “registrant”) for the fiscal year ended December 31, 2025;</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721" w:type="dxa"/>
        <w:jc w:val="left"/>
        <w:tblInd w:w="0" w:type="dxa"/>
        <w:tblLayout w:type="fixed"/>
        <w:tblCellMar>
          <w:top w:w="28" w:type="dxa"/>
          <w:left w:w="28" w:type="dxa"/>
          <w:bottom w:w="28" w:type="dxa"/>
          <w:right w:w="28" w:type="dxa"/>
        </w:tblCellMar>
      </w:tblPr>
      <w:tblGrid>
        <w:gridCol w:w="645"/>
        <w:gridCol w:w="568"/>
        <w:gridCol w:w="571"/>
        <w:gridCol w:w="289"/>
        <w:gridCol w:w="289"/>
        <w:gridCol w:w="289"/>
        <w:gridCol w:w="604"/>
        <w:gridCol w:w="604"/>
        <w:gridCol w:w="8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by the Chief Financial Officer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Rules 13a-14(a) and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Erik Mickels, certify that: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MarketWise, Inc. (the “registrant”) for the fiscal year ended December 31, 2025;</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61" w:type="dxa"/>
        <w:jc w:val="left"/>
        <w:tblInd w:w="0" w:type="dxa"/>
        <w:tblLayout w:type="fixed"/>
        <w:tblCellMar>
          <w:top w:w="28" w:type="dxa"/>
          <w:left w:w="28" w:type="dxa"/>
          <w:bottom w:w="28" w:type="dxa"/>
          <w:right w:w="28" w:type="dxa"/>
        </w:tblCellMar>
      </w:tblPr>
      <w:tblGrid>
        <w:gridCol w:w="645"/>
        <w:gridCol w:w="568"/>
        <w:gridCol w:w="571"/>
        <w:gridCol w:w="289"/>
        <w:gridCol w:w="289"/>
        <w:gridCol w:w="289"/>
        <w:gridCol w:w="937"/>
        <w:gridCol w:w="937"/>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Dr. David Eifrig, certify, pursuant to 18 U.S.C. Section 1350, as adopted pursuant to Section 906 of the Sarbanes-Oxley Act of 2002, that the Annual Report on Form 10-K of MarketWise, Inc. for the fiscal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MarketWise, Inc.</w:t>
      </w:r>
    </w:p>
    <w:tbl>
      <w:tblPr>
        <w:tblW w:w="4721" w:type="dxa"/>
        <w:jc w:val="left"/>
        <w:tblInd w:w="0" w:type="dxa"/>
        <w:tblLayout w:type="fixed"/>
        <w:tblCellMar>
          <w:top w:w="28" w:type="dxa"/>
          <w:left w:w="28" w:type="dxa"/>
          <w:bottom w:w="28" w:type="dxa"/>
          <w:right w:w="28" w:type="dxa"/>
        </w:tblCellMar>
      </w:tblPr>
      <w:tblGrid>
        <w:gridCol w:w="645"/>
        <w:gridCol w:w="568"/>
        <w:gridCol w:w="571"/>
        <w:gridCol w:w="289"/>
        <w:gridCol w:w="289"/>
        <w:gridCol w:w="289"/>
        <w:gridCol w:w="604"/>
        <w:gridCol w:w="604"/>
        <w:gridCol w:w="86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Dr. David Eifrig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Dr. David Eifrig</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72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 Erik Mickels, certify, pursuant to 18 U.S.C. Section 1350, as adopted pursuant to Section 906 of the Sarbanes-Oxley Act of 2002, that the Annual Report on Form 10-K of MarketWise, Inc. for the fiscal year ended December 31, 2025 fully complies with the requirements of Section 13(a) or 15(d) of the Securities Exchange Act of 1934, as amended, and that information contained in such Annual Report on Form 10-K fairly presents, in all material respects, the financial condition and results of operations of MarketWise, Inc.</w:t>
      </w:r>
    </w:p>
    <w:tbl>
      <w:tblPr>
        <w:tblW w:w="5861" w:type="dxa"/>
        <w:jc w:val="left"/>
        <w:tblInd w:w="0" w:type="dxa"/>
        <w:tblLayout w:type="fixed"/>
        <w:tblCellMar>
          <w:top w:w="28" w:type="dxa"/>
          <w:left w:w="28" w:type="dxa"/>
          <w:bottom w:w="28" w:type="dxa"/>
          <w:right w:w="28" w:type="dxa"/>
        </w:tblCellMar>
      </w:tblPr>
      <w:tblGrid>
        <w:gridCol w:w="645"/>
        <w:gridCol w:w="568"/>
        <w:gridCol w:w="571"/>
        <w:gridCol w:w="289"/>
        <w:gridCol w:w="289"/>
        <w:gridCol w:w="289"/>
        <w:gridCol w:w="937"/>
        <w:gridCol w:w="937"/>
        <w:gridCol w:w="1336"/>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MarketWise,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March 5, 2026</w:t>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Erik Mickels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Erik Mickels</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and Financial Officer</w:t>
            </w:r>
          </w:p>
        </w:tc>
      </w:tr>
    </w:tbl>
    <w:p>
      <w:pPr>
        <w:pStyle w:val="TextBody"/>
        <w:bidi w:val="0"/>
        <w:spacing w:before="0" w:after="1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805651/000162828021014543/super8-kxexhibit31.htm" TargetMode="External"/><Relationship Id="rId3" Type="http://schemas.openxmlformats.org/officeDocument/2006/relationships/hyperlink" Target="https://www.sec.gov/Archives/edgar/data/0001805651/000162828021014543/super8-kxexhibit32.htm" TargetMode="External"/><Relationship Id="rId4" Type="http://schemas.openxmlformats.org/officeDocument/2006/relationships/hyperlink" Target="https://www.sec.gov/Archives/edgar/data/1805651/000162828025015716/exhibit31_certificateofame.htm" TargetMode="External"/><Relationship Id="rId5" Type="http://schemas.openxmlformats.org/officeDocument/2006/relationships/hyperlink" Target="https://www.sec.gov/Archives/edgar/data/0001805651/000162828021014543/super8-kxexhibit101.htm" TargetMode="External"/><Relationship Id="rId6" Type="http://schemas.openxmlformats.org/officeDocument/2006/relationships/hyperlink" Target="https://www.sec.gov/Archives/edgar/data/0001805651/000162828021014543/super8-kxexhibit102.htm" TargetMode="External"/><Relationship Id="rId7" Type="http://schemas.openxmlformats.org/officeDocument/2006/relationships/hyperlink" Target="https://www.sec.gov/Archives/edgar/data/0001805651/000162828021014543/super8-kxexhibit103.htm" TargetMode="External"/><Relationship Id="rId8" Type="http://schemas.openxmlformats.org/officeDocument/2006/relationships/hyperlink" Target="https://www.sec.gov/Archives/edgar/data/0001805651/000162828021014543/super8-kxexhibit104.htm" TargetMode="External"/><Relationship Id="rId9" Type="http://schemas.openxmlformats.org/officeDocument/2006/relationships/hyperlink" Target="https://www.sec.gov/Archives/edgar/data/1805651/000162828024046024/ex101_mwi-nonxemployeedirc.htm" TargetMode="External"/><Relationship Id="rId10" Type="http://schemas.openxmlformats.org/officeDocument/2006/relationships/hyperlink" Target="https://www.sec.gov/Archives/edgar/data/0001805651/000162828021014543/super8-kxexhibit106.htm" TargetMode="External"/><Relationship Id="rId11" Type="http://schemas.openxmlformats.org/officeDocument/2006/relationships/hyperlink" Target="https://www.sec.gov/Archives/edgar/data/0001805651/000162828021014543/super8-kxexhibit107.htm" TargetMode="External"/><Relationship Id="rId12" Type="http://schemas.openxmlformats.org/officeDocument/2006/relationships/hyperlink" Target="https://www.sec.gov/Archives/edgar/data/1805651/000162828023001028/marketwise-executivesevera.htm" TargetMode="External"/><Relationship Id="rId13" Type="http://schemas.openxmlformats.org/officeDocument/2006/relationships/hyperlink" Target="https://www.sec.gov/Archives/edgar/data/1805651/000162828023024473/offerletter-erikmickels.htm" TargetMode="External"/><Relationship Id="rId14" Type="http://schemas.openxmlformats.org/officeDocument/2006/relationships/hyperlink" Target="https://www.sec.gov/Archives/edgar/data/1805651/000162828023031870/exhibit101-settlementagree.htm" TargetMode="External"/><Relationship Id="rId15" Type="http://schemas.openxmlformats.org/officeDocument/2006/relationships/hyperlink" Target="https://www.sec.gov/Archives/edgar/data/1805651/000162828023034920/section16offerps1023.htm" TargetMode="External"/><Relationship Id="rId16" Type="http://schemas.openxmlformats.org/officeDocument/2006/relationships/hyperlink" Target="https://www.sec.gov/Archives/edgar/data/1805651/000162828023038021/marketwise-2021incentivepl.htm" TargetMode="External"/><Relationship Id="rId17" Type="http://schemas.openxmlformats.org/officeDocument/2006/relationships/hyperlink" Target="https://www.sec.gov/Archives/edgar/data/1805651/000162828023038021/a2021incentiveplannon-empl.htm" TargetMode="External"/><Relationship Id="rId18" Type="http://schemas.openxmlformats.org/officeDocument/2006/relationships/hyperlink" Target="https://www.sec.gov/Archives/edgar/data/1805651/000162828023038021/marketwise-restrictedstock.htm" TargetMode="External"/><Relationship Id="rId19" Type="http://schemas.openxmlformats.org/officeDocument/2006/relationships/hyperlink" Target="https://www.sec.gov/Archives/edgar/data/1805651/000162828021019206/exhibit994-sx8.htm" TargetMode="External"/><Relationship Id="rId20" Type="http://schemas.openxmlformats.org/officeDocument/2006/relationships/hyperlink" Target="https://www.sec.gov/Archives/edgar/data/1805651/000162828021019206/exhibit996-sx8.htm" TargetMode="External"/><Relationship Id="rId21" Type="http://schemas.openxmlformats.org/officeDocument/2006/relationships/hyperlink" Target="https://www.sec.gov/Archives/edgar/data/1805651/000162828021019206/exhibit993-sx8.htm" TargetMode="External"/><Relationship Id="rId22" Type="http://schemas.openxmlformats.org/officeDocument/2006/relationships/hyperlink" Target="https://www.sec.gov/Archives/edgar/data/1805651/000162828021019206/exhibit995-sx8.htm" TargetMode="External"/><Relationship Id="rId23" Type="http://schemas.openxmlformats.org/officeDocument/2006/relationships/hyperlink" Target="https://www.sec.gov/Archives/edgar/data/1805651/000162828023039312/letteragreement-ccurlett.htm" TargetMode="External"/><Relationship Id="rId24" Type="http://schemas.openxmlformats.org/officeDocument/2006/relationships/hyperlink" Target="https://www.sec.gov/Archives/edgar/data/1805651/000162828025027963/exhibit101-letteragreement.htm" TargetMode="External"/><Relationship Id="rId25" Type="http://schemas.openxmlformats.org/officeDocument/2006/relationships/hyperlink" Target="https://www.sec.gov/Archives/edgar/data/1805651/000162828025032170/exhibit101_amendmentto2021.htm" TargetMode="External"/><Relationship Id="rId26" Type="http://schemas.openxmlformats.org/officeDocument/2006/relationships/hyperlink" Target="https://www.sec.gov/Archives/edgar/data/1805651/000162828025032170/exhibit101_amendmentto2021.htm" TargetMode="External"/><Relationship Id="rId27" Type="http://schemas.openxmlformats.org/officeDocument/2006/relationships/hyperlink" Target="https://www.sec.gov/Archives/edgar/data/1805651/000162828025032170/exhibit101_amendmentto2021.htm" TargetMode="External"/><Relationship Id="rId28" Type="http://schemas.openxmlformats.org/officeDocument/2006/relationships/hyperlink" Target="https://www.sec.gov/Archives/edgar/data/1805651/000162828025013203/exhibit161_deloittesec24.htm" TargetMode="External"/><Relationship Id="rId29" Type="http://schemas.openxmlformats.org/officeDocument/2006/relationships/hyperlink" Target="https://www.sec.gov/Archives/edgar/data/1805651/000162828024009542/exhibit1032-mwixinsidertra.htm" TargetMode="External"/><Relationship Id="rId30" Type="http://schemas.openxmlformats.org/officeDocument/2006/relationships/hyperlink" Target="https://www.sec.gov/ix?doc=/Archives/edgar/data/0001805651/000162828024009542/mktw-20231231.htm"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59693</Words>
  <Characters>333169</Characters>
  <CharactersWithSpaces>390181</CharactersWithSpaces>
  <Paragraphs>4864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