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3.jpeg" ContentType="image/jpeg"/>
  <Override PartName="/word/media/image2.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before="225" w:after="283"/>
        <w:jc w:val="left"/>
        <w:rPr/>
      </w:pPr>
      <w:r>
        <w:rPr/>
      </w:r>
    </w:p>
    <w:p>
      <w:pPr>
        <w:pStyle w:val="TextBody"/>
        <w:bidi w:val="0"/>
        <w:spacing w:before="225" w:after="283"/>
        <w:jc w:val="left"/>
        <w:rPr/>
      </w:pPr>
      <w:r>
        <w:rPr/>
      </w:r>
    </w:p>
    <w:p>
      <w:pPr>
        <w:pStyle w:val="TextBody"/>
        <w:bidi w:val="0"/>
        <w:spacing w:before="0" w:after="0"/>
        <w:jc w:val="left"/>
        <w:rPr/>
      </w:pPr>
      <w:r>
        <w:rPr/>
      </w:r>
    </w:p>
    <w:tbl>
      <w:tblPr>
        <w:tblW w:w="771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113"/>
        <w:gridCol w:w="2113"/>
        <w:gridCol w:w="2118"/>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Washington, DC 20549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SCHEDULE 14A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xml:space="preserve">Proxy Statement Pursuant to Section 14(a) of </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(Amendment 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tbl>
      <w:tblPr>
        <w:tblW w:w="8153" w:type="dxa"/>
        <w:jc w:val="center"/>
        <w:tblInd w:w="0" w:type="dxa"/>
        <w:tblLayout w:type="fixed"/>
        <w:tblCellMar>
          <w:top w:w="28" w:type="dxa"/>
          <w:left w:w="28" w:type="dxa"/>
          <w:bottom w:w="28" w:type="dxa"/>
          <w:right w:w="28" w:type="dxa"/>
        </w:tblCellMar>
      </w:tblPr>
      <w:tblGrid>
        <w:gridCol w:w="366"/>
        <w:gridCol w:w="321"/>
        <w:gridCol w:w="321"/>
        <w:gridCol w:w="404"/>
        <w:gridCol w:w="404"/>
        <w:gridCol w:w="412"/>
        <w:gridCol w:w="137"/>
        <w:gridCol w:w="137"/>
        <w:gridCol w:w="137"/>
        <w:gridCol w:w="137"/>
        <w:gridCol w:w="137"/>
        <w:gridCol w:w="137"/>
        <w:gridCol w:w="137"/>
        <w:gridCol w:w="137"/>
        <w:gridCol w:w="137"/>
        <w:gridCol w:w="480"/>
        <w:gridCol w:w="480"/>
        <w:gridCol w:w="480"/>
        <w:gridCol w:w="480"/>
        <w:gridCol w:w="480"/>
        <w:gridCol w:w="480"/>
        <w:gridCol w:w="480"/>
        <w:gridCol w:w="480"/>
        <w:gridCol w:w="480"/>
        <w:gridCol w:w="109"/>
        <w:gridCol w:w="109"/>
        <w:gridCol w:w="154"/>
      </w:tblGrid>
      <w:tr>
        <w:trPr/>
        <w:tc>
          <w:tcPr>
            <w:tcW w:w="3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Filed by the Registrant</w:t>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1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41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4320"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Filed by a Party other than the Registrant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781"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73" w:type="dxa"/>
            <w:gridSpan w:val="21"/>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73" w:type="dxa"/>
            <w:gridSpan w:val="21"/>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14a-6(e)(2))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73" w:type="dxa"/>
            <w:gridSpan w:val="21"/>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73" w:type="dxa"/>
            <w:gridSpan w:val="21"/>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73" w:type="dxa"/>
            <w:gridSpan w:val="21"/>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§240.14a-12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777" w:type="dxa"/>
        <w:jc w:val="center"/>
        <w:tblInd w:w="0" w:type="dxa"/>
        <w:tblLayout w:type="fixed"/>
        <w:tblCellMar>
          <w:top w:w="28" w:type="dxa"/>
          <w:left w:w="28" w:type="dxa"/>
          <w:bottom w:w="28" w:type="dxa"/>
          <w:right w:w="28" w:type="dxa"/>
        </w:tblCellMar>
      </w:tblPr>
      <w:tblGrid>
        <w:gridCol w:w="494"/>
        <w:gridCol w:w="435"/>
        <w:gridCol w:w="435"/>
        <w:gridCol w:w="892"/>
        <w:gridCol w:w="892"/>
        <w:gridCol w:w="892"/>
        <w:gridCol w:w="892"/>
        <w:gridCol w:w="892"/>
        <w:gridCol w:w="892"/>
        <w:gridCol w:w="892"/>
        <w:gridCol w:w="892"/>
        <w:gridCol w:w="1277"/>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r>
      <w:tr>
        <w:trPr/>
        <w:tc>
          <w:tcPr>
            <w:tcW w:w="9777"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7"/>
              </w:rPr>
            </w:pPr>
            <w:r>
              <w:rPr>
                <w:rFonts w:ascii="Times New Roman;serif" w:hAnsi="Times New Roman;serif"/>
                <w:b/>
                <w:color w:val="000000"/>
                <w:sz w:val="27"/>
              </w:rPr>
              <w:t>MARKETWISE, INC.</w:t>
            </w:r>
          </w:p>
        </w:tc>
      </w:tr>
      <w:tr>
        <w:trPr/>
        <w:tc>
          <w:tcPr>
            <w:tcW w:w="9777" w:type="dxa"/>
            <w:gridSpan w:val="12"/>
            <w:tcBorders>
              <w:top w:val="single" w:sz="8"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(Name of Registrant as Specified in its Charter)</w:t>
            </w:r>
          </w:p>
        </w:tc>
      </w:tr>
      <w:tr>
        <w:trPr/>
        <w:tc>
          <w:tcPr>
            <w:tcW w:w="9777" w:type="dxa"/>
            <w:gridSpan w:val="12"/>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before="170" w:after="283"/>
              <w:jc w:val="center"/>
              <w:rPr/>
            </w:pPr>
            <w:r>
              <w:rPr/>
            </w:r>
          </w:p>
          <w:p>
            <w:pPr>
              <w:pStyle w:val="TableContents"/>
              <w:bidi w:val="0"/>
              <w:spacing w:lineRule="auto" w:line="240" w:before="170" w:after="283"/>
              <w:jc w:val="center"/>
              <w:rPr>
                <w:rFonts w:ascii="Times New Roman;serif" w:hAnsi="Times New Roman;serif"/>
                <w:b/>
                <w:color w:val="000000"/>
                <w:sz w:val="16"/>
              </w:rPr>
            </w:pPr>
            <w:r>
              <w:rPr>
                <w:rFonts w:ascii="Times New Roman;serif" w:hAnsi="Times New Roman;serif"/>
                <w:b/>
                <w:color w:val="000000"/>
                <w:sz w:val="16"/>
              </w:rPr>
              <w:t>Name of Person(s) Filing Proxy Statement, if Other Than the Registrant)</w:t>
            </w:r>
          </w:p>
        </w:tc>
      </w:tr>
      <w:tr>
        <w:trPr/>
        <w:tc>
          <w:tcPr>
            <w:tcW w:w="9777" w:type="dxa"/>
            <w:gridSpan w:val="12"/>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all boxes that apply):</w:t>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p>
        </w:tc>
        <w:tc>
          <w:tcPr>
            <w:tcW w:w="8413"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3"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p>
      <w:pPr>
        <w:pStyle w:val="TextBody"/>
        <w:bidi w:val="0"/>
        <w:spacing w:lineRule="auto" w:line="240" w:before="225" w:after="283"/>
        <w:jc w:val="left"/>
        <w:rPr>
          <w:color w:val="000000"/>
        </w:rPr>
      </w:pPr>
      <w:r>
        <w:rPr>
          <w:color w:val="000000"/>
        </w:rPr>
        <w:t>   </w:t>
      </w:r>
    </w:p>
    <w:p>
      <w:pPr>
        <w:pStyle w:val="TextBody"/>
        <w:bidi w:val="0"/>
        <w:spacing w:before="225" w:after="283"/>
        <w:jc w:val="left"/>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right"/>
                        <w:rPr/>
                      </w:pPr>
                      <w:r>
                        <w:rPr/>
                      </w:r>
                    </w:p>
                  </w:txbxContent>
                </v:textbox>
                <w10:wrap type="none"/>
              </v:rect>
            </w:pict>
          </mc:Fallback>
        </mc:AlternateContent>
      </w:r>
    </w:p>
    <w:p>
      <w:pPr>
        <w:pStyle w:val="TextBody"/>
        <w:bidi w:val="0"/>
        <w:spacing w:before="240" w:after="283"/>
        <w:jc w:val="left"/>
        <w:rPr/>
      </w:pPr>
      <w:r>
        <w:rPr/>
        <w:drawing>
          <wp:inline distT="0" distB="0" distL="0" distR="0">
            <wp:extent cx="2743200" cy="6858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743200" cy="6858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April 17, 2026</w:t>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Letter to Shareholders from our Chief Executive Officer</w:t>
      </w:r>
    </w:p>
    <w:p>
      <w:pPr>
        <w:pStyle w:val="TextBody"/>
        <w:bidi w:val="0"/>
        <w:spacing w:before="225" w:after="283"/>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Dear Fellow Shareholders,</w:t>
      </w:r>
    </w:p>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MarketWise’s mission is to empower self-directed investors with independent, high-quality financial research, education, and tools that help them make more informed investing decisions. With more than 25 years of operating history, a portfolio of eight primary customer-facing brands, and a community of over two million subscribers, we remain committed to delivering differentiated value through our fully digital, direct-to-customer platform.</w:t>
      </w:r>
    </w:p>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Fiscal year 2025 marked a meaningful inflection point for our Company. Following the challenges of post-pandemic normalization and the restructuring and subscriber optimization efforts undertaken in 2024, we entered 2025 with a renewed strategic focus and a commitment to disciplined execution. We redoubled our efforts to serve higher-quality customers, improve subscriber retention, and increase lifetime value, while continuing to enhance our product offerings and user experience.</w:t>
      </w:r>
    </w:p>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Our strategy centered on delivering high-quality, independent research and software tools, supported by targeted pricing initiatives, cross-selling opportunities, and the integration of enhanced analytical capabilities. At the same time, we maintained a rigorous focus on operational efficiency and cost management, which we believe positions us to expand margins over time without compromising growth.</w:t>
      </w:r>
    </w:p>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These efforts drove strong financial performance for FY 2025. Full-year Billings increased 13% year-over-year to $271.2 million, exceeding our original guidance, while fourth quarter Billings grew 42% year-over-year. FY 2025 was the strongest year of Billings growth since we became a public company 5 years ago. We also delivered a significant improvement in cash generation, with cash from operating activities reaching $46.0 million for the year—an improvement of $68.1 million compared to 2024. The resulting cash flow margin of over 16% was also strong and demonstrates our commitment to efficiency and profitable growth. The combination of our 2025 Billings growth of 13% and cash flow margin of 16% totaled 29%, which was a solid performance relative to many of our peers. Importantly, our paid subscriber trends also began to stabilize in the second half of the year following a multi-year period of decline.</w:t>
      </w:r>
    </w:p>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We remain committed to disciplined capital allocation and to being strong stewards of shareholder capital. During 2025, we returned substantial capital to shareholders, including dividends totaling $1.90 per Class A share, representing an attractive cash yield, and share repurchases under our authorized program. These actions reflect our confidence in the strength of our business and our commitment to delivering shareholder value.</w:t>
      </w:r>
    </w:p>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Our progress is also reflected in our total shareholder return (TSR), which increased meaningfully and reflects a 51% total return for shareholders during the 2025 FY. More broadly, we believe our performance demonstrates the effectiveness of our strategic reset and the durability of our business model.</w:t>
      </w:r>
    </w:p>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Looking ahead, 2026 is off to a solid start. Paid subscribers returned to growth in the first quarter following a multi-year period of decline, and Billings increased approximately 15% year-over-year, representing our strongest quarterly Billings performance since 2023. We have also reaffirmed our full-year 2026 outlook of approximately $300 million in Billings and $50 million in cash from operating activities. In addition, we recently increased our regular quarterly dividend by 25% and established a full-year 2026 dividend target of $1.80 per Class A share. While we remain mindful of the broader macroeconomic environment, we believe these early indicators reflect continued progress against our strategic priorities.</w:t>
      </w:r>
    </w:p>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As we move forward, our focus remains clear: to build on this momentum by delivering sustainable, high-margin growth, enhancing the value we provide to our subscribers, and driving long-term returns for our shareholders. We are also committed to maintaining compensation programs that align executive incentives with these objectives, ensuring that leadership remains focused on disciplined execution and value creation.</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On behalf of the Board of Directors and the entire MarketWise team, thank you for your continued support and investment in our Company.</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Sincerely,</w:t>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Dr. David Eifrig</w:t>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MarketWise,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right"/>
                        <w:rPr/>
                      </w:pPr>
                      <w:r>
                        <w:rPr/>
                      </w:r>
                    </w:p>
                  </w:txbxContent>
                </v:textbox>
                <w10:wrap type="none"/>
              </v:rect>
            </w:pict>
          </mc:Fallback>
        </mc:AlternateContent>
      </w:r>
    </w:p>
    <w:tbl>
      <w:tblPr>
        <w:tblW w:w="7499" w:type="dxa"/>
        <w:jc w:val="center"/>
        <w:tblInd w:w="0" w:type="dxa"/>
        <w:tblLayout w:type="fixed"/>
        <w:tblCellMar>
          <w:top w:w="28" w:type="dxa"/>
          <w:left w:w="28" w:type="dxa"/>
          <w:bottom w:w="28" w:type="dxa"/>
          <w:right w:w="28" w:type="dxa"/>
        </w:tblCellMar>
      </w:tblPr>
      <w:tblGrid>
        <w:gridCol w:w="890"/>
        <w:gridCol w:w="783"/>
        <w:gridCol w:w="783"/>
        <w:gridCol w:w="783"/>
        <w:gridCol w:w="783"/>
        <w:gridCol w:w="783"/>
        <w:gridCol w:w="783"/>
        <w:gridCol w:w="783"/>
        <w:gridCol w:w="1128"/>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r>
      <w:tr>
        <w:trPr/>
        <w:tc>
          <w:tcPr>
            <w:tcW w:w="2456" w:type="dxa"/>
            <w:gridSpan w:val="3"/>
            <w:tcBorders/>
            <w:vAlign w:val="center"/>
          </w:tcPr>
          <w:p>
            <w:pPr>
              <w:pStyle w:val="TableContents"/>
              <w:bidi w:val="0"/>
              <w:spacing w:before="0" w:after="283"/>
              <w:jc w:val="left"/>
              <w:rPr>
                <w:sz w:val="4"/>
                <w:szCs w:val="4"/>
              </w:rPr>
            </w:pPr>
            <w:r>
              <w:rPr>
                <w:sz w:val="4"/>
                <w:szCs w:val="4"/>
              </w:rPr>
            </w:r>
          </w:p>
        </w:tc>
        <w:tc>
          <w:tcPr>
            <w:tcW w:w="2349" w:type="dxa"/>
            <w:gridSpan w:val="3"/>
            <w:tcBorders/>
            <w:vAlign w:val="center"/>
          </w:tcPr>
          <w:p>
            <w:pPr>
              <w:pStyle w:val="TableContents"/>
              <w:bidi w:val="0"/>
              <w:spacing w:before="0" w:after="283"/>
              <w:jc w:val="left"/>
              <w:rPr>
                <w:sz w:val="4"/>
                <w:szCs w:val="4"/>
              </w:rPr>
            </w:pPr>
            <w:r>
              <w:rPr>
                <w:sz w:val="4"/>
                <w:szCs w:val="4"/>
              </w:rPr>
            </w:r>
          </w:p>
        </w:tc>
        <w:tc>
          <w:tcPr>
            <w:tcW w:w="2694" w:type="dxa"/>
            <w:gridSpan w:val="3"/>
            <w:tcBorders/>
            <w:vAlign w:val="center"/>
          </w:tcPr>
          <w:p>
            <w:pPr>
              <w:pStyle w:val="TableContents"/>
              <w:bidi w:val="0"/>
              <w:spacing w:before="0" w:after="283"/>
              <w:jc w:val="left"/>
              <w:rPr>
                <w:sz w:val="4"/>
                <w:szCs w:val="4"/>
              </w:rPr>
            </w:pPr>
            <w:r>
              <w:rPr>
                <w:sz w:val="4"/>
                <w:szCs w:val="4"/>
              </w:rPr>
            </w:r>
          </w:p>
        </w:tc>
      </w:tr>
      <w:tr>
        <w:trPr/>
        <w:tc>
          <w:tcPr>
            <w:tcW w:w="74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MarketWise, Inc.</w:t>
            </w:r>
          </w:p>
        </w:tc>
      </w:tr>
      <w:tr>
        <w:trPr/>
        <w:tc>
          <w:tcPr>
            <w:tcW w:w="7499" w:type="dxa"/>
            <w:gridSpan w:val="9"/>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170" w:after="283"/>
              <w:jc w:val="center"/>
              <w:rPr/>
            </w:pPr>
            <w:r>
              <w:rPr/>
            </w:r>
          </w:p>
          <w:p>
            <w:pPr>
              <w:pStyle w:val="TableContents"/>
              <w:bidi w:val="0"/>
              <w:spacing w:lineRule="auto" w:line="240" w:before="170" w:after="283"/>
              <w:jc w:val="left"/>
              <w:rPr>
                <w:color w:val="000000"/>
              </w:rPr>
            </w:pPr>
            <w:r>
              <w:rPr>
                <w:color w:val="000000"/>
              </w:rPr>
              <w:t> </w:t>
            </w:r>
          </w:p>
        </w:tc>
      </w:tr>
      <w:tr>
        <w:trPr/>
        <w:tc>
          <w:tcPr>
            <w:tcW w:w="2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48"/>
              </w:rPr>
            </w:pPr>
            <w:r>
              <w:rPr>
                <w:rFonts w:ascii="Times New Roman;serif" w:hAnsi="Times New Roman;serif"/>
                <w:b/>
                <w:color w:val="000000"/>
                <w:sz w:val="48"/>
              </w:rPr>
              <w:t>NOTICE &amp; PROXY STATEMENT</w:t>
            </w:r>
          </w:p>
        </w:tc>
      </w:tr>
      <w:tr>
        <w:trPr/>
        <w:tc>
          <w:tcPr>
            <w:tcW w:w="7499" w:type="dxa"/>
            <w:gridSpan w:val="9"/>
            <w:tcBorders>
              <w:bottom w:val="single" w:sz="8" w:space="0" w:color="000000"/>
            </w:tcBorders>
            <w:tcMar>
              <w:top w:w="0" w:type="dxa"/>
              <w:left w:w="0" w:type="dxa"/>
              <w:bottom w:w="30" w:type="dxa"/>
              <w:right w:w="0" w:type="dxa"/>
            </w:tcMar>
            <w:vAlign w:val="center"/>
          </w:tcPr>
          <w:p>
            <w:pPr>
              <w:pStyle w:val="TableContents"/>
              <w:bidi w:val="0"/>
              <w:spacing w:before="0" w:after="0"/>
              <w:jc w:val="left"/>
              <w:rPr/>
            </w:pPr>
            <w:r>
              <w:rPr/>
            </w:r>
          </w:p>
          <w:p>
            <w:pPr>
              <w:pStyle w:val="TableContents"/>
              <w:bidi w:val="0"/>
              <w:spacing w:before="170" w:after="283"/>
              <w:jc w:val="center"/>
              <w:rPr/>
            </w:pPr>
            <w:r>
              <w:rPr/>
            </w:r>
          </w:p>
          <w:p>
            <w:pPr>
              <w:pStyle w:val="TableContents"/>
              <w:bidi w:val="0"/>
              <w:spacing w:lineRule="auto" w:line="240" w:before="170" w:after="283"/>
              <w:jc w:val="left"/>
              <w:rPr>
                <w:color w:val="000000"/>
              </w:rPr>
            </w:pPr>
            <w:r>
              <w:rPr>
                <w:color w:val="000000"/>
              </w:rPr>
              <w:t> </w:t>
            </w:r>
          </w:p>
        </w:tc>
      </w:tr>
      <w:tr>
        <w:trPr/>
        <w:tc>
          <w:tcPr>
            <w:tcW w:w="7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48"/>
              </w:rPr>
            </w:pPr>
            <w:r>
              <w:rPr>
                <w:rFonts w:ascii="Times New Roman;serif" w:hAnsi="Times New Roman;serif"/>
                <w:b/>
                <w:color w:val="000000"/>
                <w:sz w:val="48"/>
              </w:rPr>
              <w:t>Annual Meeting of Stockholders</w:t>
            </w:r>
          </w:p>
        </w:tc>
      </w:tr>
      <w:tr>
        <w:trPr/>
        <w:tc>
          <w:tcPr>
            <w:tcW w:w="749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br/>
              <w:t>June 4, 2026</w:t>
            </w:r>
          </w:p>
          <w:p>
            <w:pPr>
              <w:pStyle w:val="TableContents"/>
              <w:bidi w:val="0"/>
              <w:spacing w:lineRule="auto" w:line="240" w:before="225" w:after="283"/>
              <w:jc w:val="center"/>
              <w:rPr>
                <w:rFonts w:ascii="Times New Roman;serif" w:hAnsi="Times New Roman;serif"/>
                <w:b w:val="false"/>
                <w:color w:val="000000"/>
                <w:sz w:val="20"/>
              </w:rPr>
            </w:pPr>
            <w:r>
              <w:rPr>
                <w:rFonts w:ascii="Times New Roman;serif" w:hAnsi="Times New Roman;serif"/>
                <w:b w:val="false"/>
                <w:color w:val="000000"/>
                <w:sz w:val="20"/>
              </w:rPr>
              <w:t>10:00 a.m. (Eastern Time)</w:t>
            </w:r>
          </w:p>
        </w:tc>
      </w:tr>
      <w:tr>
        <w:trPr/>
        <w:tc>
          <w:tcPr>
            <w:tcW w:w="245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tbl>
      <w:tblPr>
        <w:tblW w:w="3659" w:type="dxa"/>
        <w:jc w:val="left"/>
        <w:tblInd w:w="0" w:type="dxa"/>
        <w:tblLayout w:type="fixed"/>
        <w:tblCellMar>
          <w:top w:w="28" w:type="dxa"/>
          <w:left w:w="28" w:type="dxa"/>
          <w:bottom w:w="28" w:type="dxa"/>
          <w:right w:w="28" w:type="dxa"/>
        </w:tblCellMar>
      </w:tblPr>
      <w:tblGrid>
        <w:gridCol w:w="1172"/>
        <w:gridCol w:w="1030"/>
        <w:gridCol w:w="1457"/>
      </w:tblGrid>
      <w:tr>
        <w:trPr/>
        <w:tc>
          <w:tcPr>
            <w:tcW w:w="117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Notice of Annual Meeting of Stockholders</w:t>
              <w:br/>
              <w:t>To be Held on June 4, 2026</w:t>
            </w:r>
          </w:p>
        </w:tc>
      </w:tr>
    </w:tbl>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MARKETWISE, INC.</w:t>
        <w:br/>
        <w:t>1125 N. Charles Street, Baltimore, MD 21201</w:t>
      </w:r>
    </w:p>
    <w:p>
      <w:pPr>
        <w:pStyle w:val="TextBody"/>
        <w:bidi w:val="0"/>
        <w:spacing w:lineRule="auto" w:line="192" w:before="225" w:after="283"/>
        <w:jc w:val="left"/>
        <w:rPr>
          <w:rFonts w:ascii="Times New Roman;serif" w:hAnsi="Times New Roman;serif"/>
          <w:b w:val="false"/>
          <w:color w:val="000000"/>
          <w:sz w:val="20"/>
        </w:rPr>
      </w:pPr>
      <w:r>
        <w:rPr>
          <w:rFonts w:ascii="Times New Roman;serif" w:hAnsi="Times New Roman;serif"/>
          <w:b w:val="false"/>
          <w:color w:val="000000"/>
          <w:sz w:val="20"/>
        </w:rPr>
        <w:t>Dear Stockholder:</w:t>
      </w:r>
    </w:p>
    <w:p>
      <w:pPr>
        <w:pStyle w:val="TextBody"/>
        <w:bidi w:val="0"/>
        <w:spacing w:lineRule="auto" w:line="240" w:before="225" w:after="283"/>
        <w:jc w:val="left"/>
        <w:rPr/>
      </w:pPr>
      <w:r>
        <w:rPr>
          <w:rFonts w:ascii="Times New Roman;serif" w:hAnsi="Times New Roman;serif"/>
          <w:b w:val="false"/>
          <w:color w:val="000000"/>
          <w:sz w:val="20"/>
        </w:rPr>
        <w:t xml:space="preserve">You are cordially invited to attend the 2026 Annual Meeting of Stockholders (the “Annual Meeting”) of MarketWise, Inc., a Delaware corporation (the “Company”). The Annual Meeting will be a completely virtual meeting conducted via live webcast at 10:00 a.m. Eastern time on June 4, 2026. You may attend the Annual Meeting online by visiting </w:t>
      </w:r>
      <w:r>
        <w:rPr>
          <w:rFonts w:ascii="Times New Roman;serif" w:hAnsi="Times New Roman;serif"/>
          <w:b w:val="false"/>
          <w:i/>
          <w:color w:val="0E32E1"/>
          <w:sz w:val="20"/>
          <w:u w:val="single"/>
        </w:rPr>
        <w:t>www.virtualshareholdermeeting.com/MKTW2026</w:t>
      </w:r>
      <w:r>
        <w:rPr>
          <w:rFonts w:ascii="Times New Roman;serif" w:hAnsi="Times New Roman;serif"/>
          <w:b w:val="false"/>
          <w:color w:val="000000"/>
          <w:sz w:val="20"/>
        </w:rPr>
        <w:t>. The Annual Meeting will be held for the following purposes: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859"/>
        <w:gridCol w:w="2628"/>
        <w:gridCol w:w="3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3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b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br/>
              <w:t> </w:t>
            </w:r>
          </w:p>
        </w:tc>
        <w:tc>
          <w:tcPr>
            <w:tcW w:w="9209"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To elect Matthew Turner to serve as a Class II Director until the 2029 Annual Meeting of Stockholders</w:t>
            </w:r>
            <w:r>
              <w:rPr>
                <w:color w:val="000000"/>
                <w:shd w:fill="FFFFFF" w:val="clear"/>
              </w:rPr>
              <w:t xml:space="preserve"> </w:t>
            </w:r>
            <w:r>
              <w:rPr>
                <w:rFonts w:ascii="Times New Roman;serif" w:hAnsi="Times New Roman;serif"/>
                <w:b w:val="false"/>
                <w:color w:val="000000"/>
                <w:sz w:val="20"/>
                <w:shd w:fill="FFFFFF" w:val="clear"/>
              </w:rPr>
              <w:t>and u</w:t>
            </w:r>
            <w:r>
              <w:rPr>
                <w:rFonts w:ascii="Times New Roman;serif" w:hAnsi="Times New Roman;serif"/>
                <w:b w:val="false"/>
                <w:color w:val="000000"/>
                <w:sz w:val="20"/>
              </w:rPr>
              <w:t>ntil his successor is duly elected and qualified (the "Election of Directors Proposal");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br/>
              <w:t> </w:t>
            </w:r>
          </w:p>
        </w:tc>
        <w:tc>
          <w:tcPr>
            <w:tcW w:w="92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 approve, on an advisory (non-binding) basis, the compensation of our named executive officers, as described in the accompanying proxy statement (the "Say-on-Pay Proposal");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b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b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 approve, on an advisory (non-binding) basis, the frequency with which we will conduct future say-on-pay proposals (the "Say-on-Frequency Proposal");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 ratify the appointment of Grant Thornton LLP as our independent registered public accounting firm for the fiscal year ending December 31, 2026 (the "Auditor Ratification Proposal");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b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br/>
              <w:t> </w:t>
            </w:r>
          </w:p>
        </w:tc>
        <w:tc>
          <w:tcPr>
            <w:tcW w:w="92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 transact such other business as may properly come before the Annual Meeting or any continuation, postponement or adjournment of the Annual Meeting.</w:t>
            </w:r>
          </w:p>
        </w:tc>
      </w:tr>
    </w:tbl>
    <w:p>
      <w:pPr>
        <w:pStyle w:val="TextBody"/>
        <w:bidi w:val="0"/>
        <w:spacing w:before="0" w:after="0"/>
        <w:jc w:val="left"/>
        <w:rPr/>
      </w:pPr>
      <w:r>
        <w:rPr/>
      </w:r>
    </w:p>
    <w:p>
      <w:pPr>
        <w:pStyle w:val="TextBody"/>
        <w:bidi w:val="0"/>
        <w:spacing w:lineRule="auto" w:line="240" w:before="0" w:after="2"/>
        <w:jc w:val="left"/>
        <w:rPr/>
      </w:pPr>
      <w:r>
        <w:rPr>
          <w:rFonts w:ascii="Times New Roman;serif" w:hAnsi="Times New Roman;serif"/>
          <w:b w:val="false"/>
          <w:color w:val="000000"/>
          <w:sz w:val="20"/>
        </w:rPr>
        <w:t xml:space="preserve">Holders of record of our outstanding shares of capital stock, composed of Class A common stock and Class B common stock, at the close of business on April 6, 2026, are entitled to notice of and to vote at the Annual Meeting, or any continuation, postponement or adjournment of the Annual Meeting. A complete list of such stockholders will be available for examination by any stockholder for a period of ten days prior to the Annual Meeting for a purpose germane to the meeting by sending an email to </w:t>
      </w:r>
      <w:r>
        <w:rPr>
          <w:rFonts w:ascii="Times New Roman;serif" w:hAnsi="Times New Roman;serif"/>
          <w:b w:val="false"/>
          <w:i/>
          <w:color w:val="0E32E1"/>
          <w:sz w:val="20"/>
          <w:u w:val="single"/>
        </w:rPr>
        <w:t>ir@marketwise.com</w:t>
      </w:r>
      <w:r>
        <w:rPr>
          <w:rFonts w:ascii="Times New Roman;serif" w:hAnsi="Times New Roman;serif"/>
          <w:b w:val="false"/>
          <w:color w:val="000000"/>
          <w:sz w:val="20"/>
        </w:rPr>
        <w:t>, stating the purpose of the request and providing proof of ownership of Company stock. This list of stockholders will also be available on your screen during the Annual Meeting after entering the appropriate password included on your Notice of Internet Availability of Proxy Materials, any proxy card that you received, or on the instructions that accompanied your proxy materials. The Annual Meeting may be continued or adjourned from time to time without notice other than by announcement at the Annual Meeting.</w:t>
      </w:r>
    </w:p>
    <w:p>
      <w:pPr>
        <w:pStyle w:val="TextBody"/>
        <w:bidi w:val="0"/>
        <w:spacing w:before="0" w:after="2"/>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 is important that your shares be represented regardless of the number of shares you may hold. We urge you to vote your shares over the Internet or via the toll-free telephone number, as described in the enclosed materials. If you received a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w:t>
      </w:r>
    </w:p>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/s/ Scott Forney</w:t>
      </w:r>
    </w:p>
    <w:p>
      <w:pPr>
        <w:pStyle w:val="TextBody"/>
        <w:bidi w:val="0"/>
        <w:spacing w:lineRule="auto" w:line="240" w:before="165" w:after="60"/>
        <w:jc w:val="left"/>
        <w:rPr>
          <w:rFonts w:ascii="Times New Roman;serif" w:hAnsi="Times New Roman;serif"/>
          <w:b w:val="false"/>
          <w:color w:val="000000"/>
          <w:sz w:val="20"/>
        </w:rPr>
      </w:pPr>
      <w:r>
        <w:rPr>
          <w:rFonts w:ascii="Times New Roman;serif" w:hAnsi="Times New Roman;serif"/>
          <w:b w:val="false"/>
          <w:color w:val="000000"/>
          <w:sz w:val="20"/>
        </w:rPr>
        <w:t>Scott Forney</w:t>
        <w:br/>
        <w:t>General Counsel and Corporate Secretary</w:t>
      </w:r>
    </w:p>
    <w:p>
      <w:pPr>
        <w:pStyle w:val="TextBody"/>
        <w:bidi w:val="0"/>
        <w:spacing w:lineRule="auto" w:line="240" w:before="0" w:after="60"/>
        <w:jc w:val="left"/>
        <w:rPr>
          <w:rFonts w:ascii="Times New Roman;serif" w:hAnsi="Times New Roman;serif"/>
          <w:b w:val="false"/>
          <w:color w:val="000000"/>
          <w:sz w:val="20"/>
        </w:rPr>
      </w:pPr>
      <w:r>
        <w:rPr>
          <w:rFonts w:ascii="Times New Roman;serif" w:hAnsi="Times New Roman;serif"/>
          <w:b w:val="false"/>
          <w:color w:val="000000"/>
          <w:sz w:val="20"/>
        </w:rPr>
        <w:t>Baltimore, MD</w:t>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April 17,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righ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403"/>
        <w:gridCol w:w="2936"/>
        <w:gridCol w:w="2966"/>
        <w:gridCol w:w="109"/>
        <w:gridCol w:w="109"/>
        <w:gridCol w:w="109"/>
        <w:gridCol w:w="167"/>
        <w:gridCol w:w="167"/>
        <w:gridCol w:w="239"/>
      </w:tblGrid>
      <w:tr>
        <w:trPr/>
        <w:tc>
          <w:tcPr>
            <w:tcW w:w="3403"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2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CONTENTS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tc>
        <w:tc>
          <w:tcPr>
            <w:tcW w:w="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a75bc136c64b4bbd6ed9cc29aea0df_13">
              <w:r>
                <w:rPr>
                  <w:rStyle w:val="InternetLink"/>
                  <w:rFonts w:ascii="Times New Roman;serif" w:hAnsi="Times New Roman;serif"/>
                  <w:b/>
                  <w:color w:val="0000FF"/>
                  <w:sz w:val="20"/>
                  <w:u w:val="single"/>
                </w:rPr>
                <w:t>PROXY STATEMENT</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13">
              <w:r>
                <w:rPr>
                  <w:rStyle w:val="InternetLink"/>
                  <w:rFonts w:ascii="Times New Roman;serif" w:hAnsi="Times New Roman;serif"/>
                  <w:b w:val="false"/>
                  <w:color w:val="0000FF"/>
                  <w:sz w:val="20"/>
                  <w:u w:val="single"/>
                </w:rPr>
                <w:t>1</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600"/>
              <w:jc w:val="left"/>
              <w:rPr/>
            </w:pPr>
            <w:hyperlink w:anchor="i90a75bc136c64b4bbd6ed9cc29aea0df_16">
              <w:r>
                <w:rPr>
                  <w:rStyle w:val="InternetLink"/>
                  <w:rFonts w:ascii="Times New Roman;serif" w:hAnsi="Times New Roman;serif"/>
                  <w:b w:val="false"/>
                  <w:color w:val="0000FF"/>
                  <w:sz w:val="20"/>
                  <w:u w:val="single"/>
                </w:rPr>
                <w:t>PROPOSALS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16">
              <w:r>
                <w:rPr>
                  <w:rStyle w:val="InternetLink"/>
                  <w:rFonts w:ascii="Times New Roman;serif" w:hAnsi="Times New Roman;serif"/>
                  <w:b w:val="false"/>
                  <w:color w:val="0000FF"/>
                  <w:sz w:val="20"/>
                  <w:u w:val="single"/>
                </w:rPr>
                <w:t>1</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600"/>
              <w:jc w:val="left"/>
              <w:rPr/>
            </w:pPr>
            <w:hyperlink w:anchor="i90a75bc136c64b4bbd6ed9cc29aea0df_19">
              <w:r>
                <w:rPr>
                  <w:rStyle w:val="InternetLink"/>
                  <w:rFonts w:ascii="Times New Roman;serif" w:hAnsi="Times New Roman;serif"/>
                  <w:b w:val="false"/>
                  <w:color w:val="0000FF"/>
                  <w:sz w:val="20"/>
                  <w:u w:val="single"/>
                </w:rPr>
                <w:t>RECOMMENDATIONS OF THE BOARD</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19">
              <w:r>
                <w:rPr>
                  <w:rStyle w:val="InternetLink"/>
                  <w:rFonts w:ascii="Times New Roman;serif" w:hAnsi="Times New Roman;serif"/>
                  <w:b w:val="false"/>
                  <w:color w:val="0000FF"/>
                  <w:sz w:val="20"/>
                  <w:u w:val="single"/>
                </w:rPr>
                <w:t>1</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600"/>
              <w:jc w:val="left"/>
              <w:rPr/>
            </w:pPr>
            <w:hyperlink w:anchor="i90a75bc136c64b4bbd6ed9cc29aea0df_22">
              <w:r>
                <w:rPr>
                  <w:rStyle w:val="InternetLink"/>
                  <w:rFonts w:ascii="Times New Roman;serif" w:hAnsi="Times New Roman;serif"/>
                  <w:b w:val="false"/>
                  <w:color w:val="0000FF"/>
                  <w:sz w:val="20"/>
                  <w:u w:val="single"/>
                </w:rPr>
                <w:t>INFORMATION ABOUT THIS PROXY STATEMENT</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22">
              <w:r>
                <w:rPr>
                  <w:rStyle w:val="InternetLink"/>
                  <w:rFonts w:ascii="Times New Roman;serif" w:hAnsi="Times New Roman;serif"/>
                  <w:b w:val="false"/>
                  <w:color w:val="0000FF"/>
                  <w:sz w:val="20"/>
                  <w:u w:val="single"/>
                </w:rPr>
                <w:t>2</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200"/>
              <w:jc w:val="left"/>
              <w:rPr/>
            </w:pPr>
            <w:hyperlink w:anchor="i90a75bc136c64b4bbd6ed9cc29aea0df_25">
              <w:r>
                <w:rPr>
                  <w:rStyle w:val="InternetLink"/>
                  <w:rFonts w:ascii="Times New Roman;serif" w:hAnsi="Times New Roman;serif"/>
                  <w:b/>
                  <w:color w:val="000080"/>
                  <w:sz w:val="20"/>
                  <w:u w:val="single"/>
                </w:rPr>
                <w:t>QUESTIONS AND ANSWERS ABOUT THE 202</w:t>
              </w:r>
            </w:hyperlink>
            <w:hyperlink w:anchor="i90a75bc136c64b4bbd6ed9cc29aea0df_25">
              <w:r>
                <w:rPr>
                  <w:rStyle w:val="InternetLink"/>
                  <w:rFonts w:ascii="Times New Roman;serif" w:hAnsi="Times New Roman;serif"/>
                  <w:b/>
                  <w:color w:val="000080"/>
                  <w:sz w:val="20"/>
                  <w:u w:val="single"/>
                </w:rPr>
                <w:t>6</w:t>
              </w:r>
            </w:hyperlink>
            <w:hyperlink w:anchor="i90a75bc136c64b4bbd6ed9cc29aea0df_25">
              <w:r>
                <w:rPr>
                  <w:rStyle w:val="InternetLink"/>
                  <w:rFonts w:ascii="Times New Roman;serif" w:hAnsi="Times New Roman;serif"/>
                  <w:b/>
                  <w:color w:val="000080"/>
                  <w:sz w:val="20"/>
                  <w:u w:val="single"/>
                </w:rPr>
                <w:t xml:space="preserve"> ANNUAL MEETING OF STOCKHOLDERS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25">
              <w:r>
                <w:rPr>
                  <w:rStyle w:val="InternetLink"/>
                  <w:rFonts w:ascii="Times New Roman;serif" w:hAnsi="Times New Roman;serif"/>
                  <w:b w:val="false"/>
                  <w:color w:val="0000FF"/>
                  <w:sz w:val="20"/>
                  <w:u w:val="single"/>
                </w:rPr>
                <w:t>3</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200"/>
              <w:jc w:val="left"/>
              <w:rPr/>
            </w:pPr>
            <w:hyperlink w:anchor="i90a75bc136c64b4bbd6ed9cc29aea0df_28">
              <w:r>
                <w:rPr>
                  <w:rStyle w:val="InternetLink"/>
                  <w:rFonts w:ascii="Times New Roman;serif" w:hAnsi="Times New Roman;serif"/>
                  <w:b/>
                  <w:color w:val="0000FF"/>
                  <w:sz w:val="20"/>
                  <w:u w:val="single"/>
                </w:rPr>
                <w:t>PROPOSALS TO BE VOTED 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28">
              <w:r>
                <w:rPr>
                  <w:rStyle w:val="InternetLink"/>
                  <w:rFonts w:ascii="Times New Roman;serif" w:hAnsi="Times New Roman;serif"/>
                  <w:b w:val="false"/>
                  <w:color w:val="0000FF"/>
                  <w:sz w:val="20"/>
                  <w:u w:val="single"/>
                </w:rPr>
                <w:t>6</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600"/>
              <w:jc w:val="left"/>
              <w:rPr/>
            </w:pPr>
            <w:hyperlink w:anchor="i90a75bc136c64b4bbd6ed9cc29aea0df_31">
              <w:r>
                <w:rPr>
                  <w:rStyle w:val="InternetLink"/>
                  <w:rFonts w:ascii="Times New Roman;serif" w:hAnsi="Times New Roman;serif"/>
                  <w:b w:val="false"/>
                  <w:color w:val="0000FF"/>
                  <w:sz w:val="20"/>
                  <w:u w:val="single"/>
                </w:rPr>
                <w:t>PROPOSAL 1: ELECTION OF DIRECTORS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31">
              <w:r>
                <w:rPr>
                  <w:rStyle w:val="InternetLink"/>
                  <w:rFonts w:ascii="Times New Roman;serif" w:hAnsi="Times New Roman;serif"/>
                  <w:b w:val="false"/>
                  <w:color w:val="0000FF"/>
                  <w:sz w:val="20"/>
                  <w:u w:val="single"/>
                </w:rPr>
                <w:t>6</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600"/>
              <w:jc w:val="left"/>
              <w:rPr/>
            </w:pPr>
            <w:hyperlink w:anchor="i90a75bc136c64b4bbd6ed9cc29aea0df_37">
              <w:r>
                <w:rPr>
                  <w:rStyle w:val="InternetLink"/>
                  <w:rFonts w:ascii="Times New Roman;serif" w:hAnsi="Times New Roman;serif"/>
                  <w:b w:val="false"/>
                  <w:color w:val="0000FF"/>
                  <w:sz w:val="20"/>
                  <w:u w:val="single"/>
                </w:rPr>
                <w:t>PROPOSAL 2: ADVISORY VOTE TO APPROVE NAMED EXECUTIVE OFFICER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37">
              <w:r>
                <w:rPr>
                  <w:rStyle w:val="InternetLink"/>
                  <w:rFonts w:ascii="Times New Roman;serif" w:hAnsi="Times New Roman;serif"/>
                  <w:b w:val="false"/>
                  <w:color w:val="0000FF"/>
                  <w:sz w:val="20"/>
                  <w:u w:val="single"/>
                </w:rPr>
                <w:t>10</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600"/>
              <w:jc w:val="left"/>
              <w:rPr/>
            </w:pPr>
            <w:hyperlink w:anchor="i90a75bc136c64b4bbd6ed9cc29aea0df_2199023256560">
              <w:r>
                <w:rPr>
                  <w:rStyle w:val="InternetLink"/>
                  <w:rFonts w:ascii="Times New Roman;serif" w:hAnsi="Times New Roman;serif"/>
                  <w:b w:val="false"/>
                  <w:color w:val="0000FF"/>
                  <w:sz w:val="20"/>
                  <w:u w:val="single"/>
                </w:rPr>
                <w:t>PROPOSAL 3: ADVISORY VOTE ON THE FREQUENCY OF FUTURE SAY-ON-PAY VOTES ON NAMED EXECUTIVE OFFICER COMPENSATION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2199023256560">
              <w:r>
                <w:rPr>
                  <w:rStyle w:val="InternetLink"/>
                  <w:rFonts w:ascii="Times New Roman;serif" w:hAnsi="Times New Roman;serif"/>
                  <w:b w:val="false"/>
                  <w:color w:val="0000FF"/>
                  <w:sz w:val="20"/>
                  <w:u w:val="single"/>
                </w:rPr>
                <w:t>10</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240" w:before="0" w:after="0"/>
              <w:ind w:left="0" w:right="0" w:hanging="600"/>
              <w:jc w:val="left"/>
              <w:rPr/>
            </w:pPr>
            <w:hyperlink w:anchor="i90a75bc136c64b4bbd6ed9cc29aea0df_43">
              <w:r>
                <w:rPr>
                  <w:rStyle w:val="InternetLink"/>
                  <w:rFonts w:ascii="Times New Roman;serif" w:hAnsi="Times New Roman;serif"/>
                  <w:b w:val="false"/>
                  <w:color w:val="000080"/>
                  <w:sz w:val="20"/>
                  <w:u w:val="single"/>
                </w:rPr>
                <w:t>PROPOSAL 4: RATIFICATION OF APPOINTMENT OF INDE</w:t>
              </w:r>
            </w:hyperlink>
            <w:hyperlink w:anchor="i90a75bc136c64b4bbd6ed9cc29aea0df_43">
              <w:r>
                <w:rPr>
                  <w:rStyle w:val="InternetLink"/>
                  <w:rFonts w:ascii="Times New Roman;serif" w:hAnsi="Times New Roman;serif"/>
                  <w:b w:val="false"/>
                  <w:color w:val="000080"/>
                  <w:sz w:val="20"/>
                  <w:u w:val="single"/>
                </w:rPr>
                <w:t>P</w:t>
              </w:r>
            </w:hyperlink>
            <w:hyperlink w:anchor="i90a75bc136c64b4bbd6ed9cc29aea0df_43">
              <w:r>
                <w:rPr>
                  <w:rStyle w:val="InternetLink"/>
                  <w:rFonts w:ascii="Times New Roman;serif" w:hAnsi="Times New Roman;serif"/>
                  <w:b w:val="false"/>
                  <w:color w:val="000080"/>
                  <w:sz w:val="20"/>
                  <w:u w:val="single"/>
                </w:rPr>
                <w:t>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43">
              <w:r>
                <w:rPr>
                  <w:rStyle w:val="InternetLink"/>
                  <w:rFonts w:ascii="Times New Roman;serif" w:hAnsi="Times New Roman;serif"/>
                  <w:b w:val="false"/>
                  <w:color w:val="0000FF"/>
                  <w:sz w:val="20"/>
                  <w:u w:val="single"/>
                </w:rPr>
                <w:t>11</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240" w:before="0" w:after="0"/>
              <w:ind w:left="0" w:right="0" w:hanging="600"/>
              <w:jc w:val="left"/>
              <w:rPr/>
            </w:pPr>
            <w:hyperlink w:anchor="i90a75bc136c64b4bbd6ed9cc29aea0df_49">
              <w:r>
                <w:rPr>
                  <w:rStyle w:val="InternetLink"/>
                  <w:rFonts w:ascii="Times New Roman;serif" w:hAnsi="Times New Roman;serif"/>
                  <w:b w:val="false"/>
                  <w:color w:val="0000FF"/>
                  <w:sz w:val="20"/>
                  <w:u w:val="single"/>
                </w:rPr>
                <w:t>REVIEW BY AUDIT COMMITTEE OF THE BOARD OF DIRECTORS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49">
              <w:r>
                <w:rPr>
                  <w:rStyle w:val="InternetLink"/>
                  <w:rFonts w:ascii="Times New Roman;serif" w:hAnsi="Times New Roman;serif"/>
                  <w:b w:val="false"/>
                  <w:color w:val="0000FF"/>
                  <w:sz w:val="20"/>
                  <w:u w:val="single"/>
                </w:rPr>
                <w:t>12</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600"/>
              <w:jc w:val="left"/>
              <w:rPr/>
            </w:pPr>
            <w:hyperlink w:anchor="i90a75bc136c64b4bbd6ed9cc29aea0df_52">
              <w:r>
                <w:rPr>
                  <w:rStyle w:val="InternetLink"/>
                  <w:rFonts w:ascii="Times New Roman;serif" w:hAnsi="Times New Roman;serif"/>
                  <w:b w:val="false"/>
                  <w:color w:val="0000FF"/>
                  <w:sz w:val="20"/>
                  <w:u w:val="single"/>
                </w:rPr>
                <w:t>INDEPENDENT REGISTERED PUBLIC ACCOUNTING FIRM FEES AND OTHER MATTERS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52">
              <w:r>
                <w:rPr>
                  <w:rStyle w:val="InternetLink"/>
                  <w:rFonts w:ascii="Times New Roman;serif" w:hAnsi="Times New Roman;serif"/>
                  <w:b w:val="false"/>
                  <w:color w:val="0000FF"/>
                  <w:sz w:val="20"/>
                  <w:u w:val="single"/>
                </w:rPr>
                <w:t>12</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200"/>
              <w:jc w:val="left"/>
              <w:rPr/>
            </w:pPr>
            <w:hyperlink w:anchor="i90a75bc136c64b4bbd6ed9cc29aea0df_55">
              <w:r>
                <w:rPr>
                  <w:rStyle w:val="InternetLink"/>
                  <w:rFonts w:ascii="Times New Roman;serif" w:hAnsi="Times New Roman;serif"/>
                  <w:b/>
                  <w:color w:val="0000FF"/>
                  <w:sz w:val="20"/>
                  <w:u w:val="single"/>
                </w:rPr>
                <w:t>EXECUTIVE OFFICERS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55">
              <w:r>
                <w:rPr>
                  <w:rStyle w:val="InternetLink"/>
                  <w:rFonts w:ascii="Times New Roman;serif" w:hAnsi="Times New Roman;serif"/>
                  <w:b w:val="false"/>
                  <w:color w:val="0000FF"/>
                  <w:sz w:val="20"/>
                  <w:u w:val="single"/>
                </w:rPr>
                <w:t>13</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200"/>
              <w:jc w:val="left"/>
              <w:rPr/>
            </w:pPr>
            <w:hyperlink w:anchor="i90a75bc136c64b4bbd6ed9cc29aea0df_61">
              <w:r>
                <w:rPr>
                  <w:rStyle w:val="InternetLink"/>
                  <w:rFonts w:ascii="Times New Roman;serif" w:hAnsi="Times New Roman;serif"/>
                  <w:b/>
                  <w:color w:val="0000FF"/>
                  <w:sz w:val="20"/>
                  <w:u w:val="single"/>
                </w:rPr>
                <w:t>CORPORATE GOVERNANCE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61">
              <w:r>
                <w:rPr>
                  <w:rStyle w:val="InternetLink"/>
                  <w:rFonts w:ascii="Times New Roman;serif" w:hAnsi="Times New Roman;serif"/>
                  <w:b w:val="false"/>
                  <w:color w:val="0000FF"/>
                  <w:sz w:val="20"/>
                  <w:u w:val="single"/>
                </w:rPr>
                <w:t>14</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600"/>
              <w:jc w:val="left"/>
              <w:rPr/>
            </w:pPr>
            <w:hyperlink w:anchor="i90a75bc136c64b4bbd6ed9cc29aea0df_64">
              <w:r>
                <w:rPr>
                  <w:rStyle w:val="InternetLink"/>
                  <w:rFonts w:ascii="Times New Roman;serif" w:hAnsi="Times New Roman;serif"/>
                  <w:b w:val="false"/>
                  <w:color w:val="0000FF"/>
                  <w:sz w:val="20"/>
                  <w:u w:val="single"/>
                </w:rPr>
                <w:t>GENERAL</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64">
              <w:r>
                <w:rPr>
                  <w:rStyle w:val="InternetLink"/>
                  <w:rFonts w:ascii="Times New Roman;serif" w:hAnsi="Times New Roman;serif"/>
                  <w:b w:val="false"/>
                  <w:color w:val="0000FF"/>
                  <w:sz w:val="20"/>
                  <w:u w:val="single"/>
                </w:rPr>
                <w:t>14</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600"/>
              <w:jc w:val="left"/>
              <w:rPr/>
            </w:pPr>
            <w:hyperlink w:anchor="i90a75bc136c64b4bbd6ed9cc29aea0df_67">
              <w:r>
                <w:rPr>
                  <w:rStyle w:val="InternetLink"/>
                  <w:rFonts w:ascii="Times New Roman;serif" w:hAnsi="Times New Roman;serif"/>
                  <w:b w:val="false"/>
                  <w:color w:val="0000FF"/>
                  <w:sz w:val="20"/>
                  <w:u w:val="single"/>
                </w:rPr>
                <w:t>BOARD COMPOSITION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67">
              <w:r>
                <w:rPr>
                  <w:rStyle w:val="InternetLink"/>
                  <w:rFonts w:ascii="Times New Roman;serif" w:hAnsi="Times New Roman;serif"/>
                  <w:b w:val="false"/>
                  <w:color w:val="0000FF"/>
                  <w:sz w:val="20"/>
                  <w:u w:val="single"/>
                </w:rPr>
                <w:t>15</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600"/>
              <w:jc w:val="left"/>
              <w:rPr/>
            </w:pPr>
            <w:hyperlink w:anchor="i90a75bc136c64b4bbd6ed9cc29aea0df_70">
              <w:r>
                <w:rPr>
                  <w:rStyle w:val="InternetLink"/>
                  <w:rFonts w:ascii="Times New Roman;serif" w:hAnsi="Times New Roman;serif"/>
                  <w:b w:val="false"/>
                  <w:color w:val="0000FF"/>
                  <w:sz w:val="20"/>
                  <w:u w:val="single"/>
                </w:rPr>
                <w:t>DIRECTOR INDEPENDENCE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70">
              <w:r>
                <w:rPr>
                  <w:rStyle w:val="InternetLink"/>
                  <w:rFonts w:ascii="Times New Roman;serif" w:hAnsi="Times New Roman;serif"/>
                  <w:b w:val="false"/>
                  <w:color w:val="0000FF"/>
                  <w:sz w:val="20"/>
                  <w:u w:val="single"/>
                </w:rPr>
                <w:t>15</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600"/>
              <w:jc w:val="left"/>
              <w:rPr/>
            </w:pPr>
            <w:hyperlink w:anchor="i90a75bc136c64b4bbd6ed9cc29aea0df_76">
              <w:r>
                <w:rPr>
                  <w:rStyle w:val="InternetLink"/>
                  <w:rFonts w:ascii="Times New Roman;serif" w:hAnsi="Times New Roman;serif"/>
                  <w:b w:val="false"/>
                  <w:color w:val="0000FF"/>
                  <w:sz w:val="20"/>
                  <w:u w:val="single"/>
                </w:rPr>
                <w:t>DIRECTOR CANDIDATES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76">
              <w:r>
                <w:rPr>
                  <w:rStyle w:val="InternetLink"/>
                  <w:rFonts w:ascii="Times New Roman;serif" w:hAnsi="Times New Roman;serif"/>
                  <w:b w:val="false"/>
                  <w:color w:val="0000FF"/>
                  <w:sz w:val="20"/>
                  <w:u w:val="single"/>
                </w:rPr>
                <w:t>15</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600"/>
              <w:jc w:val="left"/>
              <w:rPr/>
            </w:pPr>
            <w:hyperlink w:anchor="i90a75bc136c64b4bbd6ed9cc29aea0df_79">
              <w:r>
                <w:rPr>
                  <w:rStyle w:val="InternetLink"/>
                  <w:rFonts w:ascii="Times New Roman;serif" w:hAnsi="Times New Roman;serif"/>
                  <w:b w:val="false"/>
                  <w:color w:val="0000FF"/>
                  <w:sz w:val="20"/>
                  <w:u w:val="single"/>
                </w:rPr>
                <w:t>COMMUNICATIONS FROM INTERESTED PARTIES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79">
              <w:r>
                <w:rPr>
                  <w:rStyle w:val="InternetLink"/>
                  <w:rFonts w:ascii="Times New Roman;serif" w:hAnsi="Times New Roman;serif"/>
                  <w:b w:val="false"/>
                  <w:color w:val="0000FF"/>
                  <w:sz w:val="20"/>
                  <w:u w:val="single"/>
                </w:rPr>
                <w:t>15</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600"/>
              <w:jc w:val="left"/>
              <w:rPr/>
            </w:pPr>
            <w:hyperlink w:anchor="i90a75bc136c64b4bbd6ed9cc29aea0df_82">
              <w:r>
                <w:rPr>
                  <w:rStyle w:val="InternetLink"/>
                  <w:rFonts w:ascii="Times New Roman;serif" w:hAnsi="Times New Roman;serif"/>
                  <w:b w:val="false"/>
                  <w:color w:val="0000FF"/>
                  <w:sz w:val="20"/>
                  <w:u w:val="single"/>
                </w:rPr>
                <w:t>BOARD LEADERSHIP STRUCTURE AND ROLE IN RISK OVERSIGHT</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82">
              <w:r>
                <w:rPr>
                  <w:rStyle w:val="InternetLink"/>
                  <w:rFonts w:ascii="Times New Roman;serif" w:hAnsi="Times New Roman;serif"/>
                  <w:b w:val="false"/>
                  <w:color w:val="0000FF"/>
                  <w:sz w:val="20"/>
                  <w:u w:val="single"/>
                </w:rPr>
                <w:t>16</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600"/>
              <w:jc w:val="left"/>
              <w:rPr/>
            </w:pPr>
            <w:hyperlink w:anchor="i90a75bc136c64b4bbd6ed9cc29aea0df_85">
              <w:r>
                <w:rPr>
                  <w:rStyle w:val="InternetLink"/>
                  <w:rFonts w:ascii="Times New Roman;serif" w:hAnsi="Times New Roman;serif"/>
                  <w:b w:val="false"/>
                  <w:color w:val="000080"/>
                  <w:sz w:val="20"/>
                  <w:u w:val="single"/>
                </w:rPr>
                <w:t xml:space="preserve">ANTI-HEDGING </w:t>
              </w:r>
            </w:hyperlink>
            <w:hyperlink w:anchor="i90a75bc136c64b4bbd6ed9cc29aea0df_85">
              <w:r>
                <w:rPr>
                  <w:rStyle w:val="InternetLink"/>
                  <w:rFonts w:ascii="Times New Roman;serif" w:hAnsi="Times New Roman;serif"/>
                  <w:b w:val="false"/>
                  <w:color w:val="000080"/>
                  <w:sz w:val="20"/>
                  <w:u w:val="single"/>
                </w:rPr>
                <w:t xml:space="preserve">AND ANTI-PLEDGING </w:t>
              </w:r>
            </w:hyperlink>
            <w:hyperlink w:anchor="i90a75bc136c64b4bbd6ed9cc29aea0df_85">
              <w:r>
                <w:rPr>
                  <w:rStyle w:val="InternetLink"/>
                  <w:rFonts w:ascii="Times New Roman;serif" w:hAnsi="Times New Roman;serif"/>
                  <w:b w:val="false"/>
                  <w:color w:val="000080"/>
                  <w:sz w:val="20"/>
                  <w:u w:val="single"/>
                </w:rPr>
                <w:t>POLICY</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85">
              <w:r>
                <w:rPr>
                  <w:rStyle w:val="InternetLink"/>
                  <w:rFonts w:ascii="Times New Roman;serif" w:hAnsi="Times New Roman;serif"/>
                  <w:b w:val="false"/>
                  <w:color w:val="0000FF"/>
                  <w:sz w:val="20"/>
                  <w:u w:val="single"/>
                </w:rPr>
                <w:t>16</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240" w:before="0" w:after="0"/>
              <w:ind w:left="0" w:right="0" w:hanging="600"/>
              <w:jc w:val="left"/>
              <w:rPr/>
            </w:pPr>
            <w:hyperlink w:anchor="i90a75bc136c64b4bbd6ed9cc29aea0df_88">
              <w:r>
                <w:rPr>
                  <w:rStyle w:val="InternetLink"/>
                  <w:rFonts w:ascii="Times New Roman;serif" w:hAnsi="Times New Roman;serif"/>
                  <w:b w:val="false"/>
                  <w:color w:val="0000FF"/>
                  <w:sz w:val="20"/>
                  <w:u w:val="single"/>
                </w:rPr>
                <w:t>CODE OF CONDUCT AND BUSINESS ETHICS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88">
              <w:r>
                <w:rPr>
                  <w:rStyle w:val="InternetLink"/>
                  <w:rFonts w:ascii="Times New Roman;serif" w:hAnsi="Times New Roman;serif"/>
                  <w:b w:val="false"/>
                  <w:color w:val="0000FF"/>
                  <w:sz w:val="20"/>
                  <w:u w:val="single"/>
                </w:rPr>
                <w:t>16</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600"/>
              <w:jc w:val="left"/>
              <w:rPr/>
            </w:pPr>
            <w:hyperlink w:anchor="i90a75bc136c64b4bbd6ed9cc29aea0df_91">
              <w:r>
                <w:rPr>
                  <w:rStyle w:val="InternetLink"/>
                  <w:rFonts w:ascii="Times New Roman;serif" w:hAnsi="Times New Roman;serif"/>
                  <w:b w:val="false"/>
                  <w:color w:val="0000FF"/>
                  <w:sz w:val="20"/>
                  <w:u w:val="single"/>
                </w:rPr>
                <w:t>ATTENDANCE BY MEMBERS OF THE BOARD OF DIRECTORS AT MEETINGS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91">
              <w:r>
                <w:rPr>
                  <w:rStyle w:val="InternetLink"/>
                  <w:rFonts w:ascii="Times New Roman;serif" w:hAnsi="Times New Roman;serif"/>
                  <w:b w:val="false"/>
                  <w:color w:val="0000FF"/>
                  <w:sz w:val="20"/>
                  <w:u w:val="single"/>
                </w:rPr>
                <w:t>16</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600"/>
              <w:jc w:val="left"/>
              <w:rPr/>
            </w:pPr>
            <w:hyperlink w:anchor="i90a75bc136c64b4bbd6ed9cc29aea0df_94">
              <w:r>
                <w:rPr>
                  <w:rStyle w:val="InternetLink"/>
                  <w:rFonts w:ascii="Times New Roman;serif" w:hAnsi="Times New Roman;serif"/>
                  <w:b w:val="false"/>
                  <w:color w:val="0000FF"/>
                  <w:sz w:val="20"/>
                  <w:u w:val="single"/>
                </w:rPr>
                <w:t>EXECUTIVE SESSIONS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94">
              <w:r>
                <w:rPr>
                  <w:rStyle w:val="InternetLink"/>
                  <w:rFonts w:ascii="Times New Roman;serif" w:hAnsi="Times New Roman;serif"/>
                  <w:b w:val="false"/>
                  <w:color w:val="0000FF"/>
                  <w:sz w:val="20"/>
                  <w:u w:val="single"/>
                </w:rPr>
                <w:t>17</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200"/>
              <w:jc w:val="left"/>
              <w:rPr/>
            </w:pPr>
            <w:hyperlink w:anchor="i90a75bc136c64b4bbd6ed9cc29aea0df_97">
              <w:r>
                <w:rPr>
                  <w:rStyle w:val="InternetLink"/>
                  <w:rFonts w:ascii="Times New Roman;serif" w:hAnsi="Times New Roman;serif"/>
                  <w:b/>
                  <w:color w:val="0000FF"/>
                  <w:sz w:val="20"/>
                  <w:u w:val="single"/>
                </w:rPr>
                <w:t>COMMITTEES OF THE BOARD</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97">
              <w:r>
                <w:rPr>
                  <w:rStyle w:val="InternetLink"/>
                  <w:rFonts w:ascii="Times New Roman;serif" w:hAnsi="Times New Roman;serif"/>
                  <w:b w:val="false"/>
                  <w:color w:val="0000FF"/>
                  <w:sz w:val="20"/>
                  <w:u w:val="single"/>
                </w:rPr>
                <w:t>17</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600"/>
              <w:jc w:val="left"/>
              <w:rPr/>
            </w:pPr>
            <w:hyperlink w:anchor="i90a75bc136c64b4bbd6ed9cc29aea0df_100">
              <w:r>
                <w:rPr>
                  <w:rStyle w:val="InternetLink"/>
                  <w:rFonts w:ascii="Times New Roman;serif" w:hAnsi="Times New Roman;serif"/>
                  <w:b w:val="false"/>
                  <w:color w:val="0000FF"/>
                  <w:sz w:val="20"/>
                  <w:u w:val="single"/>
                </w:rPr>
                <w:t>AUDIT COMMITTEE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100">
              <w:r>
                <w:rPr>
                  <w:rStyle w:val="InternetLink"/>
                  <w:rFonts w:ascii="Times New Roman;serif" w:hAnsi="Times New Roman;serif"/>
                  <w:b w:val="false"/>
                  <w:color w:val="0000FF"/>
                  <w:sz w:val="20"/>
                  <w:u w:val="single"/>
                </w:rPr>
                <w:t>17</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600"/>
              <w:jc w:val="left"/>
              <w:rPr/>
            </w:pPr>
            <w:hyperlink w:anchor="i90a75bc136c64b4bbd6ed9cc29aea0df_103">
              <w:r>
                <w:rPr>
                  <w:rStyle w:val="InternetLink"/>
                  <w:rFonts w:ascii="Times New Roman;serif" w:hAnsi="Times New Roman;serif"/>
                  <w:b w:val="false"/>
                  <w:color w:val="0000FF"/>
                  <w:sz w:val="20"/>
                  <w:u w:val="single"/>
                </w:rPr>
                <w:t>COMPENSATION COMMITTEE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103">
              <w:r>
                <w:rPr>
                  <w:rStyle w:val="InternetLink"/>
                  <w:rFonts w:ascii="Times New Roman;serif" w:hAnsi="Times New Roman;serif"/>
                  <w:b w:val="false"/>
                  <w:color w:val="0000FF"/>
                  <w:sz w:val="20"/>
                  <w:u w:val="single"/>
                </w:rPr>
                <w:t>17</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600"/>
              <w:jc w:val="left"/>
              <w:rPr/>
            </w:pPr>
            <w:hyperlink w:anchor="i90a75bc136c64b4bbd6ed9cc29aea0df_106">
              <w:r>
                <w:rPr>
                  <w:rStyle w:val="InternetLink"/>
                  <w:rFonts w:ascii="Times New Roman;serif" w:hAnsi="Times New Roman;serif"/>
                  <w:b w:val="false"/>
                  <w:color w:val="0000FF"/>
                  <w:sz w:val="20"/>
                  <w:u w:val="single"/>
                </w:rPr>
                <w:t>NOMINATING AND CORPORATE GOVERNANCE COMMITTEE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106">
              <w:r>
                <w:rPr>
                  <w:rStyle w:val="InternetLink"/>
                  <w:rFonts w:ascii="Times New Roman;serif" w:hAnsi="Times New Roman;serif"/>
                  <w:b w:val="false"/>
                  <w:color w:val="0000FF"/>
                  <w:sz w:val="20"/>
                  <w:u w:val="single"/>
                </w:rPr>
                <w:t>18</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200"/>
              <w:jc w:val="left"/>
              <w:rPr/>
            </w:pPr>
            <w:hyperlink w:anchor="i90a75bc136c64b4bbd6ed9cc29aea0df_109">
              <w:r>
                <w:rPr>
                  <w:rStyle w:val="InternetLink"/>
                  <w:rFonts w:ascii="Times New Roman;serif" w:hAnsi="Times New Roman;serif"/>
                  <w:b/>
                  <w:color w:val="0000FF"/>
                  <w:sz w:val="20"/>
                  <w:u w:val="single"/>
                </w:rPr>
                <w:t>EXECUTIVE COMPENSATION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109">
              <w:r>
                <w:rPr>
                  <w:rStyle w:val="InternetLink"/>
                  <w:rFonts w:ascii="Times New Roman;serif" w:hAnsi="Times New Roman;serif"/>
                  <w:b w:val="false"/>
                  <w:color w:val="0000FF"/>
                  <w:sz w:val="20"/>
                  <w:u w:val="single"/>
                </w:rPr>
                <w:t>18</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600"/>
              <w:jc w:val="left"/>
              <w:rPr/>
            </w:pPr>
            <w:hyperlink w:anchor="i90a75bc136c64b4bbd6ed9cc29aea0df_112">
              <w:r>
                <w:rPr>
                  <w:rStyle w:val="InternetLink"/>
                  <w:rFonts w:ascii="Times New Roman;serif" w:hAnsi="Times New Roman;serif"/>
                  <w:b w:val="false"/>
                  <w:color w:val="0000FF"/>
                  <w:sz w:val="20"/>
                  <w:u w:val="single"/>
                </w:rPr>
                <w:t>SUMMARY COMPENSATION TABLE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112">
              <w:r>
                <w:rPr>
                  <w:rStyle w:val="InternetLink"/>
                  <w:rFonts w:ascii="Times New Roman;serif" w:hAnsi="Times New Roman;serif"/>
                  <w:b w:val="false"/>
                  <w:color w:val="0000FF"/>
                  <w:sz w:val="20"/>
                  <w:u w:val="single"/>
                </w:rPr>
                <w:t>19</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600"/>
              <w:jc w:val="left"/>
              <w:rPr/>
            </w:pPr>
            <w:hyperlink w:anchor="i90a75bc136c64b4bbd6ed9cc29aea0df_1099511628819">
              <w:r>
                <w:rPr>
                  <w:rStyle w:val="InternetLink"/>
                  <w:rFonts w:ascii="Times New Roman;serif" w:hAnsi="Times New Roman;serif"/>
                  <w:b w:val="false"/>
                  <w:color w:val="0000FF"/>
                  <w:sz w:val="20"/>
                  <w:u w:val="single"/>
                </w:rPr>
                <w:t>PAY VERSUS PERFORMANCE TABLE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1099511628819">
              <w:r>
                <w:rPr>
                  <w:rStyle w:val="InternetLink"/>
                  <w:rFonts w:ascii="Times New Roman;serif" w:hAnsi="Times New Roman;serif"/>
                  <w:b w:val="false"/>
                  <w:color w:val="0000FF"/>
                  <w:sz w:val="20"/>
                  <w:u w:val="single"/>
                </w:rPr>
                <w:t>22</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600"/>
              <w:jc w:val="left"/>
              <w:rPr/>
            </w:pPr>
            <w:hyperlink w:anchor="i90a75bc136c64b4bbd6ed9cc29aea0df_118">
              <w:r>
                <w:rPr>
                  <w:rStyle w:val="InternetLink"/>
                  <w:rFonts w:ascii="Times New Roman;serif" w:hAnsi="Times New Roman;serif"/>
                  <w:b w:val="false"/>
                  <w:color w:val="0000FF"/>
                  <w:sz w:val="20"/>
                  <w:u w:val="single"/>
                </w:rPr>
                <w:t>OUTSTANDING EQUITY AWARDS AT FISCAL YEAR-END</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118">
              <w:r>
                <w:rPr>
                  <w:rStyle w:val="InternetLink"/>
                  <w:rFonts w:ascii="Times New Roman;serif" w:hAnsi="Times New Roman;serif"/>
                  <w:b w:val="false"/>
                  <w:color w:val="0000FF"/>
                  <w:sz w:val="20"/>
                  <w:u w:val="single"/>
                </w:rPr>
                <w:t>24</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600"/>
              <w:jc w:val="left"/>
              <w:rPr/>
            </w:pPr>
            <w:hyperlink w:anchor="i90a75bc136c64b4bbd6ed9cc29aea0df_121">
              <w:r>
                <w:rPr>
                  <w:rStyle w:val="InternetLink"/>
                  <w:rFonts w:ascii="Times New Roman;serif" w:hAnsi="Times New Roman;serif"/>
                  <w:b w:val="false"/>
                  <w:color w:val="0000FF"/>
                  <w:sz w:val="20"/>
                  <w:u w:val="single"/>
                </w:rPr>
                <w:t>EXECUTIVE COMPENSATION ARRANGEMENTS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121">
              <w:r>
                <w:rPr>
                  <w:rStyle w:val="InternetLink"/>
                  <w:rFonts w:ascii="Times New Roman;serif" w:hAnsi="Times New Roman;serif"/>
                  <w:b w:val="false"/>
                  <w:color w:val="0000FF"/>
                  <w:sz w:val="20"/>
                  <w:u w:val="single"/>
                </w:rPr>
                <w:t>25</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200"/>
              <w:jc w:val="left"/>
              <w:rPr/>
            </w:pPr>
            <w:hyperlink w:anchor="i90a75bc136c64b4bbd6ed9cc29aea0df_124">
              <w:r>
                <w:rPr>
                  <w:rStyle w:val="InternetLink"/>
                  <w:rFonts w:ascii="Times New Roman;serif" w:hAnsi="Times New Roman;serif"/>
                  <w:b/>
                  <w:color w:val="0000FF"/>
                  <w:sz w:val="20"/>
                  <w:u w:val="single"/>
                </w:rPr>
                <w:t>DIRECTOR COMPENSATION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124">
              <w:r>
                <w:rPr>
                  <w:rStyle w:val="InternetLink"/>
                  <w:rFonts w:ascii="Times New Roman;serif" w:hAnsi="Times New Roman;serif"/>
                  <w:b w:val="false"/>
                  <w:color w:val="0000FF"/>
                  <w:sz w:val="20"/>
                  <w:u w:val="single"/>
                </w:rPr>
                <w:t>26</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200"/>
              <w:jc w:val="left"/>
              <w:rPr/>
            </w:pPr>
            <w:hyperlink w:anchor="i90a75bc136c64b4bbd6ed9cc29aea0df_127">
              <w:r>
                <w:rPr>
                  <w:rStyle w:val="InternetLink"/>
                  <w:rFonts w:ascii="Times New Roman;serif" w:hAnsi="Times New Roman;serif"/>
                  <w:b/>
                  <w:color w:val="0000FF"/>
                  <w:sz w:val="20"/>
                  <w:u w:val="single"/>
                </w:rPr>
                <w:t>SECURITY OWNERSHIP OF CERTAIN BENEFICIAL OWNERS AND MANAGEMENT</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127">
              <w:r>
                <w:rPr>
                  <w:rStyle w:val="InternetLink"/>
                  <w:rFonts w:ascii="Times New Roman;serif" w:hAnsi="Times New Roman;serif"/>
                  <w:b w:val="false"/>
                  <w:color w:val="0000FF"/>
                  <w:sz w:val="20"/>
                  <w:u w:val="single"/>
                </w:rPr>
                <w:t>27</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200"/>
              <w:jc w:val="left"/>
              <w:rPr/>
            </w:pPr>
            <w:hyperlink w:anchor="i90a75bc136c64b4bbd6ed9cc29aea0df_130">
              <w:r>
                <w:rPr>
                  <w:rStyle w:val="InternetLink"/>
                  <w:rFonts w:ascii="Times New Roman;serif" w:hAnsi="Times New Roman;serif"/>
                  <w:b/>
                  <w:color w:val="0000FF"/>
                  <w:sz w:val="20"/>
                  <w:u w:val="single"/>
                </w:rPr>
                <w:t>CERTAIN RELATIONSHIPS AND RELATED PERSON TRANSACTIONS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130">
              <w:r>
                <w:rPr>
                  <w:rStyle w:val="InternetLink"/>
                  <w:rFonts w:ascii="Times New Roman;serif" w:hAnsi="Times New Roman;serif"/>
                  <w:b w:val="false"/>
                  <w:color w:val="0000FF"/>
                  <w:sz w:val="20"/>
                  <w:u w:val="single"/>
                </w:rPr>
                <w:t>29</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600"/>
              <w:jc w:val="left"/>
              <w:rPr/>
            </w:pPr>
            <w:hyperlink w:anchor="i90a75bc136c64b4bbd6ed9cc29aea0df_133">
              <w:r>
                <w:rPr>
                  <w:rStyle w:val="InternetLink"/>
                  <w:rFonts w:ascii="Times New Roman;serif" w:hAnsi="Times New Roman;serif"/>
                  <w:b w:val="false"/>
                  <w:color w:val="0000FF"/>
                  <w:sz w:val="20"/>
                  <w:u w:val="single"/>
                </w:rPr>
                <w:t>POLICIES AND PROCEDURES FOR RELATED PERSON TRANSACTIONS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133">
              <w:r>
                <w:rPr>
                  <w:rStyle w:val="InternetLink"/>
                  <w:rFonts w:ascii="Times New Roman;serif" w:hAnsi="Times New Roman;serif"/>
                  <w:b w:val="false"/>
                  <w:color w:val="0000FF"/>
                  <w:sz w:val="20"/>
                  <w:u w:val="single"/>
                </w:rPr>
                <w:t>35</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200"/>
              <w:jc w:val="left"/>
              <w:rPr/>
            </w:pPr>
            <w:hyperlink w:anchor="i90a75bc136c64b4bbd6ed9cc29aea0df_136">
              <w:r>
                <w:rPr>
                  <w:rStyle w:val="InternetLink"/>
                  <w:rFonts w:ascii="Times New Roman;serif" w:hAnsi="Times New Roman;serif"/>
                  <w:b/>
                  <w:color w:val="0000FF"/>
                  <w:sz w:val="20"/>
                  <w:u w:val="single"/>
                </w:rPr>
                <w:t>OTHER MATTERS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136">
              <w:r>
                <w:rPr>
                  <w:rStyle w:val="InternetLink"/>
                  <w:rFonts w:ascii="Times New Roman;serif" w:hAnsi="Times New Roman;serif"/>
                  <w:b w:val="false"/>
                  <w:color w:val="0000FF"/>
                  <w:sz w:val="20"/>
                  <w:u w:val="single"/>
                </w:rPr>
                <w:t>36</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600"/>
              <w:jc w:val="left"/>
              <w:rPr/>
            </w:pPr>
            <w:hyperlink w:anchor="i90a75bc136c64b4bbd6ed9cc29aea0df_139">
              <w:r>
                <w:rPr>
                  <w:rStyle w:val="InternetLink"/>
                  <w:rFonts w:ascii="Times New Roman;serif" w:hAnsi="Times New Roman;serif"/>
                  <w:b w:val="false"/>
                  <w:color w:val="0000FF"/>
                  <w:sz w:val="20"/>
                  <w:u w:val="single"/>
                </w:rPr>
                <w:t>COMPENSATION COMMITTEE INTERLOCKS AND INSIDER PARTICIPATION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139">
              <w:r>
                <w:rPr>
                  <w:rStyle w:val="InternetLink"/>
                  <w:rFonts w:ascii="Times New Roman;serif" w:hAnsi="Times New Roman;serif"/>
                  <w:b w:val="false"/>
                  <w:color w:val="0000FF"/>
                  <w:sz w:val="20"/>
                  <w:u w:val="single"/>
                </w:rPr>
                <w:t>36</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600"/>
              <w:jc w:val="left"/>
              <w:rPr/>
            </w:pPr>
            <w:hyperlink w:anchor="i90a75bc136c64b4bbd6ed9cc29aea0df_142">
              <w:r>
                <w:rPr>
                  <w:rStyle w:val="InternetLink"/>
                  <w:rFonts w:ascii="Times New Roman;serif" w:hAnsi="Times New Roman;serif"/>
                  <w:b w:val="false"/>
                  <w:color w:val="0000FF"/>
                  <w:sz w:val="20"/>
                  <w:u w:val="single"/>
                </w:rPr>
                <w:t>DELINQUENT SECTION 16(A) REPORTS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142">
              <w:r>
                <w:rPr>
                  <w:rStyle w:val="InternetLink"/>
                  <w:rFonts w:ascii="Times New Roman;serif" w:hAnsi="Times New Roman;serif"/>
                  <w:b w:val="false"/>
                  <w:color w:val="0000FF"/>
                  <w:sz w:val="20"/>
                  <w:u w:val="single"/>
                </w:rPr>
                <w:t>36</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600"/>
              <w:jc w:val="left"/>
              <w:rPr/>
            </w:pPr>
            <w:hyperlink w:anchor="i90a75bc136c64b4bbd6ed9cc29aea0df_145">
              <w:r>
                <w:rPr>
                  <w:rStyle w:val="InternetLink"/>
                  <w:rFonts w:ascii="Times New Roman;serif" w:hAnsi="Times New Roman;serif"/>
                  <w:b w:val="false"/>
                  <w:color w:val="0000FF"/>
                  <w:sz w:val="20"/>
                  <w:u w:val="single"/>
                </w:rPr>
                <w:t>STOCKHOLDERS’ PROPOSALS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145">
              <w:r>
                <w:rPr>
                  <w:rStyle w:val="InternetLink"/>
                  <w:rFonts w:ascii="Times New Roman;serif" w:hAnsi="Times New Roman;serif"/>
                  <w:b w:val="false"/>
                  <w:color w:val="0000FF"/>
                  <w:sz w:val="20"/>
                  <w:u w:val="single"/>
                </w:rPr>
                <w:t>36</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600"/>
              <w:jc w:val="left"/>
              <w:rPr/>
            </w:pPr>
            <w:hyperlink w:anchor="i90a75bc136c64b4bbd6ed9cc29aea0df_148">
              <w:r>
                <w:rPr>
                  <w:rStyle w:val="InternetLink"/>
                  <w:rFonts w:ascii="Times New Roman;serif" w:hAnsi="Times New Roman;serif"/>
                  <w:b w:val="false"/>
                  <w:color w:val="0000FF"/>
                  <w:sz w:val="20"/>
                  <w:u w:val="single"/>
                </w:rPr>
                <w:t>OTHER MATTERS AT THE ANNUAL MEETING</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148">
              <w:r>
                <w:rPr>
                  <w:rStyle w:val="InternetLink"/>
                  <w:rFonts w:ascii="Times New Roman;serif" w:hAnsi="Times New Roman;serif"/>
                  <w:b w:val="false"/>
                  <w:color w:val="0000FF"/>
                  <w:sz w:val="20"/>
                  <w:u w:val="single"/>
                </w:rPr>
                <w:t>36</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600"/>
              <w:jc w:val="left"/>
              <w:rPr/>
            </w:pPr>
            <w:hyperlink w:anchor="i90a75bc136c64b4bbd6ed9cc29aea0df_151">
              <w:r>
                <w:rPr>
                  <w:rStyle w:val="InternetLink"/>
                  <w:rFonts w:ascii="Times New Roman;serif" w:hAnsi="Times New Roman;serif"/>
                  <w:b w:val="false"/>
                  <w:color w:val="0000FF"/>
                  <w:sz w:val="20"/>
                  <w:u w:val="single"/>
                </w:rPr>
                <w:t>SOLICITATION OF PROXIES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151">
              <w:r>
                <w:rPr>
                  <w:rStyle w:val="InternetLink"/>
                  <w:rFonts w:ascii="Times New Roman;serif" w:hAnsi="Times New Roman;serif"/>
                  <w:b w:val="false"/>
                  <w:color w:val="0000FF"/>
                  <w:sz w:val="20"/>
                  <w:u w:val="single"/>
                </w:rPr>
                <w:t>36</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300" w:before="0" w:after="2"/>
              <w:ind w:left="0" w:right="0" w:hanging="600"/>
              <w:jc w:val="left"/>
              <w:rPr/>
            </w:pPr>
            <w:hyperlink w:anchor="i90a75bc136c64b4bbd6ed9cc29aea0df_154">
              <w:r>
                <w:rPr>
                  <w:rStyle w:val="InternetLink"/>
                  <w:rFonts w:ascii="Times New Roman;serif" w:hAnsi="Times New Roman;serif"/>
                  <w:b w:val="false"/>
                  <w:color w:val="0000FF"/>
                  <w:sz w:val="20"/>
                  <w:u w:val="single"/>
                </w:rPr>
                <w:t>ANNUAL REPORT ON FORM 10-K</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90a75bc136c64b4bbd6ed9cc29aea0df_154">
              <w:r>
                <w:rPr>
                  <w:rStyle w:val="InternetLink"/>
                  <w:rFonts w:ascii="Times New Roman;serif" w:hAnsi="Times New Roman;serif"/>
                  <w:b w:val="false"/>
                  <w:color w:val="0000FF"/>
                  <w:sz w:val="20"/>
                  <w:u w:val="single"/>
                </w:rPr>
                <w:t>37</w:t>
              </w:r>
            </w:hyperlink>
          </w:p>
        </w:tc>
      </w:tr>
    </w:tbl>
    <w:p>
      <w:pPr>
        <w:pStyle w:val="TextBody"/>
        <w:bidi w:val="0"/>
        <w:spacing w:before="0" w:after="2"/>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righ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Forward Looking Statements</w:t>
      </w:r>
    </w:p>
    <w:p>
      <w:pPr>
        <w:pStyle w:val="TextBody"/>
        <w:bidi w:val="0"/>
        <w:spacing w:before="0" w:after="0"/>
        <w:jc w:val="left"/>
        <w:rPr/>
      </w:pPr>
      <w:r>
        <w:rPr/>
      </w:r>
    </w:p>
    <w:p>
      <w:pPr>
        <w:pStyle w:val="TextBody"/>
        <w:bidi w:val="0"/>
        <w:spacing w:lineRule="auto" w:line="268" w:before="0" w:after="120"/>
        <w:jc w:val="left"/>
        <w:rPr>
          <w:rFonts w:ascii="Times New Roman;serif" w:hAnsi="Times New Roman;serif"/>
          <w:b w:val="false"/>
          <w:color w:val="000000"/>
          <w:sz w:val="20"/>
        </w:rPr>
      </w:pPr>
      <w:r>
        <w:rPr>
          <w:rFonts w:ascii="Times New Roman;serif" w:hAnsi="Times New Roman;serif"/>
          <w:b w:val="false"/>
          <w:color w:val="000000"/>
          <w:sz w:val="20"/>
        </w:rPr>
        <w:t>Certain statements herein constitute forward-looking statements within the meaning of federal securities law, and as such are not historical facts. This includes, without limitation, statements regarding our financial position and business strategy, and the plans and objectives of management for our future operations. Such statements can be identified by the fact that they do not relate strictly to historical or current facts. When used in this proxy statement,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proxy statement, including, but not limited to:</w:t>
      </w:r>
    </w:p>
    <w:p>
      <w:pPr>
        <w:pStyle w:val="TextBody"/>
        <w:bidi w:val="0"/>
        <w:spacing w:lineRule="auto" w:line="268" w:before="180" w:after="120"/>
        <w:ind w:left="0" w:right="0" w:hanging="360"/>
        <w:jc w:val="left"/>
        <w:rPr/>
      </w:pPr>
      <w:r>
        <w:rPr>
          <w:color w:val="000000"/>
        </w:rPr>
        <w:t>•</w:t>
      </w:r>
      <w:r>
        <w:rPr>
          <w:rFonts w:ascii="Times New Roman;serif" w:hAnsi="Times New Roman;serif"/>
          <w:b w:val="false"/>
          <w:color w:val="000000"/>
          <w:sz w:val="20"/>
        </w:rPr>
        <w:t>our ability to attract new subscribers and to persuade existing subscribers to renew their subscription agreements with us and to purchase additional products and services from us;</w:t>
      </w:r>
    </w:p>
    <w:p>
      <w:pPr>
        <w:pStyle w:val="TextBody"/>
        <w:bidi w:val="0"/>
        <w:spacing w:lineRule="auto" w:line="300" w:before="180" w:after="2"/>
        <w:ind w:left="0" w:right="0" w:hanging="360"/>
        <w:jc w:val="left"/>
        <w:rPr/>
      </w:pPr>
      <w:r>
        <w:rPr>
          <w:color w:val="000000"/>
        </w:rPr>
        <w:t>•</w:t>
      </w:r>
      <w:r>
        <w:rPr>
          <w:rFonts w:ascii="Times New Roman;serif" w:hAnsi="Times New Roman;serif"/>
          <w:b w:val="false"/>
          <w:color w:val="000000"/>
          <w:sz w:val="20"/>
        </w:rPr>
        <w:t>our ability to adequately market our products and services, and to develop additional products and product offerings;</w:t>
      </w:r>
    </w:p>
    <w:p>
      <w:pPr>
        <w:pStyle w:val="TextBody"/>
        <w:bidi w:val="0"/>
        <w:spacing w:lineRule="auto" w:line="300" w:before="180" w:after="2"/>
        <w:ind w:left="0" w:right="0" w:hanging="360"/>
        <w:jc w:val="left"/>
        <w:rPr/>
      </w:pPr>
      <w:r>
        <w:rPr>
          <w:color w:val="000000"/>
        </w:rPr>
        <w:t>•</w:t>
      </w:r>
      <w:r>
        <w:rPr>
          <w:rFonts w:ascii="Times New Roman;serif" w:hAnsi="Times New Roman;serif"/>
          <w:b w:val="false"/>
          <w:color w:val="000000"/>
          <w:sz w:val="20"/>
        </w:rPr>
        <w:t>our ability to manage our growth effectively, including through acquisitions;</w:t>
      </w:r>
    </w:p>
    <w:p>
      <w:pPr>
        <w:pStyle w:val="TextBody"/>
        <w:bidi w:val="0"/>
        <w:spacing w:lineRule="auto" w:line="300" w:before="180" w:after="2"/>
        <w:ind w:left="0" w:right="0" w:hanging="360"/>
        <w:jc w:val="left"/>
        <w:rPr/>
      </w:pPr>
      <w:r>
        <w:rPr>
          <w:color w:val="000000"/>
        </w:rPr>
        <w:t>•</w:t>
      </w:r>
      <w:r>
        <w:rPr>
          <w:rFonts w:ascii="Times New Roman;serif" w:hAnsi="Times New Roman;serif"/>
          <w:b w:val="false"/>
          <w:color w:val="000000"/>
          <w:sz w:val="20"/>
        </w:rPr>
        <w:t>failure to maintain and protect our reputation for trustworthiness and independence;</w:t>
      </w:r>
    </w:p>
    <w:p>
      <w:pPr>
        <w:pStyle w:val="TextBody"/>
        <w:bidi w:val="0"/>
        <w:spacing w:lineRule="auto" w:line="300" w:before="180" w:after="2"/>
        <w:ind w:left="0" w:right="0" w:hanging="360"/>
        <w:jc w:val="left"/>
        <w:rPr/>
      </w:pPr>
      <w:r>
        <w:rPr>
          <w:color w:val="000000"/>
        </w:rPr>
        <w:t>•</w:t>
      </w:r>
      <w:r>
        <w:rPr>
          <w:rFonts w:ascii="Times New Roman;serif" w:hAnsi="Times New Roman;serif"/>
          <w:b w:val="false"/>
          <w:color w:val="000000"/>
          <w:sz w:val="20"/>
        </w:rPr>
        <w:t>our ability to attract, develop, and retain capable management, editors, and other key personnel;</w:t>
      </w:r>
    </w:p>
    <w:p>
      <w:pPr>
        <w:pStyle w:val="TextBody"/>
        <w:bidi w:val="0"/>
        <w:spacing w:lineRule="auto" w:line="300" w:before="180" w:after="2"/>
        <w:ind w:left="0" w:right="0" w:hanging="360"/>
        <w:jc w:val="left"/>
        <w:rPr/>
      </w:pPr>
      <w:r>
        <w:rPr>
          <w:color w:val="000000"/>
        </w:rPr>
        <w:t>•</w:t>
      </w:r>
      <w:r>
        <w:rPr>
          <w:rFonts w:ascii="Times New Roman;serif" w:hAnsi="Times New Roman;serif"/>
          <w:b w:val="false"/>
          <w:color w:val="000000"/>
          <w:sz w:val="20"/>
        </w:rPr>
        <w:t>our ability to grow market share in our existing markets or any new markets we may enter;</w:t>
      </w:r>
    </w:p>
    <w:p>
      <w:pPr>
        <w:pStyle w:val="TextBody"/>
        <w:bidi w:val="0"/>
        <w:spacing w:lineRule="auto" w:line="300" w:before="180" w:after="2"/>
        <w:ind w:left="0" w:right="0" w:hanging="360"/>
        <w:jc w:val="left"/>
        <w:rPr/>
      </w:pPr>
      <w:r>
        <w:rPr>
          <w:color w:val="000000"/>
        </w:rPr>
        <w:t>•</w:t>
      </w:r>
      <w:r>
        <w:rPr>
          <w:rFonts w:ascii="Times New Roman;serif" w:hAnsi="Times New Roman;serif"/>
          <w:b w:val="false"/>
          <w:color w:val="000000"/>
          <w:sz w:val="20"/>
        </w:rPr>
        <w:t>adverse or weakened conditions in the financial sector, global financial markets, and global economy;</w:t>
      </w:r>
    </w:p>
    <w:p>
      <w:pPr>
        <w:pStyle w:val="TextBody"/>
        <w:bidi w:val="0"/>
        <w:spacing w:lineRule="auto" w:line="300" w:before="180" w:after="2"/>
        <w:ind w:left="0" w:right="0" w:hanging="360"/>
        <w:jc w:val="left"/>
        <w:rPr/>
      </w:pPr>
      <w:r>
        <w:rPr>
          <w:color w:val="000000"/>
        </w:rPr>
        <w:t>•</w:t>
      </w:r>
      <w:r>
        <w:rPr>
          <w:rFonts w:ascii="Times New Roman;serif" w:hAnsi="Times New Roman;serif"/>
          <w:b w:val="false"/>
          <w:color w:val="000000"/>
          <w:sz w:val="20"/>
        </w:rPr>
        <w:t>our ability to respond to and adapt to changes in technology and consumer behavior;</w:t>
      </w:r>
    </w:p>
    <w:p>
      <w:pPr>
        <w:pStyle w:val="TextBody"/>
        <w:bidi w:val="0"/>
        <w:spacing w:lineRule="auto" w:line="300" w:before="180" w:after="2"/>
        <w:ind w:left="0" w:right="0" w:hanging="360"/>
        <w:jc w:val="left"/>
        <w:rPr/>
      </w:pPr>
      <w:r>
        <w:rPr>
          <w:color w:val="000000"/>
        </w:rPr>
        <w:t>•</w:t>
      </w:r>
      <w:r>
        <w:rPr>
          <w:rFonts w:ascii="Times New Roman;serif" w:hAnsi="Times New Roman;serif"/>
          <w:b w:val="false"/>
          <w:color w:val="000000"/>
          <w:sz w:val="20"/>
        </w:rPr>
        <w:t>failure to successfully identify and integrate acquisitions, or dispose of assets and businesses;</w:t>
      </w:r>
    </w:p>
    <w:p>
      <w:pPr>
        <w:pStyle w:val="TextBody"/>
        <w:bidi w:val="0"/>
        <w:spacing w:lineRule="auto" w:line="300" w:before="180" w:after="2"/>
        <w:ind w:left="0" w:right="0" w:hanging="360"/>
        <w:jc w:val="left"/>
        <w:rPr/>
      </w:pPr>
      <w:r>
        <w:rPr>
          <w:color w:val="000000"/>
        </w:rPr>
        <w:t>•</w:t>
      </w:r>
      <w:r>
        <w:rPr>
          <w:rFonts w:ascii="Times New Roman;serif" w:hAnsi="Times New Roman;serif"/>
          <w:b w:val="false"/>
          <w:color w:val="000000"/>
          <w:sz w:val="20"/>
        </w:rPr>
        <w:t>our public securities’ potential liquidity and trading;</w:t>
      </w:r>
    </w:p>
    <w:p>
      <w:pPr>
        <w:pStyle w:val="TextBody"/>
        <w:bidi w:val="0"/>
        <w:spacing w:lineRule="auto" w:line="300" w:before="180" w:after="2"/>
        <w:ind w:left="0" w:right="0" w:hanging="360"/>
        <w:jc w:val="left"/>
        <w:rPr/>
      </w:pPr>
      <w:r>
        <w:rPr>
          <w:color w:val="000000"/>
        </w:rPr>
        <w:t>•</w:t>
      </w:r>
      <w:r>
        <w:rPr>
          <w:rFonts w:ascii="Times New Roman;serif" w:hAnsi="Times New Roman;serif"/>
          <w:b w:val="false"/>
          <w:color w:val="000000"/>
          <w:sz w:val="20"/>
        </w:rPr>
        <w:t>the impact of the regulatory environment and complexities with compliance related to such environment;</w:t>
      </w:r>
    </w:p>
    <w:p>
      <w:pPr>
        <w:pStyle w:val="TextBody"/>
        <w:bidi w:val="0"/>
        <w:spacing w:lineRule="auto" w:line="300" w:before="180" w:after="2"/>
        <w:ind w:left="0" w:right="0" w:hanging="360"/>
        <w:jc w:val="left"/>
        <w:rPr/>
      </w:pPr>
      <w:r>
        <w:rPr>
          <w:color w:val="000000"/>
        </w:rPr>
        <w:t>•</w:t>
      </w:r>
      <w:r>
        <w:rPr>
          <w:rFonts w:ascii="Times New Roman;serif" w:hAnsi="Times New Roman;serif"/>
          <w:b w:val="false"/>
          <w:color w:val="000000"/>
          <w:sz w:val="20"/>
        </w:rPr>
        <w:t>our future capital needs;</w:t>
      </w:r>
    </w:p>
    <w:p>
      <w:pPr>
        <w:pStyle w:val="TextBody"/>
        <w:bidi w:val="0"/>
        <w:spacing w:lineRule="auto" w:line="300" w:before="180" w:after="2"/>
        <w:ind w:left="0" w:right="0" w:hanging="360"/>
        <w:jc w:val="left"/>
        <w:rPr/>
      </w:pPr>
      <w:r>
        <w:rPr>
          <w:color w:val="000000"/>
        </w:rPr>
        <w:t>•</w:t>
      </w:r>
      <w:r>
        <w:rPr>
          <w:rFonts w:ascii="Times New Roman;serif" w:hAnsi="Times New Roman;serif"/>
          <w:b w:val="false"/>
          <w:color w:val="000000"/>
          <w:sz w:val="20"/>
        </w:rPr>
        <w:t>our ability to maintain an effective system of internal control over financial reporting, and to address and remediate existing material weaknesses in our internal control over financial reporting;</w:t>
      </w:r>
    </w:p>
    <w:p>
      <w:pPr>
        <w:pStyle w:val="TextBody"/>
        <w:bidi w:val="0"/>
        <w:spacing w:lineRule="auto" w:line="300" w:before="180" w:after="2"/>
        <w:ind w:left="0" w:right="0" w:hanging="360"/>
        <w:jc w:val="left"/>
        <w:rPr/>
      </w:pPr>
      <w:r>
        <w:rPr>
          <w:color w:val="000000"/>
        </w:rPr>
        <w:t>•</w:t>
      </w:r>
      <w:r>
        <w:rPr>
          <w:rFonts w:ascii="Times New Roman;serif" w:hAnsi="Times New Roman;serif"/>
          <w:b w:val="false"/>
          <w:color w:val="000000"/>
          <w:sz w:val="20"/>
        </w:rPr>
        <w:t>our ability to maintain and protect our intellectual property; and</w:t>
      </w:r>
    </w:p>
    <w:p>
      <w:pPr>
        <w:pStyle w:val="TextBody"/>
        <w:bidi w:val="0"/>
        <w:spacing w:lineRule="auto" w:line="300" w:before="180" w:after="2"/>
        <w:ind w:left="0" w:right="0" w:hanging="360"/>
        <w:jc w:val="left"/>
        <w:rPr/>
      </w:pPr>
      <w:r>
        <w:rPr>
          <w:color w:val="000000"/>
        </w:rPr>
        <w:t>•</w:t>
      </w:r>
      <w:r>
        <w:rPr>
          <w:rFonts w:ascii="Times New Roman;serif" w:hAnsi="Times New Roman;serif"/>
          <w:b w:val="false"/>
          <w:color w:val="000000"/>
          <w:sz w:val="20"/>
        </w:rPr>
        <w:t>other factors detailed under the section entitled “Risk Factors” of our Annual Report on Form 10-K for the year ended December 31, 2025, and our other filings with the Securities and Exchange Commission.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based on information available as of the date of this proxy statement and current expectations, forecasts, and assumptions, and involve a number of judgments, risks, and uncertainties. Additionally, as a result of a number of known and unknown risks and uncertainties, our actual results or performance may be materially different from those expressed or implied by these forward-looking statements. Accordingly, forward-looking statements should not be relied upon as representing our views as of any subsequent date, and we do not undertake any obligation to update forward-looking statements for any reason, except as may be required under applicable securities laws.</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righ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36"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bl>
    <w:tbl>
      <w:tblPr>
        <w:tblW w:w="2114" w:type="dxa"/>
        <w:jc w:val="left"/>
        <w:tblInd w:w="0" w:type="dxa"/>
        <w:tblLayout w:type="fixed"/>
        <w:tblCellMar>
          <w:top w:w="28" w:type="dxa"/>
          <w:left w:w="28" w:type="dxa"/>
          <w:bottom w:w="28" w:type="dxa"/>
          <w:right w:w="28" w:type="dxa"/>
        </w:tblCellMar>
      </w:tblPr>
      <w:tblGrid>
        <w:gridCol w:w="677"/>
        <w:gridCol w:w="595"/>
        <w:gridCol w:w="842"/>
      </w:tblGrid>
      <w:tr>
        <w:trPr/>
        <w:tc>
          <w:tcPr>
            <w:tcW w:w="67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PROXY STATEMENT</w:t>
            </w:r>
          </w:p>
        </w:tc>
      </w:tr>
    </w:tbl>
    <w:p>
      <w:pPr>
        <w:pStyle w:val="TextBody"/>
        <w:bidi w:val="0"/>
        <w:spacing w:before="0" w:after="0"/>
        <w:jc w:val="left"/>
        <w:rPr/>
      </w:pPr>
      <w:r>
        <w:rPr/>
      </w:r>
    </w:p>
    <w:tbl>
      <w:tblPr>
        <w:tblW w:w="3989" w:type="dxa"/>
        <w:jc w:val="left"/>
        <w:tblInd w:w="0" w:type="dxa"/>
        <w:tblLayout w:type="fixed"/>
        <w:tblCellMar>
          <w:top w:w="28" w:type="dxa"/>
          <w:left w:w="28" w:type="dxa"/>
          <w:bottom w:w="28" w:type="dxa"/>
          <w:right w:w="28" w:type="dxa"/>
        </w:tblCellMar>
      </w:tblPr>
      <w:tblGrid>
        <w:gridCol w:w="1276"/>
        <w:gridCol w:w="1123"/>
        <w:gridCol w:w="1590"/>
      </w:tblGrid>
      <w:tr>
        <w:trPr/>
        <w:tc>
          <w:tcPr>
            <w:tcW w:w="127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MARKETWISE, INC.</w:t>
              <w:br/>
              <w:t>1125 N. Charles Street, Baltimore, MD 21201</w:t>
            </w:r>
          </w:p>
        </w:tc>
      </w:tr>
    </w:tbl>
    <w:p>
      <w:pPr>
        <w:pStyle w:val="TextBody"/>
        <w:bidi w:val="0"/>
        <w:spacing w:lineRule="auto" w:line="240" w:before="240" w:after="283"/>
        <w:jc w:val="left"/>
        <w:rPr/>
      </w:pPr>
      <w:r>
        <w:rPr>
          <w:rFonts w:ascii="Times New Roman;serif" w:hAnsi="Times New Roman;serif"/>
          <w:b w:val="false"/>
          <w:color w:val="000000"/>
          <w:sz w:val="20"/>
        </w:rPr>
        <w:t xml:space="preserve">This proxy statement is furnished in connection with the solicitation by your Board of Directors of MarketWise, Inc. of proxies to be voted at our Annual Meeting of Stockholders to be held at 10:00 a.m. Eastern Time on June 4, 2026 (the “Annual Meeting”), and at any continuation, postponement or adjournment of the Annual Meeting. The Annual Meeting will be a completely virtual meeting, which will be conducted via live webcast. You will be able to attend the Annual Meeting, vote your shares electronically and submit your questions during the meeting by visiting </w:t>
      </w:r>
      <w:r>
        <w:rPr>
          <w:rFonts w:ascii="Times New Roman;serif" w:hAnsi="Times New Roman;serif"/>
          <w:b w:val="false"/>
          <w:i/>
          <w:color w:val="0E32E1"/>
          <w:sz w:val="20"/>
          <w:u w:val="single"/>
        </w:rPr>
        <w:t>www.virtualshareholdermeeting.com/MKTW2026</w:t>
      </w:r>
      <w:r>
        <w:rPr>
          <w:rFonts w:ascii="Times New Roman;serif" w:hAnsi="Times New Roman;serif"/>
          <w:b w:val="false"/>
          <w:color w:val="000000"/>
          <w:sz w:val="20"/>
        </w:rPr>
        <w:t>. Instructions regarding how you can vote are included in your Notice of Internet Availability of Proxy Materials, on your proxy card or on the instructions that accompanied your proxy materials.</w:t>
      </w:r>
    </w:p>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Holders of record of outstanding shares of capital stock, composed of Class A common stock, par value $0.0001 per share (the “Class A common stock”) and Class B common stock, par value $0.0001 (the “Class B common stock” and, together with the Class A common stock, “Common Stock”), at the close of business on April 6, 2026 (the “Record Date”), will be entitled to notice of and to vote at the Annual Meeting and any continuation, postponement or adjournment of the Annual Meeting, and will vote together as a single class on all matters presented at the Annual Meeting. As of the Record Date, there were 2,637,037 shares of Class A common stock and 13,512,641 shares of Class B common stock issued and outstanding and entitled to vote at the Annual Meeting, representing 16.3%, and 83.7% combined voting power of our Common Stock, respectively. Each outstanding share of our Common Stock entitles its holder to one vote per share on all matters to be presented to our stockholders.</w:t>
      </w:r>
    </w:p>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This proxy statement will be released on or about April 17, 2026 to our stockholders as of the Record Date.</w:t>
      </w:r>
    </w:p>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In this proxy statement, “we,” “us,” “our,” the “Company” and “MarketWise” refer to MarketWise, Inc., and, unless otherwise stated, all of its subsidiaries.</w:t>
      </w:r>
    </w:p>
    <w:p>
      <w:pPr>
        <w:pStyle w:val="TextBody"/>
        <w:bidi w:val="0"/>
        <w:spacing w:lineRule="auto" w:line="240" w:before="225" w:after="283"/>
        <w:jc w:val="left"/>
        <w:rPr>
          <w:rFonts w:ascii="Times New Roman;serif" w:hAnsi="Times New Roman;serif"/>
          <w:b/>
          <w:color w:val="000000"/>
          <w:sz w:val="20"/>
        </w:rPr>
      </w:pPr>
      <w:r>
        <w:rPr>
          <w:rFonts w:ascii="Times New Roman;serif" w:hAnsi="Times New Roman;serif"/>
          <w:b/>
          <w:color w:val="000000"/>
          <w:sz w:val="20"/>
        </w:rPr>
        <w:t>IMPORTANT NOTICE REGARDING THE AVAILABILITY OF PROXY MATERIALS FOR THE STOCKHOLDER MEETING TO BE HELD ON THURSDAY, JUNE 4, 2026.</w:t>
      </w:r>
    </w:p>
    <w:p>
      <w:pPr>
        <w:pStyle w:val="TextBody"/>
        <w:bidi w:val="0"/>
        <w:spacing w:lineRule="auto" w:line="240" w:before="225" w:after="283"/>
        <w:jc w:val="left"/>
        <w:rPr/>
      </w:pPr>
      <w:r>
        <w:rPr>
          <w:rFonts w:ascii="Times New Roman;serif" w:hAnsi="Times New Roman;serif"/>
          <w:b/>
          <w:color w:val="000000"/>
          <w:sz w:val="20"/>
        </w:rPr>
        <w:t xml:space="preserve">This Proxy Statement and our 2025 Annual Report to Stockholders are available at </w:t>
      </w:r>
      <w:r>
        <w:rPr>
          <w:rFonts w:ascii="Times New Roman;serif" w:hAnsi="Times New Roman;serif"/>
          <w:b/>
          <w:i/>
          <w:color w:val="0E32E1"/>
          <w:sz w:val="20"/>
          <w:u w:val="single"/>
        </w:rPr>
        <w:t>investors.marketwise.com</w:t>
      </w:r>
      <w:r>
        <w:rPr>
          <w:rFonts w:ascii="Times New Roman;serif" w:hAnsi="Times New Roman;serif"/>
          <w:b/>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321" w:type="dxa"/>
        <w:jc w:val="left"/>
        <w:tblInd w:w="0" w:type="dxa"/>
        <w:tblLayout w:type="fixed"/>
        <w:tblCellMar>
          <w:top w:w="28" w:type="dxa"/>
          <w:left w:w="28" w:type="dxa"/>
          <w:bottom w:w="28" w:type="dxa"/>
          <w:right w:w="28" w:type="dxa"/>
        </w:tblCellMar>
      </w:tblPr>
      <w:tblGrid>
        <w:gridCol w:w="423"/>
        <w:gridCol w:w="372"/>
        <w:gridCol w:w="526"/>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PROPOSALS</w:t>
            </w:r>
          </w:p>
        </w:tc>
      </w:tr>
    </w:tbl>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At the Annual Meeting, our stockholders will be asked: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47"/>
        <w:gridCol w:w="2727"/>
        <w:gridCol w:w="38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38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br/>
              <w:t> </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To elect Matthew Turner to serve as a Class II Director until the 2029 Annual Meeting of Stockholders</w:t>
            </w:r>
            <w:r>
              <w:rPr>
                <w:color w:val="000000"/>
                <w:shd w:fill="FFFFFF" w:val="clear"/>
              </w:rPr>
              <w:t xml:space="preserve"> </w:t>
            </w:r>
            <w:r>
              <w:rPr>
                <w:rFonts w:ascii="Times New Roman;serif" w:hAnsi="Times New Roman;serif"/>
                <w:b w:val="false"/>
                <w:color w:val="000000"/>
                <w:sz w:val="20"/>
                <w:shd w:fill="FFFFFF" w:val="clear"/>
              </w:rPr>
              <w:t>and u</w:t>
            </w:r>
            <w:r>
              <w:rPr>
                <w:rFonts w:ascii="Times New Roman;serif" w:hAnsi="Times New Roman;serif"/>
                <w:b w:val="false"/>
                <w:color w:val="000000"/>
                <w:sz w:val="20"/>
              </w:rPr>
              <w:t>ntil his successor is duly elected and qualified (the "Election of Directors Proposal");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 approve, on an advisory (non-binding) basis, the compensation of our named executive officers, as described in the accompanying proxy statement (the "Say-on-Pay Proposal");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br/>
              <w:t>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 approve, on an advisory (non-binding) basis, the frequency with which we will conduct future say-on-pay proposals (the "Say-on-Frequency Proposal");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br/>
              <w:t> </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 ratify the appointment of Grant Thornton LLP as our independent registered public accounting firm for the fiscal year ending December 31, 2026 (the "Auditor Ratification Proposal");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 transact such other business as may properly come before the Annual Meeting or any continuation, postponement or adjournment of the Annual Meeting.</w:t>
            </w:r>
          </w:p>
        </w:tc>
      </w:tr>
    </w:tbl>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pStyle w:val="TextBody"/>
        <w:bidi w:val="0"/>
        <w:spacing w:before="0" w:after="0"/>
        <w:jc w:val="left"/>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734" w:type="dxa"/>
        <w:jc w:val="left"/>
        <w:tblInd w:w="0" w:type="dxa"/>
        <w:tblLayout w:type="fixed"/>
        <w:tblCellMar>
          <w:top w:w="28" w:type="dxa"/>
          <w:left w:w="28" w:type="dxa"/>
          <w:bottom w:w="28" w:type="dxa"/>
          <w:right w:w="28" w:type="dxa"/>
        </w:tblCellMar>
      </w:tblPr>
      <w:tblGrid>
        <w:gridCol w:w="1195"/>
        <w:gridCol w:w="1051"/>
        <w:gridCol w:w="1488"/>
      </w:tblGrid>
      <w:tr>
        <w:trP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RECOMMENDATIONS OF THE BOARD</w:t>
            </w:r>
          </w:p>
        </w:tc>
      </w:tr>
    </w:tbl>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The Board of Directors (the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your proxy will be voted, and the Board unanimously recommends that you vote, as follows:</w:t>
      </w:r>
    </w:p>
    <w:p>
      <w:pPr>
        <w:pStyle w:val="TextBody"/>
        <w:bidi w:val="0"/>
        <w:spacing w:before="0" w:after="283"/>
        <w:jc w:val="left"/>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36"/>
        <w:gridCol w:w="119"/>
        <w:gridCol w:w="121"/>
        <w:gridCol w:w="2893"/>
        <w:gridCol w:w="2870"/>
        <w:gridCol w:w="4066"/>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vAlign w:val="center"/>
          </w:tcPr>
          <w:p>
            <w:pPr>
              <w:pStyle w:val="TableContents"/>
              <w:bidi w:val="0"/>
              <w:spacing w:before="0" w:after="283"/>
              <w:jc w:val="left"/>
              <w:rPr>
                <w:sz w:val="4"/>
                <w:szCs w:val="4"/>
              </w:rPr>
            </w:pPr>
            <w:r>
              <w:rPr>
                <w:sz w:val="4"/>
                <w:szCs w:val="4"/>
              </w:rPr>
            </w:r>
          </w:p>
        </w:tc>
        <w:tc>
          <w:tcPr>
            <w:tcW w:w="9829" w:type="dxa"/>
            <w:gridSpan w:val="3"/>
            <w:tcBorders/>
            <w:vAlign w:val="center"/>
          </w:tcPr>
          <w:p>
            <w:pPr>
              <w:pStyle w:val="TableContents"/>
              <w:bidi w:val="0"/>
              <w:spacing w:before="0" w:after="283"/>
              <w:jc w:val="left"/>
              <w:rPr>
                <w:sz w:val="4"/>
                <w:szCs w:val="4"/>
              </w:rPr>
            </w:pPr>
            <w:r>
              <w:rPr>
                <w:sz w:val="4"/>
                <w:szCs w:val="4"/>
              </w:rPr>
            </w:r>
          </w:p>
        </w:tc>
      </w:tr>
      <w:tr>
        <w:trPr/>
        <w:tc>
          <w:tcPr>
            <w:tcW w:w="3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2"/>
              <w:jc w:val="center"/>
              <w:rPr>
                <w:rFonts w:ascii="Wingdings 2;sans-serif" w:hAnsi="Wingdings 2;sans-serif"/>
                <w:b w:val="false"/>
                <w:color w:val="000000"/>
                <w:sz w:val="28"/>
              </w:rPr>
            </w:pPr>
            <w:r>
              <w:rPr>
                <w:rFonts w:ascii="Wingdings 2;sans-serif" w:hAnsi="Wingdings 2;sans-serif"/>
                <w:b w:val="false"/>
                <w:color w:val="000000"/>
                <w:sz w:val="28"/>
              </w:rPr>
              <w:t>u</w:t>
            </w:r>
          </w:p>
        </w:tc>
        <w:tc>
          <w:tcPr>
            <w:tcW w:w="98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FOR the election of Matthew Turner to serve as a Class II Director until the 2029 Annual Meeting of Stockholders</w:t>
            </w:r>
            <w:r>
              <w:rPr>
                <w:color w:val="000000"/>
                <w:shd w:fill="FFFFFF" w:val="clear"/>
              </w:rPr>
              <w:t xml:space="preserve"> </w:t>
            </w:r>
            <w:r>
              <w:rPr>
                <w:rFonts w:ascii="Times New Roman;serif" w:hAnsi="Times New Roman;serif"/>
                <w:b w:val="false"/>
                <w:color w:val="000000"/>
                <w:sz w:val="20"/>
                <w:shd w:fill="FFFFFF" w:val="clear"/>
              </w:rPr>
              <w:t>and u</w:t>
            </w:r>
            <w:r>
              <w:rPr>
                <w:rFonts w:ascii="Times New Roman;serif" w:hAnsi="Times New Roman;serif"/>
                <w:b w:val="false"/>
                <w:color w:val="000000"/>
                <w:sz w:val="20"/>
              </w:rPr>
              <w:t>ntil his successor is duly elected and qualified;</w:t>
            </w:r>
          </w:p>
        </w:tc>
      </w:tr>
      <w:tr>
        <w:trPr/>
        <w:tc>
          <w:tcPr>
            <w:tcW w:w="3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2"/>
              <w:jc w:val="center"/>
              <w:rPr>
                <w:rFonts w:ascii="Wingdings 2;sans-serif" w:hAnsi="Wingdings 2;sans-serif"/>
                <w:b w:val="false"/>
                <w:color w:val="000000"/>
                <w:sz w:val="28"/>
              </w:rPr>
            </w:pPr>
            <w:r>
              <w:rPr>
                <w:rFonts w:ascii="Wingdings 2;sans-serif" w:hAnsi="Wingdings 2;sans-serif"/>
                <w:b w:val="false"/>
                <w:color w:val="000000"/>
                <w:sz w:val="28"/>
              </w:rPr>
              <w:t>v</w:t>
            </w:r>
          </w:p>
        </w:tc>
        <w:tc>
          <w:tcPr>
            <w:tcW w:w="98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FOR the say-on-pay resolution approving, on an advisory (non-binding basis), the compensation of the Company's named executive officers;</w:t>
            </w:r>
          </w:p>
        </w:tc>
      </w:tr>
      <w:tr>
        <w:trPr/>
        <w:tc>
          <w:tcPr>
            <w:tcW w:w="3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2"/>
              <w:jc w:val="center"/>
              <w:rPr>
                <w:rFonts w:ascii="Wingdings 2;sans-serif" w:hAnsi="Wingdings 2;sans-serif"/>
                <w:b w:val="false"/>
                <w:color w:val="000000"/>
                <w:sz w:val="28"/>
              </w:rPr>
            </w:pPr>
            <w:r>
              <w:rPr>
                <w:rFonts w:ascii="Wingdings 2;sans-serif" w:hAnsi="Wingdings 2;sans-serif"/>
                <w:b w:val="false"/>
                <w:color w:val="000000"/>
                <w:sz w:val="28"/>
              </w:rPr>
              <w:t>w</w:t>
            </w:r>
          </w:p>
        </w:tc>
        <w:tc>
          <w:tcPr>
            <w:tcW w:w="98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FOR "three years" as the frequency with which the Company will conduct future say-on-pay votes; and</w:t>
            </w:r>
          </w:p>
        </w:tc>
      </w:tr>
      <w:tr>
        <w:trPr/>
        <w:tc>
          <w:tcPr>
            <w:tcW w:w="3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00" w:before="0" w:after="2"/>
              <w:jc w:val="center"/>
              <w:rPr>
                <w:rFonts w:ascii="Wingdings 2;sans-serif" w:hAnsi="Wingdings 2;sans-serif"/>
                <w:b w:val="false"/>
                <w:color w:val="000000"/>
                <w:sz w:val="28"/>
              </w:rPr>
            </w:pPr>
            <w:r>
              <w:rPr>
                <w:rFonts w:ascii="Wingdings 2;sans-serif" w:hAnsi="Wingdings 2;sans-serif"/>
                <w:b w:val="false"/>
                <w:color w:val="000000"/>
                <w:sz w:val="28"/>
              </w:rPr>
              <w:t>x</w:t>
            </w:r>
          </w:p>
        </w:tc>
        <w:tc>
          <w:tcPr>
            <w:tcW w:w="982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FOR the ratification of the appointment of Grant Thornton LLP as our independent registered public accounting firm for the fiscal year ending December 31, 2026.</w:t>
            </w:r>
          </w:p>
        </w:tc>
      </w:tr>
    </w:tbl>
    <w:p>
      <w:pPr>
        <w:pStyle w:val="TextBody"/>
        <w:bidi w:val="0"/>
        <w:spacing w:before="225"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830" w:type="dxa"/>
        <w:jc w:val="left"/>
        <w:tblInd w:w="0" w:type="dxa"/>
        <w:tblLayout w:type="fixed"/>
        <w:tblCellMar>
          <w:top w:w="28" w:type="dxa"/>
          <w:left w:w="28" w:type="dxa"/>
          <w:bottom w:w="28" w:type="dxa"/>
          <w:right w:w="28" w:type="dxa"/>
        </w:tblCellMar>
      </w:tblPr>
      <w:tblGrid>
        <w:gridCol w:w="1545"/>
        <w:gridCol w:w="1360"/>
        <w:gridCol w:w="1925"/>
      </w:tblGrid>
      <w:tr>
        <w:trPr/>
        <w:tc>
          <w:tcPr>
            <w:tcW w:w="154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INFORMATION ABOUT THIS PROXY STATEMENT</w:t>
            </w:r>
          </w:p>
        </w:tc>
      </w:tr>
    </w:tbl>
    <w:p>
      <w:pPr>
        <w:pStyle w:val="TextBody"/>
        <w:bidi w:val="0"/>
        <w:spacing w:before="0" w:after="0"/>
        <w:jc w:val="left"/>
        <w:rPr/>
      </w:pPr>
      <w:r>
        <w:rPr/>
      </w:r>
    </w:p>
    <w:p>
      <w:pPr>
        <w:pStyle w:val="TextBody"/>
        <w:bidi w:val="0"/>
        <w:spacing w:lineRule="auto" w:line="240" w:before="0" w:after="2"/>
        <w:jc w:val="left"/>
        <w:rPr/>
      </w:pPr>
      <w:r>
        <w:rPr>
          <w:rFonts w:ascii="Times New Roman;serif" w:hAnsi="Times New Roman;serif"/>
          <w:b/>
          <w:color w:val="000000"/>
          <w:sz w:val="20"/>
        </w:rPr>
        <w:t>Why you received this proxy statement</w:t>
      </w:r>
      <w:r>
        <w:rPr>
          <w:rFonts w:ascii="Times New Roman;serif" w:hAnsi="Times New Roman;serif"/>
          <w:b w:val="false"/>
          <w:color w:val="000000"/>
          <w:sz w:val="20"/>
        </w:rPr>
        <w:t>. You are viewing or have received these proxy materials because MarketWise’s Board is soliciting your proxy to vote your shares at the Annual Meeting. This proxy statement includes information that we are required to provide to you under the rules of the Securities and Exchange Commission (the “SEC”) and will help you make an informed decision when voting your shares.</w:t>
      </w:r>
    </w:p>
    <w:p>
      <w:pPr>
        <w:pStyle w:val="TextBody"/>
        <w:bidi w:val="0"/>
        <w:spacing w:lineRule="auto" w:line="240" w:before="240" w:after="283"/>
        <w:jc w:val="left"/>
        <w:rPr/>
      </w:pPr>
      <w:r>
        <w:rPr>
          <w:rFonts w:ascii="Times New Roman;serif" w:hAnsi="Times New Roman;serif"/>
          <w:b/>
          <w:color w:val="000000"/>
          <w:sz w:val="20"/>
        </w:rPr>
        <w:t>Notice of Internet Availability of Proxy Materials.</w:t>
      </w:r>
      <w:r>
        <w:rPr>
          <w:color w:val="000000"/>
        </w:rPr>
        <w:t xml:space="preserve"> </w:t>
      </w:r>
      <w:r>
        <w:rPr>
          <w:rFonts w:ascii="Times New Roman;serif" w:hAnsi="Times New Roman;serif"/>
          <w:b w:val="false"/>
          <w:color w:val="000000"/>
          <w:sz w:val="20"/>
        </w:rPr>
        <w:t xml:space="preserve">As permitted by SEC rules, MarketWise is making this proxy statement and its 2025 Annual Report available to its stockholders electronically via the Internet. On or about April 17, 2026, we mailed to our stockholders a Notice of Internet Availability of Proxy Materials (the “Internet Notice”) containing instructions on how to access this proxy statement and our 2025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2025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 </w:t>
      </w:r>
    </w:p>
    <w:p>
      <w:pPr>
        <w:pStyle w:val="TextBody"/>
        <w:bidi w:val="0"/>
        <w:spacing w:lineRule="auto" w:line="240" w:before="240" w:after="283"/>
        <w:jc w:val="left"/>
        <w:rPr/>
      </w:pPr>
      <w:r>
        <w:rPr>
          <w:rFonts w:ascii="Times New Roman;serif" w:hAnsi="Times New Roman;serif"/>
          <w:b/>
          <w:color w:val="000000"/>
          <w:sz w:val="20"/>
        </w:rPr>
        <w:t>Printed Copies of Our Proxy Materials</w:t>
      </w:r>
      <w:r>
        <w:rPr>
          <w:rFonts w:ascii="Times New Roman;serif" w:hAnsi="Times New Roman;serif"/>
          <w:b w:val="false"/>
          <w:color w:val="000000"/>
          <w:sz w:val="20"/>
        </w:rPr>
        <w:t>. If you received printed copies of our proxy materials, then instructions regarding how you can vote are contained on the proxy card included in the materials.</w:t>
      </w:r>
    </w:p>
    <w:p>
      <w:pPr>
        <w:pStyle w:val="TextBody"/>
        <w:bidi w:val="0"/>
        <w:spacing w:before="0" w:after="2"/>
        <w:jc w:val="left"/>
        <w:rPr/>
      </w:pPr>
      <w:r>
        <w:rPr/>
      </w:r>
    </w:p>
    <w:p>
      <w:pPr>
        <w:pStyle w:val="TextBody"/>
        <w:bidi w:val="0"/>
        <w:spacing w:lineRule="auto" w:line="240" w:before="0" w:after="0"/>
        <w:jc w:val="left"/>
        <w:rPr/>
      </w:pPr>
      <w:r>
        <w:rPr>
          <w:rFonts w:ascii="Times New Roman;serif" w:hAnsi="Times New Roman;serif"/>
          <w:b/>
          <w:color w:val="000000"/>
          <w:sz w:val="20"/>
        </w:rPr>
        <w:t>Householding.</w:t>
      </w:r>
      <w:r>
        <w:rPr>
          <w:color w:val="000000"/>
        </w:rPr>
        <w:t xml:space="preserve"> </w:t>
      </w:r>
      <w:r>
        <w:rPr>
          <w:rFonts w:ascii="Times New Roman;serif" w:hAnsi="Times New Roman;serif"/>
          <w:b w:val="false"/>
          <w:color w:val="000000"/>
          <w:sz w:val="20"/>
        </w:rPr>
        <w:t xml:space="preserve">The SEC’s rules permit us to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(“Broadridge”) at 1-866-540-7095 or in writing at Broadridge, Householding Department, 51 Mercedes Way, Edgewood, NY 11717. </w:t>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you are currently a stockholder sharing an address with another stockholder and wish to receive only one copy of future proxy materials for your household, please contact Broadridge at the above phone number or address. </w:t>
      </w:r>
    </w:p>
    <w:p>
      <w:pPr>
        <w:pStyle w:val="TextBody"/>
        <w:bidi w:val="0"/>
        <w:spacing w:before="225" w:after="283"/>
        <w:jc w:val="left"/>
        <w:rPr/>
      </w:pPr>
      <w:r>
        <w:rPr/>
      </w:r>
    </w:p>
    <w:p>
      <w:pPr>
        <w:pStyle w:val="TextBody"/>
        <w:bidi w:val="0"/>
        <w:spacing w:before="0" w:after="283"/>
        <w:jc w:val="left"/>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219" w:type="dxa"/>
        <w:jc w:val="left"/>
        <w:tblInd w:w="0" w:type="dxa"/>
        <w:tblLayout w:type="fixed"/>
        <w:tblCellMar>
          <w:top w:w="28" w:type="dxa"/>
          <w:left w:w="28" w:type="dxa"/>
          <w:bottom w:w="28" w:type="dxa"/>
          <w:right w:w="28" w:type="dxa"/>
        </w:tblCellMar>
      </w:tblPr>
      <w:tblGrid>
        <w:gridCol w:w="2632"/>
        <w:gridCol w:w="2315"/>
        <w:gridCol w:w="3272"/>
      </w:tblGrid>
      <w:tr>
        <w:trPr/>
        <w:tc>
          <w:tcPr>
            <w:tcW w:w="2632"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3272"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op w:val="single" w:sz="36"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QUESTIONS AND ANSWERS ABOUT THE 2026 ANNUAL MEETING OF STOCKHOLDERS</w:t>
            </w:r>
          </w:p>
        </w:tc>
      </w:tr>
    </w:tbl>
    <w:p>
      <w:pPr>
        <w:pStyle w:val="TextBody"/>
        <w:bidi w:val="0"/>
        <w:spacing w:before="0" w:after="0"/>
        <w:jc w:val="left"/>
        <w:rPr/>
      </w:pPr>
      <w:r>
        <w:rPr/>
      </w:r>
    </w:p>
    <w:tbl>
      <w:tblPr>
        <w:tblW w:w="5610" w:type="dxa"/>
        <w:jc w:val="left"/>
        <w:tblInd w:w="0" w:type="dxa"/>
        <w:tblLayout w:type="fixed"/>
        <w:tblCellMar>
          <w:top w:w="28" w:type="dxa"/>
          <w:left w:w="28" w:type="dxa"/>
          <w:bottom w:w="28" w:type="dxa"/>
          <w:right w:w="28" w:type="dxa"/>
        </w:tblCellMar>
      </w:tblPr>
      <w:tblGrid>
        <w:gridCol w:w="1797"/>
        <w:gridCol w:w="1580"/>
        <w:gridCol w:w="2233"/>
      </w:tblGrid>
      <w:tr>
        <w:trPr/>
        <w:tc>
          <w:tcPr>
            <w:tcW w:w="1797"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WHO IS ENTITLED TO VOTE AT THE ANNUAL MEETING?</w:t>
            </w:r>
          </w:p>
        </w:tc>
      </w:tr>
    </w:tbl>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The Record Date for the Annual Meeting is April 6, 2026. You are entitled to vote at the Annual Meeting only if you were a holder of record at the close of business on that date, or if you hold a valid proxy for the Annual Meeting. You will need to obtain your own Internet access if you choose to attend the Annual Meeting online and/or vote your shares electronically. Each outstanding share of our Common Stock entitles its holder to one vote per share on all matters presented to our stockholders generally. At the close of business on the Record Date, there were 16,149,678 shares of Common Stock outstanding and entitled to vote at the Annual Meeting.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3"/>
        <w:gridCol w:w="2869"/>
        <w:gridCol w:w="4073"/>
      </w:tblGrid>
      <w:tr>
        <w:trPr/>
        <w:tc>
          <w:tcPr>
            <w:tcW w:w="3263"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WHAT IS THE DIFFERENCE BETWEEN BEING A "RECORD HOLDER" AND HOLDING SHARES IN "STREET NAME"?</w:t>
            </w:r>
          </w:p>
        </w:tc>
      </w:tr>
    </w:tbl>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A record holder holds shares in his or her name. Shares held in “street name” means shares that are held in the name of a bank or broker on a person’s behalf.</w:t>
      </w:r>
    </w:p>
    <w:p>
      <w:pPr>
        <w:pStyle w:val="TextBody"/>
        <w:bidi w:val="0"/>
        <w:spacing w:before="0" w:after="0"/>
        <w:jc w:val="left"/>
        <w:rPr/>
      </w:pPr>
      <w:r>
        <w:rPr/>
      </w:r>
    </w:p>
    <w:tbl>
      <w:tblPr>
        <w:tblW w:w="7080" w:type="dxa"/>
        <w:jc w:val="left"/>
        <w:tblInd w:w="0" w:type="dxa"/>
        <w:tblLayout w:type="fixed"/>
        <w:tblCellMar>
          <w:top w:w="28" w:type="dxa"/>
          <w:left w:w="28" w:type="dxa"/>
          <w:bottom w:w="28" w:type="dxa"/>
          <w:right w:w="28" w:type="dxa"/>
        </w:tblCellMar>
      </w:tblPr>
      <w:tblGrid>
        <w:gridCol w:w="2268"/>
        <w:gridCol w:w="1994"/>
        <w:gridCol w:w="2818"/>
      </w:tblGrid>
      <w:tr>
        <w:trPr/>
        <w:tc>
          <w:tcPr>
            <w:tcW w:w="2268"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AM I ENTITLED TO VOTE IF MY SHARES ARE HELD IN “STREET NAME”?</w:t>
            </w:r>
          </w:p>
        </w:tc>
      </w:tr>
    </w:tbl>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Yes. If your shares are held by a bank or a brokerage firm, you are considered the “beneficial owner” of those shares held in "street name." If your shares are held in street name, our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you may not vote your shares online at the Annual Meeting, unless you obtain a legal proxy from your bank or brokerage firm.</w:t>
      </w:r>
    </w:p>
    <w:p>
      <w:pPr>
        <w:pStyle w:val="TextBody"/>
        <w:bidi w:val="0"/>
        <w:spacing w:before="0" w:after="0"/>
        <w:jc w:val="left"/>
        <w:rPr/>
      </w:pPr>
      <w:r>
        <w:rPr/>
      </w:r>
    </w:p>
    <w:tbl>
      <w:tblPr>
        <w:tblW w:w="7319" w:type="dxa"/>
        <w:jc w:val="left"/>
        <w:tblInd w:w="0" w:type="dxa"/>
        <w:tblLayout w:type="fixed"/>
        <w:tblCellMar>
          <w:top w:w="28" w:type="dxa"/>
          <w:left w:w="28" w:type="dxa"/>
          <w:bottom w:w="28" w:type="dxa"/>
          <w:right w:w="28" w:type="dxa"/>
        </w:tblCellMar>
      </w:tblPr>
      <w:tblGrid>
        <w:gridCol w:w="2339"/>
        <w:gridCol w:w="2055"/>
        <w:gridCol w:w="2925"/>
      </w:tblGrid>
      <w:tr>
        <w:trPr/>
        <w:tc>
          <w:tcPr>
            <w:tcW w:w="2339"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r>
      <w:tr>
        <w:trPr/>
        <w:tc>
          <w:tcPr>
            <w:tcW w:w="731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HOW MANY SHARES MUST BE PRESENT TO HOLD THE ANNUAL MEETING?</w:t>
            </w:r>
          </w:p>
        </w:tc>
      </w:tr>
    </w:tbl>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A quorum must be present at the Annual Meeting for any business to be conducted. The presence at the Annual Meeting, online or by proxy, of the holders of a majority in voting power of Common Stock issued and outstanding and entitled to vote on the Record Date will constitute a quorum.</w:t>
      </w:r>
    </w:p>
    <w:p>
      <w:pPr>
        <w:pStyle w:val="TextBody"/>
        <w:bidi w:val="0"/>
        <w:spacing w:before="0" w:after="0"/>
        <w:jc w:val="left"/>
        <w:rPr/>
      </w:pPr>
      <w:r>
        <w:rPr/>
      </w:r>
    </w:p>
    <w:tbl>
      <w:tblPr>
        <w:tblW w:w="6825" w:type="dxa"/>
        <w:jc w:val="left"/>
        <w:tblInd w:w="0" w:type="dxa"/>
        <w:tblLayout w:type="fixed"/>
        <w:tblCellMar>
          <w:top w:w="28" w:type="dxa"/>
          <w:left w:w="28" w:type="dxa"/>
          <w:bottom w:w="28" w:type="dxa"/>
          <w:right w:w="28" w:type="dxa"/>
        </w:tblCellMar>
      </w:tblPr>
      <w:tblGrid>
        <w:gridCol w:w="2186"/>
        <w:gridCol w:w="1922"/>
        <w:gridCol w:w="2717"/>
      </w:tblGrid>
      <w:tr>
        <w:trPr/>
        <w:tc>
          <w:tcPr>
            <w:tcW w:w="2186"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WHO CAN ATTEND THE 2026 ANNUAL MEETING OF STOCKHOLDERS?</w:t>
            </w:r>
          </w:p>
        </w:tc>
      </w:tr>
    </w:tbl>
    <w:p>
      <w:pPr>
        <w:pStyle w:val="TextBody"/>
        <w:bidi w:val="0"/>
        <w:spacing w:lineRule="auto" w:line="240" w:before="240" w:after="283"/>
        <w:jc w:val="left"/>
        <w:rPr/>
      </w:pPr>
      <w:r>
        <w:rPr>
          <w:rFonts w:ascii="Times New Roman;serif" w:hAnsi="Times New Roman;serif"/>
          <w:b w:val="false"/>
          <w:color w:val="000000"/>
          <w:sz w:val="20"/>
        </w:rPr>
        <w:t xml:space="preserve">You may attend the Annual Meeting only if you are a MarketWise stockholder who is entitled to vote at the Annual Meeting, or if you hold a valid proxy for the Annual Meeting. The Annual Meeting will be held entirely online to allow for greater participation. You will be able to attend the Annual Meeting and submit your questions by visiting the following website: </w:t>
      </w:r>
      <w:r>
        <w:rPr>
          <w:rFonts w:ascii="Times New Roman;serif" w:hAnsi="Times New Roman;serif"/>
          <w:b w:val="false"/>
          <w:i/>
          <w:color w:val="0E32E1"/>
          <w:sz w:val="20"/>
          <w:u w:val="single"/>
        </w:rPr>
        <w:t>www.virtualshareholdermeeting.com/MKTW2026</w:t>
      </w:r>
      <w:r>
        <w:rPr>
          <w:rFonts w:ascii="Times New Roman;serif" w:hAnsi="Times New Roman;serif"/>
          <w:b w:val="false"/>
          <w:color w:val="000000"/>
          <w:sz w:val="20"/>
        </w:rPr>
        <w:t>. You will also be able to vote your shares electronically at the Annual Meeting.</w:t>
      </w:r>
    </w:p>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attend and participate in the Annual Meeting, you will need the 16-digit control number included in your Internet Notice. The meeting webcast will begin promptly at 10:00 a.m. Eastern Time on June 4, 2026. We encourage you to access the meeting prior to the start time. Online check-in will begin at 9:45 a.m. Eastern Time, and you should allow ample time for the check-in procedures. If you hold your shares through a bank or broker, instructions should also be provided on the voting instruction card provided by your bank or brokerage firm. </w:t>
      </w:r>
    </w:p>
    <w:p>
      <w:pPr>
        <w:pStyle w:val="TextBody"/>
        <w:bidi w:val="0"/>
        <w:spacing w:before="0" w:after="0"/>
        <w:jc w:val="left"/>
        <w:rPr/>
      </w:pPr>
      <w:r>
        <w:rPr/>
      </w:r>
    </w:p>
    <w:tbl>
      <w:tblPr>
        <w:tblW w:w="2849" w:type="dxa"/>
        <w:jc w:val="left"/>
        <w:tblInd w:w="0" w:type="dxa"/>
        <w:tblLayout w:type="fixed"/>
        <w:tblCellMar>
          <w:top w:w="28" w:type="dxa"/>
          <w:left w:w="28" w:type="dxa"/>
          <w:bottom w:w="28" w:type="dxa"/>
          <w:right w:w="28" w:type="dxa"/>
        </w:tblCellMar>
      </w:tblPr>
      <w:tblGrid>
        <w:gridCol w:w="910"/>
        <w:gridCol w:w="800"/>
        <w:gridCol w:w="1139"/>
      </w:tblGrid>
      <w:tr>
        <w:trPr/>
        <w:tc>
          <w:tcPr>
            <w:tcW w:w="91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WHY A VIRTUAL MEETING?</w:t>
            </w:r>
          </w:p>
        </w:tc>
      </w:tr>
    </w:tbl>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excited to embrace the latest technology to provide expanded access, and improve communication and cost savings for us and our stockholders. We believe the virtual meeting will enable increased stockholder attendance and participation since stockholders can participate from any location around the world. Furthermore, as part of our effort to maintain a safe and healthy environment for our directors, members of management and stockholders who wish to attend the Annual Meeting, we believe that hosting a virtual meeting is in the best interests of the Company and such attendees of the Annual Meeting.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7"/>
        <w:gridCol w:w="2871"/>
        <w:gridCol w:w="4067"/>
      </w:tblGrid>
      <w:tr>
        <w:trPr/>
        <w:tc>
          <w:tcPr>
            <w:tcW w:w="3267"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WHAT IF DURING THE CHECK-IN TIME OR DURING THE ANNUAL MEETING I HAVE TECHNICAL DIFFICULTIES OR TROUBLE ACCESSING THE VIRTUAL MEETING WEBSITE?</w:t>
            </w:r>
          </w:p>
        </w:tc>
      </w:tr>
    </w:tbl>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 xml:space="preserve">We encourage you to access the Annual Meeting approximately 15 minutes in advance to allow ample time for you to log in to the meeting and test your computer audio system. We recommend that you carefully review the above procedures needed to gain admission in advance. Technicians will be ready to assist you with any technical difficulties you may have accessing the virtual meeting. If you encounter any difficulties accessing the virtual meeting during check-in or during the meeting, please call the technical support number that will be posted on the meeting login page at </w:t>
      </w:r>
      <w:r>
        <w:rPr>
          <w:rFonts w:ascii="Times New Roman;serif" w:hAnsi="Times New Roman;serif"/>
          <w:b w:val="false"/>
          <w:i/>
          <w:color w:val="0E32E1"/>
          <w:sz w:val="20"/>
          <w:u w:val="single"/>
        </w:rPr>
        <w:t>www.virtualshareholdermeeting.com/MKTW2026</w:t>
      </w:r>
      <w:r>
        <w:rPr>
          <w:rFonts w:ascii="Times New Roman;serif" w:hAnsi="Times New Roman;serif"/>
          <w:b w:val="false"/>
          <w:color w:val="000000"/>
          <w:sz w:val="20"/>
        </w:rPr>
        <w:t>.</w:t>
      </w:r>
    </w:p>
    <w:p>
      <w:pPr>
        <w:pStyle w:val="TextBody"/>
        <w:bidi w:val="0"/>
        <w:spacing w:before="0" w:after="2"/>
        <w:jc w:val="left"/>
        <w:rPr/>
      </w:pPr>
      <w:r>
        <w:rPr/>
      </w:r>
    </w:p>
    <w:p>
      <w:pPr>
        <w:pStyle w:val="TextBody"/>
        <w:bidi w:val="0"/>
        <w:spacing w:before="0" w:after="283"/>
        <w:jc w:val="left"/>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6495" w:type="dxa"/>
        <w:jc w:val="left"/>
        <w:tblInd w:w="0" w:type="dxa"/>
        <w:tblLayout w:type="fixed"/>
        <w:tblCellMar>
          <w:top w:w="28" w:type="dxa"/>
          <w:left w:w="28" w:type="dxa"/>
          <w:bottom w:w="28" w:type="dxa"/>
          <w:right w:w="28" w:type="dxa"/>
        </w:tblCellMar>
      </w:tblPr>
      <w:tblGrid>
        <w:gridCol w:w="2075"/>
        <w:gridCol w:w="1824"/>
        <w:gridCol w:w="2596"/>
      </w:tblGrid>
      <w:tr>
        <w:trPr/>
        <w:tc>
          <w:tcPr>
            <w:tcW w:w="2075"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WHAT IF A QUORUM IS NOT PRESENT AT THE ANNUAL MEETING?</w:t>
            </w:r>
          </w:p>
        </w:tc>
      </w:tr>
    </w:tbl>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If a quorum is not present at the scheduled time of the Annual Meeting, (i) the chairman of the Annual Meeting or (ii) a majority in voting power of the stockholders entitled to vote at the Annual Meeting, present electronically or represented by proxy, may adjourn the Annual Meeting until a quorum is present or represented.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8"/>
        <w:gridCol w:w="2872"/>
        <w:gridCol w:w="4065"/>
      </w:tblGrid>
      <w:tr>
        <w:trPr/>
        <w:tc>
          <w:tcPr>
            <w:tcW w:w="3268"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WHAT DOES IT MEAN IF I RECEIVE MORE THAN ONE INTERNET NOTICE OR SET OF PROXY MATERIALS?</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It means that your shares are held in more than one account at the transfer agent and/or with banks or brokers.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 </w:t>
      </w:r>
    </w:p>
    <w:p>
      <w:pPr>
        <w:pStyle w:val="TextBody"/>
        <w:bidi w:val="0"/>
        <w:spacing w:before="0" w:after="0"/>
        <w:jc w:val="left"/>
        <w:rPr/>
      </w:pPr>
      <w:r>
        <w:rPr/>
      </w:r>
    </w:p>
    <w:tbl>
      <w:tblPr>
        <w:tblW w:w="1814" w:type="dxa"/>
        <w:jc w:val="left"/>
        <w:tblInd w:w="0" w:type="dxa"/>
        <w:tblLayout w:type="fixed"/>
        <w:tblCellMar>
          <w:top w:w="28" w:type="dxa"/>
          <w:left w:w="28" w:type="dxa"/>
          <w:bottom w:w="28" w:type="dxa"/>
          <w:right w:w="28" w:type="dxa"/>
        </w:tblCellMar>
      </w:tblPr>
      <w:tblGrid>
        <w:gridCol w:w="581"/>
        <w:gridCol w:w="511"/>
        <w:gridCol w:w="722"/>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HOW DO I VOTE?</w:t>
            </w:r>
          </w:p>
        </w:tc>
      </w:tr>
    </w:tbl>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We recommend that stockholders vote by proxy even if they plan to participate in the Annual Meeting and vote electronically during the meeting. If you are a stockholder of record, there are three ways to vote by proxy:</w:t>
      </w:r>
    </w:p>
    <w:p>
      <w:pPr>
        <w:pStyle w:val="TextBody"/>
        <w:bidi w:val="0"/>
        <w:spacing w:before="0" w:after="2"/>
        <w:jc w:val="left"/>
        <w:rPr/>
      </w:pPr>
      <w:r>
        <w:rPr/>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 xml:space="preserve">by Internet—You can vote at </w:t>
      </w:r>
      <w:r>
        <w:rPr>
          <w:rFonts w:ascii="Times New Roman;serif" w:hAnsi="Times New Roman;serif"/>
          <w:b w:val="false"/>
          <w:i/>
          <w:color w:val="0E32E1"/>
          <w:sz w:val="20"/>
          <w:u w:val="single"/>
        </w:rPr>
        <w:t>www.proxyvote.com</w:t>
      </w:r>
      <w:r>
        <w:rPr>
          <w:color w:val="000000"/>
        </w:rPr>
        <w:t xml:space="preserve"> </w:t>
      </w:r>
      <w:r>
        <w:rPr>
          <w:rFonts w:ascii="Times New Roman;serif" w:hAnsi="Times New Roman;serif"/>
          <w:b w:val="false"/>
          <w:color w:val="000000"/>
          <w:sz w:val="20"/>
        </w:rPr>
        <w:t>by following the instructions on your Internet Notice or proxy card.</w:t>
      </w:r>
    </w:p>
    <w:p>
      <w:pPr>
        <w:pStyle w:val="TextBody"/>
        <w:bidi w:val="0"/>
        <w:spacing w:before="0" w:after="0"/>
        <w:jc w:val="left"/>
        <w:rPr/>
      </w:pPr>
      <w:r>
        <w:rPr/>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by Telephone—You can vote by calling 1-800-690-6903 and following the instructions on your proxy card.</w:t>
      </w:r>
    </w:p>
    <w:p>
      <w:pPr>
        <w:pStyle w:val="TextBody"/>
        <w:bidi w:val="0"/>
        <w:spacing w:before="0" w:after="2"/>
        <w:jc w:val="left"/>
        <w:rPr/>
      </w:pPr>
      <w:r>
        <w:rPr/>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by Mail—You can vote by signing, dating and mailing your proxy card and following the instructions on your proxy card. If you have not received a proxy card, you may request to receive one by following the instructions on your Internet Notice.</w:t>
      </w:r>
    </w:p>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Internet and telephone voting facilities for stockholders of record will be available 24 hours a day and will close at 11:59 p.m. Eastern Time, on June 3, 2026. Stockholders may participate in the Annual Meeting by visiting the website </w:t>
      </w:r>
    </w:p>
    <w:p>
      <w:pPr>
        <w:pStyle w:val="TextBody"/>
        <w:bidi w:val="0"/>
        <w:spacing w:lineRule="auto" w:line="240" w:before="0" w:after="2"/>
        <w:jc w:val="left"/>
        <w:rPr/>
      </w:pPr>
      <w:r>
        <w:rPr>
          <w:rFonts w:ascii="Times New Roman;serif" w:hAnsi="Times New Roman;serif"/>
          <w:b w:val="false"/>
          <w:i/>
          <w:color w:val="0E32E1"/>
          <w:sz w:val="20"/>
          <w:u w:val="single"/>
        </w:rPr>
        <w:t>www.virtualshareholdermeeting.com/MKTW2026</w:t>
      </w:r>
      <w:r>
        <w:rPr>
          <w:color w:val="000000"/>
        </w:rPr>
        <w:t xml:space="preserve"> </w:t>
      </w:r>
      <w:r>
        <w:rPr>
          <w:rFonts w:ascii="Times New Roman;serif" w:hAnsi="Times New Roman;serif"/>
          <w:b w:val="false"/>
          <w:color w:val="000000"/>
          <w:sz w:val="20"/>
        </w:rPr>
        <w:t>that is included on your Internet Notice, proxy card or in the instructions that accompanied your proxy materials. The Annual Meeting webcast will begin promptly at 10:00 a.m. Eastern Time on June 4, 2026.</w:t>
      </w:r>
    </w:p>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Whether or not you expect to attend the Annual Meeting online, we urge you to vote your shares as promptly as possible to ensure your representation and the presence of a quorum at the Annual Meeting. If you submit your proxy, you may still decide to attend the Annual Meeting online and vote your shares electronically.</w:t>
      </w:r>
    </w:p>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If your shares are held in “street name” through a bank or broker, you will receive instructions on how to vote from the bank or broker. You must follow their instructions in order for your shares to be voted. Internet and telephone voting may also be offered to stockholders owning shares through certain banks and brokers. If your shares are not registered in your own name and you would like to vote your shares at the Annual Meeting, you may register to participate and enter the appropriate password included in the voting instruction card provided to you by your bank or brokerage firm. If you hold your shares in street name and you do not receive an appropriate password, you may need to log in to your bank or brokerage firm’s website and select the shareholder communications mailbox to access the meeting and vote. Instructions should also be provided on the voting instruction card provided by your bank or brokerage firm.</w:t>
      </w:r>
    </w:p>
    <w:p>
      <w:pPr>
        <w:pStyle w:val="TextBody"/>
        <w:bidi w:val="0"/>
        <w:spacing w:before="0" w:after="0"/>
        <w:jc w:val="left"/>
        <w:rPr/>
      </w:pPr>
      <w:r>
        <w:rPr/>
      </w:r>
    </w:p>
    <w:tbl>
      <w:tblPr>
        <w:tblW w:w="5354" w:type="dxa"/>
        <w:jc w:val="left"/>
        <w:tblInd w:w="0" w:type="dxa"/>
        <w:tblLayout w:type="fixed"/>
        <w:tblCellMar>
          <w:top w:w="28" w:type="dxa"/>
          <w:left w:w="28" w:type="dxa"/>
          <w:bottom w:w="28" w:type="dxa"/>
          <w:right w:w="28" w:type="dxa"/>
        </w:tblCellMar>
      </w:tblPr>
      <w:tblGrid>
        <w:gridCol w:w="1714"/>
        <w:gridCol w:w="1506"/>
        <w:gridCol w:w="2134"/>
      </w:tblGrid>
      <w:tr>
        <w:trPr/>
        <w:tc>
          <w:tcPr>
            <w:tcW w:w="1714"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CAN I CHANGE MY VOTE AFTER I SUBMIT MY PROXY?</w:t>
            </w:r>
          </w:p>
        </w:tc>
      </w:tr>
    </w:tbl>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Yes.</w:t>
      </w:r>
    </w:p>
    <w:p>
      <w:pPr>
        <w:pStyle w:val="TextBody"/>
        <w:bidi w:val="0"/>
        <w:spacing w:before="0" w:after="2"/>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If you are a registered stockholder, you may revoke your proxy and change your vote by:</w:t>
      </w:r>
    </w:p>
    <w:p>
      <w:pPr>
        <w:pStyle w:val="TextBody"/>
        <w:bidi w:val="0"/>
        <w:spacing w:before="0" w:after="2"/>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submitting a duly executed proxy card bearing a later date;</w:t>
      </w:r>
    </w:p>
    <w:p>
      <w:pPr>
        <w:pStyle w:val="TextBody"/>
        <w:bidi w:val="0"/>
        <w:spacing w:before="0" w:after="2"/>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granting a subsequent proxy through the Internet or telephone;</w:t>
      </w:r>
    </w:p>
    <w:p>
      <w:pPr>
        <w:pStyle w:val="TextBody"/>
        <w:bidi w:val="0"/>
        <w:spacing w:before="0" w:after="2"/>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giving written notice of revocation to the Corporate Secretary of MarketWise prior to the Annual Meeting; or</w:t>
      </w:r>
    </w:p>
    <w:p>
      <w:pPr>
        <w:pStyle w:val="TextBody"/>
        <w:bidi w:val="0"/>
        <w:spacing w:before="0" w:after="2"/>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voting electronically at the Annual Meeting.</w:t>
      </w:r>
    </w:p>
    <w:p>
      <w:pPr>
        <w:pStyle w:val="TextBody"/>
        <w:bidi w:val="0"/>
        <w:spacing w:before="0" w:after="0"/>
        <w:jc w:val="left"/>
        <w:rPr/>
      </w:pPr>
      <w:r>
        <w:rPr/>
      </w:r>
    </w:p>
    <w:p>
      <w:pPr>
        <w:pStyle w:val="TextBody"/>
        <w:bidi w:val="0"/>
        <w:spacing w:lineRule="auto" w:line="240" w:before="0" w:after="2"/>
        <w:jc w:val="left"/>
        <w:rPr>
          <w:rFonts w:ascii="Times New Roman;serif" w:hAnsi="Times New Roman;serif"/>
          <w:b w:val="false"/>
          <w:color w:val="000000"/>
          <w:sz w:val="20"/>
        </w:rPr>
      </w:pPr>
      <w:r>
        <w:rPr>
          <w:rFonts w:ascii="Times New Roman;serif" w:hAnsi="Times New Roman;serif"/>
          <w:b w:val="false"/>
          <w:color w:val="000000"/>
          <w:sz w:val="20"/>
        </w:rPr>
        <w:t>Your most recent proxy, whether submitted via the Internet, by telephone, or by mail, is the one that is counted. Your virtual attendance at the Annual Meeting by itself will not revoke your proxy unless you give written notice of revocation to the Corporate Secretary before the Annual Meeting or you vote electronically during the Annual Meeting.</w:t>
      </w:r>
    </w:p>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If your shares are held in street name, you may change or revoke your voting instructions by following the specific directions provided to you by your bank or broker, or you may vote electronically during the Annual Meeting.</w:t>
      </w:r>
    </w:p>
    <w:p>
      <w:pPr>
        <w:pStyle w:val="TextBody"/>
        <w:bidi w:val="0"/>
        <w:spacing w:before="0" w:after="2"/>
        <w:jc w:val="left"/>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3255" w:type="dxa"/>
        <w:jc w:val="left"/>
        <w:tblInd w:w="0" w:type="dxa"/>
        <w:tblLayout w:type="fixed"/>
        <w:tblCellMar>
          <w:top w:w="28" w:type="dxa"/>
          <w:left w:w="28" w:type="dxa"/>
          <w:bottom w:w="28" w:type="dxa"/>
          <w:right w:w="28" w:type="dxa"/>
        </w:tblCellMar>
      </w:tblPr>
      <w:tblGrid>
        <w:gridCol w:w="1042"/>
        <w:gridCol w:w="916"/>
        <w:gridCol w:w="1297"/>
      </w:tblGrid>
      <w:tr>
        <w:trP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WHO WILL COUNT THE VOTES?</w:t>
            </w:r>
          </w:p>
        </w:tc>
      </w:tr>
    </w:tbl>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Our inspector of election, who is a representative from Broadridge Financial Solutions, Inc., will tabulate and certify the votes.</w:t>
      </w:r>
    </w:p>
    <w:tbl>
      <w:tblPr>
        <w:tblW w:w="6450" w:type="dxa"/>
        <w:jc w:val="left"/>
        <w:tblInd w:w="0" w:type="dxa"/>
        <w:tblLayout w:type="fixed"/>
        <w:tblCellMar>
          <w:top w:w="28" w:type="dxa"/>
          <w:left w:w="28" w:type="dxa"/>
          <w:bottom w:w="28" w:type="dxa"/>
          <w:right w:w="28" w:type="dxa"/>
        </w:tblCellMar>
      </w:tblPr>
      <w:tblGrid>
        <w:gridCol w:w="2063"/>
        <w:gridCol w:w="1816"/>
        <w:gridCol w:w="2571"/>
      </w:tblGrid>
      <w:tr>
        <w:trPr/>
        <w:tc>
          <w:tcPr>
            <w:tcW w:w="2063"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WHAT IF I DO NOT SPECIFY HOW MY SHARES ARE TO BE VOTED?</w:t>
            </w:r>
          </w:p>
        </w:tc>
      </w:tr>
    </w:tbl>
    <w:p>
      <w:pPr>
        <w:pStyle w:val="TextBody"/>
        <w:bidi w:val="0"/>
        <w:spacing w:before="0" w:after="0"/>
        <w:jc w:val="left"/>
        <w:rPr/>
      </w:pPr>
      <w:r>
        <w:rPr/>
      </w:r>
    </w:p>
    <w:p>
      <w:pPr>
        <w:pStyle w:val="TextBody"/>
        <w:bidi w:val="0"/>
        <w:spacing w:lineRule="auto" w:line="240" w:before="0" w:after="2"/>
        <w:jc w:val="left"/>
        <w:rPr>
          <w:rFonts w:ascii="Times New Roman;serif" w:hAnsi="Times New Roman;serif"/>
          <w:b w:val="false"/>
          <w:color w:val="000000"/>
          <w:sz w:val="20"/>
        </w:rPr>
      </w:pPr>
      <w:r>
        <w:rPr>
          <w:rFonts w:ascii="Times New Roman;serif" w:hAnsi="Times New Roman;serif"/>
          <w:b w:val="false"/>
          <w:color w:val="000000"/>
          <w:sz w:val="20"/>
        </w:rPr>
        <w:t>If you submit a proxy but do not indicate any voting instructions, the persons named as proxies will vote in accordance with the recommendations of the Board. The Board’s recommendations are indicated beginning on page 1 of this proxy statement, as well as with the description of each proposal in this proxy statement.</w:t>
      </w:r>
    </w:p>
    <w:p>
      <w:pPr>
        <w:pStyle w:val="TextBody"/>
        <w:bidi w:val="0"/>
        <w:spacing w:before="0" w:after="0"/>
        <w:jc w:val="left"/>
        <w:rPr/>
      </w:pPr>
      <w:r>
        <w:rPr/>
      </w:r>
    </w:p>
    <w:tbl>
      <w:tblPr>
        <w:tblW w:w="7200" w:type="dxa"/>
        <w:jc w:val="left"/>
        <w:tblInd w:w="0" w:type="dxa"/>
        <w:tblLayout w:type="fixed"/>
        <w:tblCellMar>
          <w:top w:w="28" w:type="dxa"/>
          <w:left w:w="28" w:type="dxa"/>
          <w:bottom w:w="28" w:type="dxa"/>
          <w:right w:w="28" w:type="dxa"/>
        </w:tblCellMar>
      </w:tblPr>
      <w:tblGrid>
        <w:gridCol w:w="2305"/>
        <w:gridCol w:w="2027"/>
        <w:gridCol w:w="2868"/>
      </w:tblGrid>
      <w:tr>
        <w:trPr/>
        <w:tc>
          <w:tcPr>
            <w:tcW w:w="2305"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WILL ANY OTHER BUSINESS BE CONDUCTED AT THE ANNUAL MEETING?</w:t>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pStyle w:val="TextBody"/>
        <w:bidi w:val="0"/>
        <w:spacing w:before="0" w:after="0"/>
        <w:jc w:val="left"/>
        <w:rPr/>
      </w:pPr>
      <w:r>
        <w:rPr/>
      </w:r>
    </w:p>
    <w:tbl>
      <w:tblPr>
        <w:tblW w:w="8415" w:type="dxa"/>
        <w:jc w:val="left"/>
        <w:tblInd w:w="0" w:type="dxa"/>
        <w:tblLayout w:type="fixed"/>
        <w:tblCellMar>
          <w:top w:w="28" w:type="dxa"/>
          <w:left w:w="28" w:type="dxa"/>
          <w:bottom w:w="28" w:type="dxa"/>
          <w:right w:w="28" w:type="dxa"/>
        </w:tblCellMar>
      </w:tblPr>
      <w:tblGrid>
        <w:gridCol w:w="2696"/>
        <w:gridCol w:w="2370"/>
        <w:gridCol w:w="3349"/>
      </w:tblGrid>
      <w:tr>
        <w:trPr/>
        <w:tc>
          <w:tcPr>
            <w:tcW w:w="2696"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841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WILL THERE BE A QUESTION AND ANSWER SESSION DURING THE ANNUAL MEETING?</w:t>
            </w:r>
          </w:p>
        </w:tc>
      </w:tr>
    </w:tbl>
    <w:p>
      <w:pPr>
        <w:pStyle w:val="TextBody"/>
        <w:bidi w:val="0"/>
        <w:spacing w:lineRule="auto" w:line="240" w:before="12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Annual Meeting, we will hold a live Q&amp;A session, during which we intend to answer questions submitted online during the meeting that are pertinent to the Company and the meeting matters, as time permits. Only stockholders that have accessed the Annual Meeting as a stockholder (rather than as a “Guest”) by following the procedures outlined above in “Who can attend the Annual Meeting?” will be permitted to submit questions during the Annual Meeting. Each stockholder is limited to no more than two questions. Questions should be succinct and only cover a single topic. We will not address questions that are, among other things: </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irrelevant to the business of the Company or to the business of the Annual Meeting;</w:t>
      </w:r>
    </w:p>
    <w:p>
      <w:pPr>
        <w:pStyle w:val="TextBody"/>
        <w:bidi w:val="0"/>
        <w:spacing w:before="0" w:after="2"/>
        <w:jc w:val="left"/>
        <w:rPr/>
      </w:pPr>
      <w:r>
        <w:rPr/>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related to material non-public information of the Company, including the status or results of our business since our last Quarterly Report on Form 10-Q;</w:t>
      </w:r>
    </w:p>
    <w:p>
      <w:pPr>
        <w:pStyle w:val="TextBody"/>
        <w:bidi w:val="0"/>
        <w:spacing w:before="0" w:after="2"/>
        <w:jc w:val="left"/>
        <w:rPr/>
      </w:pPr>
      <w:r>
        <w:rPr/>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related to any pending, threatened or ongoing litigation;</w:t>
      </w:r>
    </w:p>
    <w:p>
      <w:pPr>
        <w:pStyle w:val="TextBody"/>
        <w:bidi w:val="0"/>
        <w:spacing w:before="0" w:after="2"/>
        <w:jc w:val="left"/>
        <w:rPr/>
      </w:pPr>
      <w:r>
        <w:rPr/>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related to personal grievances;</w:t>
      </w:r>
    </w:p>
    <w:p>
      <w:pPr>
        <w:pStyle w:val="TextBody"/>
        <w:bidi w:val="0"/>
        <w:spacing w:before="0" w:after="2"/>
        <w:jc w:val="left"/>
        <w:rPr/>
      </w:pPr>
      <w:r>
        <w:rPr/>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derogatory references to individuals or that are otherwise in bad taste;</w:t>
      </w:r>
    </w:p>
    <w:p>
      <w:pPr>
        <w:pStyle w:val="TextBody"/>
        <w:bidi w:val="0"/>
        <w:spacing w:before="0" w:after="2"/>
        <w:jc w:val="left"/>
        <w:rPr/>
      </w:pPr>
      <w:r>
        <w:rPr/>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substantially repetitious of questions already made by another stockholder;</w:t>
      </w:r>
    </w:p>
    <w:p>
      <w:pPr>
        <w:pStyle w:val="TextBody"/>
        <w:bidi w:val="0"/>
        <w:spacing w:before="0" w:after="2"/>
        <w:jc w:val="left"/>
        <w:rPr/>
      </w:pPr>
      <w:r>
        <w:rPr/>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in excess of the two question limit;</w:t>
      </w:r>
    </w:p>
    <w:p>
      <w:pPr>
        <w:pStyle w:val="TextBody"/>
        <w:bidi w:val="0"/>
        <w:spacing w:before="0" w:after="2"/>
        <w:jc w:val="left"/>
        <w:rPr/>
      </w:pPr>
      <w:r>
        <w:rPr/>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in furtherance of the stockholder’s personal or business interests; or</w:t>
      </w:r>
    </w:p>
    <w:p>
      <w:pPr>
        <w:pStyle w:val="TextBody"/>
        <w:bidi w:val="0"/>
        <w:spacing w:before="0" w:after="2"/>
        <w:jc w:val="left"/>
        <w:rPr/>
      </w:pPr>
      <w:r>
        <w:rPr/>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out of order or not otherwise suitable for the conduct of the Annual Meeting as determined by the Chair or Corporate Secretary in their reasonable judgment.</w:t>
      </w:r>
    </w:p>
    <w:p>
      <w:pPr>
        <w:pStyle w:val="TextBody"/>
        <w:bidi w:val="0"/>
        <w:spacing w:lineRule="auto" w:line="240" w:before="240" w:after="160"/>
        <w:jc w:val="left"/>
        <w:rPr>
          <w:rFonts w:ascii="Times New Roman;serif" w:hAnsi="Times New Roman;serif"/>
          <w:b w:val="false"/>
          <w:color w:val="000000"/>
          <w:sz w:val="20"/>
        </w:rPr>
      </w:pPr>
      <w:r>
        <w:rPr>
          <w:rFonts w:ascii="Times New Roman;serif" w:hAnsi="Times New Roman;serif"/>
          <w:b w:val="false"/>
          <w:color w:val="000000"/>
          <w:sz w:val="20"/>
        </w:rPr>
        <w:t>Additional information regarding the Q&amp;A session will be available in the “Rules of Conduct” available on the Annual Meeting webpage for stockholders that have accessed the Annual Meeting as a stockholder (rather than a “Guest”) by following the procedures outlined above in “Who can attend the Annual Meeting?”</w:t>
      </w:r>
    </w:p>
    <w:p>
      <w:pPr>
        <w:pStyle w:val="TextBody"/>
        <w:bidi w:val="0"/>
        <w:spacing w:before="0" w:after="283"/>
        <w:jc w:val="left"/>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7"/>
        <w:gridCol w:w="2871"/>
        <w:gridCol w:w="4067"/>
      </w:tblGrid>
      <w:tr>
        <w:trPr/>
        <w:tc>
          <w:tcPr>
            <w:tcW w:w="3267"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HOW MANY VOTES ARE REQUIRED FOR THE APPROVAL OF THE PROPOSALS TO BE VOTED UPON AND HOW WILL ABSTENTIONS AND BROKER NON-VOTES BE TREATED?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9"/>
        <w:gridCol w:w="553"/>
        <w:gridCol w:w="559"/>
        <w:gridCol w:w="109"/>
        <w:gridCol w:w="109"/>
        <w:gridCol w:w="109"/>
        <w:gridCol w:w="1595"/>
        <w:gridCol w:w="1533"/>
        <w:gridCol w:w="1497"/>
        <w:gridCol w:w="109"/>
        <w:gridCol w:w="109"/>
        <w:gridCol w:w="109"/>
        <w:gridCol w:w="884"/>
        <w:gridCol w:w="884"/>
        <w:gridCol w:w="1257"/>
      </w:tblGrid>
      <w:tr>
        <w:trPr/>
        <w:tc>
          <w:tcPr>
            <w:tcW w:w="78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Proposal</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6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Votes required</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Effect of Votes Withheld / Abstentions</w:t>
              <w:br/>
              <w:t>and Broker Non-Votes</w:t>
            </w:r>
          </w:p>
        </w:tc>
      </w:tr>
      <w:tr>
        <w:trPr/>
        <w:tc>
          <w:tcPr>
            <w:tcW w:w="1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u w:val="single"/>
              </w:rPr>
              <w:t>Proposal 1</w:t>
            </w:r>
            <w:r>
              <w:rPr>
                <w:rFonts w:ascii="Times New Roman;serif" w:hAnsi="Times New Roman;serif"/>
                <w:b w:val="false"/>
                <w:color w:val="000000"/>
                <w:sz w:val="20"/>
              </w:rPr>
              <w:t>: Election of Directors Proposal</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4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plurality of the votes cast. This means that the nominee receiving the highest number of affirmative "FOR" votes will be elected as a Director.</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Votes withheld and broker non-votes will not be counted and will have no effect.</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u w:val="single"/>
              </w:rPr>
              <w:t>Proposal 2</w:t>
            </w:r>
            <w:r>
              <w:rPr>
                <w:rFonts w:ascii="Times New Roman;serif" w:hAnsi="Times New Roman;serif"/>
                <w:b w:val="false"/>
                <w:color w:val="000000"/>
                <w:sz w:val="20"/>
              </w:rPr>
              <w:t>: Say-on-Pay Proposal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affirmative vote of the holders of a majority in voting power of the votes cast.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Abstentions and broker non-votes will not be counted and will have no effect.</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u w:val="single"/>
              </w:rPr>
              <w:t>Proposal 3</w:t>
            </w:r>
            <w:r>
              <w:rPr>
                <w:rFonts w:ascii="Times New Roman;serif" w:hAnsi="Times New Roman;serif"/>
                <w:b w:val="false"/>
                <w:color w:val="000000"/>
                <w:sz w:val="20"/>
              </w:rPr>
              <w:t>: Say-on-Frequency Proposal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affirmative vote of the holders of a majority in voting power of the votes cast.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Abstentions and broker non-votes will not be counted and will have no effect.</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u w:val="single"/>
              </w:rPr>
              <w:t>Proposal 4</w:t>
            </w:r>
            <w:r>
              <w:rPr>
                <w:rFonts w:ascii="Times New Roman;serif" w:hAnsi="Times New Roman;serif"/>
                <w:b w:val="false"/>
                <w:color w:val="000000"/>
                <w:sz w:val="20"/>
              </w:rPr>
              <w:t>: Auditor Ratification Proposal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4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affirmative vote of the holders of a majority in voting power of the votes cast.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Abstentions and broker non-votes will not be counted and will have no effect.</w:t>
            </w:r>
          </w:p>
        </w:tc>
      </w:tr>
    </w:tbl>
    <w:p>
      <w:pPr>
        <w:pStyle w:val="TextBody"/>
        <w:bidi w:val="0"/>
        <w:spacing w:before="0" w:after="0"/>
        <w:jc w:val="left"/>
        <w:rPr/>
      </w:pPr>
      <w:r>
        <w:rPr/>
      </w:r>
    </w:p>
    <w:tbl>
      <w:tblPr>
        <w:tblW w:w="9359" w:type="dxa"/>
        <w:jc w:val="left"/>
        <w:tblInd w:w="0" w:type="dxa"/>
        <w:tblLayout w:type="fixed"/>
        <w:tblCellMar>
          <w:top w:w="28" w:type="dxa"/>
          <w:left w:w="28" w:type="dxa"/>
          <w:bottom w:w="28" w:type="dxa"/>
          <w:right w:w="28" w:type="dxa"/>
        </w:tblCellMar>
      </w:tblPr>
      <w:tblGrid>
        <w:gridCol w:w="2997"/>
        <w:gridCol w:w="2633"/>
        <w:gridCol w:w="3729"/>
      </w:tblGrid>
      <w:tr>
        <w:trPr/>
        <w:tc>
          <w:tcPr>
            <w:tcW w:w="2997"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c>
          <w:tcPr>
            <w:tcW w:w="3729" w:type="dxa"/>
            <w:tcBorders/>
            <w:vAlign w:val="center"/>
          </w:tcPr>
          <w:p>
            <w:pPr>
              <w:pStyle w:val="TableContents"/>
              <w:bidi w:val="0"/>
              <w:spacing w:before="0" w:after="283"/>
              <w:jc w:val="left"/>
              <w:rPr>
                <w:sz w:val="4"/>
                <w:szCs w:val="4"/>
              </w:rPr>
            </w:pPr>
            <w:r>
              <w:rPr>
                <w:sz w:val="4"/>
                <w:szCs w:val="4"/>
              </w:rPr>
            </w:r>
          </w:p>
        </w:tc>
      </w:tr>
      <w:tr>
        <w:trPr/>
        <w:tc>
          <w:tcPr>
            <w:tcW w:w="935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WHAT IS AN ABSTENTION AND HOW WILL VOTES WITHHELD AND ABSTENTIONS BE TREATED?</w:t>
            </w:r>
          </w:p>
        </w:tc>
      </w:tr>
    </w:tbl>
    <w:p>
      <w:pPr>
        <w:pStyle w:val="TextBody"/>
        <w:bidi w:val="0"/>
        <w:spacing w:lineRule="auto" w:line="240" w:before="240" w:after="283"/>
        <w:jc w:val="left"/>
        <w:rPr/>
      </w:pPr>
      <w:r>
        <w:rPr>
          <w:rFonts w:ascii="Times New Roman;serif" w:hAnsi="Times New Roman;serif"/>
          <w:b w:val="false"/>
          <w:color w:val="000000"/>
          <w:sz w:val="20"/>
        </w:rPr>
        <w:t xml:space="preserve">A </w:t>
      </w:r>
      <w:r>
        <w:rPr>
          <w:color w:val="000000"/>
          <w:shd w:fill="FFFFFF" w:val="clear"/>
        </w:rPr>
        <w:t>“</w:t>
      </w:r>
      <w:r>
        <w:rPr>
          <w:rFonts w:ascii="Times New Roman;serif" w:hAnsi="Times New Roman;serif"/>
          <w:b w:val="false"/>
          <w:color w:val="000000"/>
          <w:sz w:val="20"/>
        </w:rPr>
        <w:t xml:space="preserve">vote withheld,” in the case of the Election of Directors Proposal, or an </w:t>
      </w:r>
      <w:r>
        <w:rPr>
          <w:color w:val="000000"/>
          <w:shd w:fill="FFFFFF" w:val="clear"/>
        </w:rPr>
        <w:t>“</w:t>
      </w:r>
      <w:r>
        <w:rPr>
          <w:rFonts w:ascii="Times New Roman;serif" w:hAnsi="Times New Roman;serif"/>
          <w:b w:val="false"/>
          <w:color w:val="000000"/>
          <w:sz w:val="20"/>
        </w:rPr>
        <w:t>abstention,” in the case of the Say-on-Pay Proposal, Say-on-Frequency Proposal, and Auditor Ratification Proposal, represents a stockholder’s affirmative choice to decline to vote on a proposal. Votes withheld and abstentions are counted as present and entitled to vote for purposes of determining a quorum. Votes withheld will not be counted and will have no effect on the vote to elect directors. Abstentions will not be counted and will have no effect on the Say-on-Pay vote, Say-on-Frequency vote, or the vote to ratify the appointment of Grant Thornton LLP as our independent registered public accounting firm.</w:t>
      </w:r>
    </w:p>
    <w:p>
      <w:pPr>
        <w:pStyle w:val="TextBody"/>
        <w:bidi w:val="0"/>
        <w:spacing w:before="0" w:after="0"/>
        <w:jc w:val="left"/>
        <w:rPr/>
      </w:pPr>
      <w:r>
        <w:rPr/>
      </w:r>
    </w:p>
    <w:tbl>
      <w:tblPr>
        <w:tblW w:w="8549" w:type="dxa"/>
        <w:jc w:val="left"/>
        <w:tblInd w:w="0" w:type="dxa"/>
        <w:tblLayout w:type="fixed"/>
        <w:tblCellMar>
          <w:top w:w="28" w:type="dxa"/>
          <w:left w:w="28" w:type="dxa"/>
          <w:bottom w:w="28" w:type="dxa"/>
          <w:right w:w="28" w:type="dxa"/>
        </w:tblCellMar>
      </w:tblPr>
      <w:tblGrid>
        <w:gridCol w:w="2735"/>
        <w:gridCol w:w="2407"/>
        <w:gridCol w:w="3407"/>
      </w:tblGrid>
      <w:tr>
        <w:trPr/>
        <w:tc>
          <w:tcPr>
            <w:tcW w:w="2735"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3407" w:type="dxa"/>
            <w:tcBorders/>
            <w:vAlign w:val="center"/>
          </w:tcPr>
          <w:p>
            <w:pPr>
              <w:pStyle w:val="TableContents"/>
              <w:bidi w:val="0"/>
              <w:spacing w:before="0" w:after="283"/>
              <w:jc w:val="left"/>
              <w:rPr>
                <w:sz w:val="4"/>
                <w:szCs w:val="4"/>
              </w:rPr>
            </w:pPr>
            <w:r>
              <w:rPr>
                <w:sz w:val="4"/>
                <w:szCs w:val="4"/>
              </w:rPr>
            </w:r>
          </w:p>
        </w:tc>
      </w:tr>
      <w:tr>
        <w:trPr/>
        <w:tc>
          <w:tcPr>
            <w:tcW w:w="854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WHAT ARE BROKER NON-VOTES AND DO THEY COUNT FOR DETERMINING A QUORUM?</w:t>
            </w:r>
          </w:p>
        </w:tc>
      </w:tr>
    </w:tbl>
    <w:p>
      <w:pPr>
        <w:pStyle w:val="TextBody"/>
        <w:bidi w:val="0"/>
        <w:spacing w:lineRule="auto" w:line="240" w:before="240" w:after="283"/>
        <w:jc w:val="left"/>
        <w:rPr/>
      </w:pPr>
      <w:r>
        <w:rPr>
          <w:rFonts w:ascii="Times New Roman;serif" w:hAnsi="Times New Roman;serif"/>
          <w:b w:val="false"/>
          <w:color w:val="000000"/>
          <w:sz w:val="20"/>
        </w:rPr>
        <w:t xml:space="preserve">Generally, broker non-votes occur when shares held by a broker in </w:t>
      </w:r>
      <w:r>
        <w:rPr>
          <w:color w:val="000000"/>
          <w:shd w:fill="FFFFFF" w:val="clear"/>
        </w:rPr>
        <w:t>“</w:t>
      </w:r>
      <w:r>
        <w:rPr>
          <w:rFonts w:ascii="Times New Roman;serif" w:hAnsi="Times New Roman;serif"/>
          <w:b w:val="false"/>
          <w:color w:val="000000"/>
          <w:sz w:val="20"/>
        </w:rPr>
        <w:t>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Auditor Ratification Proposal, without instructions from the beneficial owner of those shares. On the other hand, absent instructions from the beneficial owner of such shares, a broker is not entitled to vote shares held for a beneficial owner on non-routine matters, such as the Election of Directors Proposal, the Say-on-Pay Proposal, and the Say-on-Frequency Proposal. Broker non-votes count for purposes of determining whether a quorum is present.</w:t>
      </w:r>
    </w:p>
    <w:p>
      <w:pPr>
        <w:pStyle w:val="TextBody"/>
        <w:bidi w:val="0"/>
        <w:spacing w:before="0" w:after="0"/>
        <w:jc w:val="left"/>
        <w:rPr/>
      </w:pPr>
      <w:r>
        <w:rPr/>
      </w:r>
    </w:p>
    <w:tbl>
      <w:tblPr>
        <w:tblW w:w="9389" w:type="dxa"/>
        <w:jc w:val="left"/>
        <w:tblInd w:w="0" w:type="dxa"/>
        <w:tblLayout w:type="fixed"/>
        <w:tblCellMar>
          <w:top w:w="28" w:type="dxa"/>
          <w:left w:w="28" w:type="dxa"/>
          <w:bottom w:w="28" w:type="dxa"/>
          <w:right w:w="28" w:type="dxa"/>
        </w:tblCellMar>
      </w:tblPr>
      <w:tblGrid>
        <w:gridCol w:w="3007"/>
        <w:gridCol w:w="2644"/>
        <w:gridCol w:w="3738"/>
      </w:tblGrid>
      <w:tr>
        <w:trPr/>
        <w:tc>
          <w:tcPr>
            <w:tcW w:w="3007"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38" w:type="dxa"/>
            <w:tcBorders/>
            <w:vAlign w:val="center"/>
          </w:tcPr>
          <w:p>
            <w:pPr>
              <w:pStyle w:val="TableContents"/>
              <w:bidi w:val="0"/>
              <w:spacing w:before="0" w:after="283"/>
              <w:jc w:val="left"/>
              <w:rPr>
                <w:sz w:val="4"/>
                <w:szCs w:val="4"/>
              </w:rPr>
            </w:pPr>
            <w:r>
              <w:rPr>
                <w:sz w:val="4"/>
                <w:szCs w:val="4"/>
              </w:rPr>
            </w:r>
          </w:p>
        </w:tc>
      </w:tr>
      <w:tr>
        <w:trPr/>
        <w:tc>
          <w:tcPr>
            <w:tcW w:w="93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WHERE CAN I FIND THE VOTING RESULTS OF THE 2026 ANNUAL MEETING OF STOCKHOLDERS?</w:t>
            </w:r>
          </w:p>
        </w:tc>
      </w:tr>
    </w:tbl>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We plan to announce preliminary voting results at the Annual Meeting and we will report the final results in a Current Report on Form 8-K, which we intend to file with the SEC shortly after the Annual Meeting.</w:t>
      </w:r>
    </w:p>
    <w:p>
      <w:pPr>
        <w:pStyle w:val="TextBody"/>
        <w:bidi w:val="0"/>
        <w:spacing w:before="0" w:after="2"/>
        <w:jc w:val="left"/>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29" w:type="dxa"/>
        <w:jc w:val="left"/>
        <w:tblInd w:w="0" w:type="dxa"/>
        <w:tblLayout w:type="fixed"/>
        <w:tblCellMar>
          <w:top w:w="28" w:type="dxa"/>
          <w:left w:w="28" w:type="dxa"/>
          <w:bottom w:w="28" w:type="dxa"/>
          <w:right w:w="28" w:type="dxa"/>
        </w:tblCellMar>
      </w:tblPr>
      <w:tblGrid>
        <w:gridCol w:w="970"/>
        <w:gridCol w:w="853"/>
        <w:gridCol w:w="1206"/>
      </w:tblGrid>
      <w:tr>
        <w:trPr/>
        <w:tc>
          <w:tcPr>
            <w:tcW w:w="97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op w:val="single" w:sz="36"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PROPOSALS TO BE VOTED ON</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165" w:type="dxa"/>
        <w:jc w:val="left"/>
        <w:tblInd w:w="0" w:type="dxa"/>
        <w:tblLayout w:type="fixed"/>
        <w:tblCellMar>
          <w:top w:w="28" w:type="dxa"/>
          <w:left w:w="28" w:type="dxa"/>
          <w:bottom w:w="28" w:type="dxa"/>
          <w:right w:w="28" w:type="dxa"/>
        </w:tblCellMar>
      </w:tblPr>
      <w:tblGrid>
        <w:gridCol w:w="1972"/>
        <w:gridCol w:w="1734"/>
        <w:gridCol w:w="2459"/>
      </w:tblGrid>
      <w:tr>
        <w:trPr/>
        <w:tc>
          <w:tcPr>
            <w:tcW w:w="1972"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PROPOSAL 1: Election of Directors ("Election of Directors Proposal")</w:t>
            </w:r>
          </w:p>
        </w:tc>
      </w:tr>
    </w:tbl>
    <w:p>
      <w:pPr>
        <w:pStyle w:val="TextBody"/>
        <w:bidi w:val="0"/>
        <w:spacing w:lineRule="auto" w:line="240" w:before="200" w:after="283"/>
        <w:jc w:val="left"/>
        <w:rPr/>
      </w:pPr>
      <w:r>
        <w:rPr>
          <w:rFonts w:ascii="Times New Roman;serif" w:hAnsi="Times New Roman;serif"/>
          <w:b w:val="false"/>
          <w:color w:val="000000"/>
          <w:sz w:val="20"/>
          <w:shd w:fill="FFFFFF" w:val="clear"/>
        </w:rPr>
        <w:t xml:space="preserve">At the Annual Meeting, a </w:t>
      </w:r>
      <w:r>
        <w:rPr>
          <w:rFonts w:ascii="Times New Roman;serif" w:hAnsi="Times New Roman;serif"/>
          <w:b w:val="false"/>
          <w:color w:val="000000"/>
          <w:sz w:val="20"/>
        </w:rPr>
        <w:t>Class II</w:t>
      </w:r>
      <w:r>
        <w:rPr>
          <w:color w:val="000000"/>
          <w:shd w:fill="FFFFFF" w:val="clear"/>
        </w:rPr>
        <w:t xml:space="preserve"> </w:t>
      </w:r>
      <w:r>
        <w:rPr>
          <w:rFonts w:ascii="Times New Roman;serif" w:hAnsi="Times New Roman;serif"/>
          <w:b w:val="false"/>
          <w:color w:val="000000"/>
          <w:sz w:val="20"/>
          <w:shd w:fill="FFFFFF" w:val="clear"/>
        </w:rPr>
        <w:t>Director is to be elected to hold office until the 2029 Annual Meeting of Stockholders and until such director’s successor is elected and qualified or until such director’s earlier death, resignation or removal.</w:t>
      </w:r>
    </w:p>
    <w:p>
      <w:pPr>
        <w:pStyle w:val="TextBody"/>
        <w:bidi w:val="0"/>
        <w:spacing w:lineRule="auto" w:line="240" w:before="200" w:after="283"/>
        <w:jc w:val="left"/>
        <w:rPr/>
      </w:pPr>
      <w:r>
        <w:rPr>
          <w:rFonts w:ascii="Times New Roman;serif" w:hAnsi="Times New Roman;serif"/>
          <w:b w:val="false"/>
          <w:color w:val="000000"/>
          <w:sz w:val="20"/>
          <w:shd w:fill="FFFFFF" w:val="clear"/>
        </w:rPr>
        <w:t xml:space="preserve">The proposal regarding the election of directors requires the approval of a plurality of the votes cast. This means that the nominee receiving the highest number of affirmative “FOR” votes will be elected as a </w:t>
      </w:r>
      <w:r>
        <w:rPr>
          <w:rFonts w:ascii="Times New Roman;serif" w:hAnsi="Times New Roman;serif"/>
          <w:b w:val="false"/>
          <w:color w:val="000000"/>
          <w:sz w:val="20"/>
        </w:rPr>
        <w:t>Class II</w:t>
      </w:r>
      <w:r>
        <w:rPr>
          <w:color w:val="000000"/>
          <w:shd w:fill="FFFFFF" w:val="clear"/>
        </w:rPr>
        <w:t xml:space="preserve"> </w:t>
      </w:r>
      <w:r>
        <w:rPr>
          <w:rFonts w:ascii="Times New Roman;serif" w:hAnsi="Times New Roman;serif"/>
          <w:b w:val="false"/>
          <w:color w:val="000000"/>
          <w:sz w:val="20"/>
          <w:shd w:fill="FFFFFF" w:val="clear"/>
        </w:rPr>
        <w:t>Director. Votes withheld and broker non-votes are not considered votes cast and, accordingly, will have no effect on the outcome of this proposal.</w:t>
      </w:r>
    </w:p>
    <w:p>
      <w:pPr>
        <w:pStyle w:val="TextBody"/>
        <w:bidi w:val="0"/>
        <w:spacing w:before="0" w:after="2"/>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40" w:before="200" w:after="283"/>
        <w:jc w:val="left"/>
        <w:rPr/>
      </w:pPr>
      <w:r>
        <w:rPr>
          <w:rFonts w:ascii="Times New Roman;serif" w:hAnsi="Times New Roman;serif"/>
          <w:b w:val="false"/>
          <w:color w:val="000000"/>
          <w:sz w:val="20"/>
          <w:shd w:fill="FFFFFF" w:val="clear"/>
        </w:rPr>
        <w:t xml:space="preserve">Our Board currently consists of </w:t>
      </w:r>
      <w:r>
        <w:rPr>
          <w:rFonts w:ascii="Times New Roman;serif" w:hAnsi="Times New Roman;serif"/>
          <w:b w:val="false"/>
          <w:color w:val="000000"/>
          <w:sz w:val="20"/>
        </w:rPr>
        <w:t>seven (7)</w:t>
      </w:r>
      <w:r>
        <w:rPr>
          <w:color w:val="000000"/>
          <w:shd w:fill="FFFFFF" w:val="clear"/>
        </w:rPr>
        <w:t xml:space="preserve"> </w:t>
      </w:r>
      <w:r>
        <w:rPr>
          <w:rFonts w:ascii="Times New Roman;serif" w:hAnsi="Times New Roman;serif"/>
          <w:b w:val="false"/>
          <w:color w:val="000000"/>
          <w:sz w:val="20"/>
          <w:shd w:fill="FFFFFF" w:val="clear"/>
        </w:rPr>
        <w:t xml:space="preserve">directors, including our </w:t>
      </w:r>
      <w:r>
        <w:rPr>
          <w:rFonts w:ascii="Times New Roman;serif" w:hAnsi="Times New Roman;serif"/>
          <w:b w:val="false"/>
          <w:color w:val="000000"/>
          <w:sz w:val="20"/>
        </w:rPr>
        <w:t>Chief Executive Officer</w:t>
      </w:r>
      <w:r>
        <w:rPr>
          <w:color w:val="000000"/>
          <w:shd w:fill="FFFFFF" w:val="clear"/>
        </w:rPr>
        <w:t xml:space="preserve"> </w:t>
      </w:r>
      <w:r>
        <w:rPr>
          <w:rFonts w:ascii="Times New Roman;serif" w:hAnsi="Times New Roman;serif"/>
          <w:b w:val="false"/>
          <w:color w:val="000000"/>
          <w:sz w:val="20"/>
        </w:rPr>
        <w:t>Dr. David Eifrig</w:t>
      </w:r>
      <w:r>
        <w:rPr>
          <w:rFonts w:ascii="Times New Roman;serif" w:hAnsi="Times New Roman;serif"/>
          <w:b w:val="false"/>
          <w:color w:val="000000"/>
          <w:sz w:val="20"/>
          <w:shd w:fill="FFFFFF" w:val="clear"/>
        </w:rPr>
        <w:t>, whose detailed information can be found in the Executive Officer section of this Proxy Statement. Our Certificate of Incorporation and Bylaws provide that the authorized number of directors shall be fixed from time to time by a resolution of the majority of our Board of Directors. Our current non-employee directors are:</w:t>
      </w:r>
    </w:p>
    <w:p>
      <w:pPr>
        <w:pStyle w:val="TextBody"/>
        <w:bidi w:val="0"/>
        <w:spacing w:before="0" w:after="0"/>
        <w:ind w:left="0" w:right="0" w:firstLine="351"/>
        <w:jc w:val="left"/>
        <w:rPr/>
      </w:pPr>
      <w:r>
        <w:rPr/>
      </w:r>
    </w:p>
    <w:tbl>
      <w:tblPr>
        <w:tblW w:w="2472" w:type="dxa"/>
        <w:jc w:val="center"/>
        <w:tblInd w:w="0" w:type="dxa"/>
        <w:tblLayout w:type="fixed"/>
        <w:tblCellMar>
          <w:top w:w="28" w:type="dxa"/>
          <w:left w:w="28" w:type="dxa"/>
          <w:bottom w:w="28" w:type="dxa"/>
          <w:right w:w="28" w:type="dxa"/>
        </w:tblCellMar>
      </w:tblPr>
      <w:tblGrid>
        <w:gridCol w:w="613"/>
        <w:gridCol w:w="536"/>
        <w:gridCol w:w="545"/>
        <w:gridCol w:w="109"/>
        <w:gridCol w:w="109"/>
        <w:gridCol w:w="109"/>
        <w:gridCol w:w="132"/>
        <w:gridCol w:w="132"/>
        <w:gridCol w:w="187"/>
      </w:tblGrid>
      <w:tr>
        <w:trPr/>
        <w:tc>
          <w:tcPr>
            <w:tcW w:w="61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Age</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 Simmons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Smith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 Porter Stansberry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Glenn Tongue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Turner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r>
    </w:tbl>
    <w:p>
      <w:pPr>
        <w:pStyle w:val="TextBody"/>
        <w:bidi w:val="0"/>
        <w:spacing w:before="0" w:after="0"/>
        <w:jc w:val="left"/>
        <w:rPr/>
      </w:pPr>
      <w:r>
        <w:rPr/>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set forth in our Certificate of Incorporation, our Board is divided into three staggered classes of directors. At each annual meeting of stockholders, the successors to directors whose terms then expire will be elected to serve from the time of election and qualification until the third annual meeting following election. </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The current class structure is as follows: Class I, whose term will expire at the 2028 Annual Meeting of Stockholders; Class II, whose term will expire at the 2026 Annual Meeting of Stockholders, and, if elected at the Annual Meeting, whose subsequent term will expire at the 2029 Annual Meeting of Stockholders; and, Class III, whose current term will expire at the 2027 Annual Meeting of Stockholders. The current Class I Directors are Dr. David Eifrig and Van Simmons; the current Class II Director is Matthew Turner; and the current Class III Directors are Michael Palmer, Matthew Smith, F. Porter Stansberry, and Glenn Tongue.</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Directors may be removed by our stockholders only for cause, and only by the affirmative vote of the holders of at least a majority of the voting power of our then-outstanding voting stock entitled to vote in the election of directors. Vacancies on our Board can be filled by resolution of our Board. Any increase or decrease in the number of directors will be distributed among the three classes so that, as nearly as possible, each class shall consist of one-third of the directors. The division of our Board into three classes with staggered three-year terms may have the effect of delaying or preventing changes in control of our Company.</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If you submit a proxy but do not indicate any voting instructions, the persons named as proxies will vote the shares of Common Stock represented thereby for the election as Class II Director of the person whose name and biography appears below. The person whose name and biography appears below is currently serving as our director. In the event the nominee should become unable to serve or for good cause will not serve as a director, it is intended that votes will be cast for a substitute nominee designated by the Board or the Board may elect to reduce its size. The Board has no reason to believe that the nominee named below will be unable to serve if elected. The nominee has consented to being named in this proxy statement and to serve if elected.</w:t>
      </w:r>
    </w:p>
    <w:p>
      <w:pPr>
        <w:pStyle w:val="TextBody"/>
        <w:bidi w:val="0"/>
        <w:spacing w:before="0" w:after="0"/>
        <w:jc w:val="left"/>
        <w:rPr/>
      </w:pPr>
      <w:r>
        <w:rPr/>
      </w:r>
    </w:p>
    <w:tbl>
      <w:tblPr>
        <w:tblW w:w="1799" w:type="dxa"/>
        <w:jc w:val="left"/>
        <w:tblInd w:w="0" w:type="dxa"/>
        <w:tblLayout w:type="fixed"/>
        <w:tblCellMar>
          <w:top w:w="28" w:type="dxa"/>
          <w:left w:w="28" w:type="dxa"/>
          <w:bottom w:w="28" w:type="dxa"/>
          <w:right w:w="28" w:type="dxa"/>
        </w:tblCellMar>
      </w:tblPr>
      <w:tblGrid>
        <w:gridCol w:w="575"/>
        <w:gridCol w:w="506"/>
        <w:gridCol w:w="718"/>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VOTE REQUIRED</w:t>
            </w:r>
          </w:p>
        </w:tc>
      </w:tr>
    </w:tbl>
    <w:p>
      <w:pPr>
        <w:pStyle w:val="TextBody"/>
        <w:bidi w:val="0"/>
        <w:spacing w:lineRule="auto" w:line="240" w:before="240" w:after="283"/>
        <w:jc w:val="left"/>
        <w:rPr/>
      </w:pPr>
      <w:r>
        <w:rPr>
          <w:rFonts w:ascii="Times New Roman;serif" w:hAnsi="Times New Roman;serif"/>
          <w:b w:val="false"/>
          <w:color w:val="000000"/>
          <w:sz w:val="20"/>
        </w:rPr>
        <w:t xml:space="preserve">The proposal regarding the election of directors requires the approval of a plurality of the votes cast. This means that the nominee who receives the highest number of affirmative </w:t>
      </w:r>
      <w:r>
        <w:rPr>
          <w:color w:val="000000"/>
          <w:shd w:fill="FFFFFF" w:val="clear"/>
        </w:rPr>
        <w:t>“</w:t>
      </w:r>
      <w:r>
        <w:rPr>
          <w:rFonts w:ascii="Times New Roman;serif" w:hAnsi="Times New Roman;serif"/>
          <w:b w:val="false"/>
          <w:color w:val="000000"/>
          <w:sz w:val="20"/>
          <w:shd w:fill="FFFFFF" w:val="clear"/>
        </w:rPr>
        <w:t>FOR”</w:t>
      </w:r>
      <w:r>
        <w:rPr>
          <w:color w:val="000000"/>
        </w:rPr>
        <w:t xml:space="preserve"> </w:t>
      </w:r>
      <w:r>
        <w:rPr>
          <w:rFonts w:ascii="Times New Roman;serif" w:hAnsi="Times New Roman;serif"/>
          <w:b w:val="false"/>
          <w:color w:val="000000"/>
          <w:sz w:val="20"/>
        </w:rPr>
        <w:t>votes will be elected. Votes withheld and broker non-votes are not considered to be votes cast and, accordingly, will have no effect on the outcome of the vote on this proposal.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129" w:type="dxa"/>
        <w:jc w:val="left"/>
        <w:tblInd w:w="0" w:type="dxa"/>
        <w:tblLayout w:type="fixed"/>
        <w:tblCellMar>
          <w:top w:w="28" w:type="dxa"/>
          <w:left w:w="28" w:type="dxa"/>
          <w:bottom w:w="28" w:type="dxa"/>
          <w:right w:w="28" w:type="dxa"/>
        </w:tblCellMar>
      </w:tblPr>
      <w:tblGrid>
        <w:gridCol w:w="1641"/>
        <w:gridCol w:w="1442"/>
        <w:gridCol w:w="2046"/>
      </w:tblGrid>
      <w:tr>
        <w:trPr/>
        <w:tc>
          <w:tcPr>
            <w:tcW w:w="164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RECOMMENDATION OF THE BOARD OF DIRECTORS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8"/>
        <w:gridCol w:w="166"/>
        <w:gridCol w:w="167"/>
        <w:gridCol w:w="109"/>
        <w:gridCol w:w="109"/>
        <w:gridCol w:w="109"/>
        <w:gridCol w:w="2740"/>
        <w:gridCol w:w="2740"/>
        <w:gridCol w:w="3877"/>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77"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7" w:type="dxa"/>
            <w:gridSpan w:val="3"/>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66700"/>
                  <wp:effectExtent l="0" t="0" r="0" b="0"/>
                  <wp:docPr id="1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 descr=""/>
                          <pic:cNvPicPr>
                            <a:picLocks noChangeAspect="1" noChangeArrowheads="1"/>
                          </pic:cNvPicPr>
                        </pic:nvPicPr>
                        <pic:blipFill>
                          <a:blip r:embed="rId3"/>
                          <a:stretch>
                            <a:fillRect/>
                          </a:stretch>
                        </pic:blipFill>
                        <pic:spPr bwMode="auto">
                          <a:xfrm>
                            <a:off x="0" y="0"/>
                            <a:ext cx="266700" cy="2667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9357"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color w:val="000000"/>
                <w:sz w:val="20"/>
              </w:rPr>
            </w:pPr>
            <w:r>
              <w:rPr>
                <w:rFonts w:ascii="Times New Roman;serif" w:hAnsi="Times New Roman;serif"/>
                <w:b/>
                <w:color w:val="000000"/>
                <w:sz w:val="20"/>
              </w:rPr>
              <w:t>The Board of Directors unanimously recommends a vote FOR Matthew Turner, the Class II Director nominee below.</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3"/>
        <w:gridCol w:w="2871"/>
        <w:gridCol w:w="4071"/>
      </w:tblGrid>
      <w:tr>
        <w:trPr/>
        <w:tc>
          <w:tcPr>
            <w:tcW w:w="3263"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NOMINEE FOR CLASS II DIRECTOR TO SERVE FOR A 3 YEAR TERM EXPIRING AT THE 2029 ANNUAL MEETING</w:t>
            </w:r>
          </w:p>
        </w:tc>
      </w:tr>
    </w:tbl>
    <w:tbl>
      <w:tblPr>
        <w:tblW w:w="7132" w:type="dxa"/>
        <w:jc w:val="left"/>
        <w:tblInd w:w="0" w:type="dxa"/>
        <w:tblLayout w:type="fixed"/>
        <w:tblCellMar>
          <w:top w:w="28" w:type="dxa"/>
          <w:left w:w="28" w:type="dxa"/>
          <w:bottom w:w="28" w:type="dxa"/>
          <w:right w:w="28" w:type="dxa"/>
        </w:tblCellMar>
      </w:tblPr>
      <w:tblGrid>
        <w:gridCol w:w="515"/>
        <w:gridCol w:w="451"/>
        <w:gridCol w:w="459"/>
        <w:gridCol w:w="109"/>
        <w:gridCol w:w="109"/>
        <w:gridCol w:w="109"/>
        <w:gridCol w:w="135"/>
        <w:gridCol w:w="135"/>
        <w:gridCol w:w="136"/>
        <w:gridCol w:w="109"/>
        <w:gridCol w:w="109"/>
        <w:gridCol w:w="109"/>
        <w:gridCol w:w="699"/>
        <w:gridCol w:w="699"/>
        <w:gridCol w:w="702"/>
        <w:gridCol w:w="109"/>
        <w:gridCol w:w="109"/>
        <w:gridCol w:w="109"/>
        <w:gridCol w:w="650"/>
        <w:gridCol w:w="650"/>
        <w:gridCol w:w="920"/>
      </w:tblGrid>
      <w:tr>
        <w:trPr/>
        <w:tc>
          <w:tcPr>
            <w:tcW w:w="5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60"/>
              <w:jc w:val="left"/>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Age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Served as a Director Since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Positions with MarketWise</w:t>
            </w:r>
          </w:p>
        </w:tc>
      </w:tr>
      <w:tr>
        <w:trPr/>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Turner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w:t>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principal occupation and business experience, for at least the past five years, of our Class II Director nominee is as follows:</w:t>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3266"/>
        <w:gridCol w:w="2869"/>
        <w:gridCol w:w="4070"/>
      </w:tblGrid>
      <w:tr>
        <w:trPr/>
        <w:tc>
          <w:tcPr>
            <w:tcW w:w="3266"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 xml:space="preserve">Matthew Turner </w:t>
            </w:r>
            <w:r>
              <w:rPr>
                <w:rFonts w:ascii="Times New Roman;serif" w:hAnsi="Times New Roman;serif"/>
                <w:b w:val="false"/>
                <w:color w:val="000000"/>
                <w:sz w:val="20"/>
              </w:rPr>
              <w:t>has served as a member of our Board of Directors since May 2023 and Chairman of the Board of Directors since August 2024. Mr. Turner previously served as a member of the board of directors of our largest shareholder, Monument &amp; Cathedral Holdings, LLC, from September 2015 to November 2024. Mr. Turner also previously served as the General Counsel of Monument &amp; Cathedral Holdings, LLC from 1997 until he retired in 2022. Mr. Turner received his Bachelor of Arts in English from Loyola University, Maryland and his Juris Doctor from Catholic University. Having served as the former general counsel of a financial publishing and technology company for more than 25 years, we believe Mr. Turner is qualified to serve on our Board of Directors because of his extensive legal and compliance experience in the financial publishing industry.</w:t>
            </w:r>
          </w:p>
        </w:tc>
      </w:tr>
    </w:tbl>
    <w:p>
      <w:pPr>
        <w:pStyle w:val="TextBody"/>
        <w:bidi w:val="0"/>
        <w:spacing w:before="0" w:after="2"/>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3"/>
        <w:gridCol w:w="2869"/>
        <w:gridCol w:w="4073"/>
      </w:tblGrid>
      <w:tr>
        <w:trPr/>
        <w:tc>
          <w:tcPr>
            <w:tcW w:w="3263"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CONTINUING MEMBERS OF THE BOARD OF DIRECTORS: CLASS I DIRECTORS (TERM TO EXPIRE AT THE 2028 ANNUAL MEETING)</w:t>
            </w:r>
          </w:p>
        </w:tc>
      </w:tr>
    </w:tbl>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The current Class I Directors are:</w:t>
      </w:r>
    </w:p>
    <w:p>
      <w:pPr>
        <w:pStyle w:val="TextBody"/>
        <w:bidi w:val="0"/>
        <w:spacing w:before="0" w:after="0"/>
        <w:jc w:val="left"/>
        <w:rPr/>
      </w:pPr>
      <w:r>
        <w:rPr/>
      </w:r>
    </w:p>
    <w:tbl>
      <w:tblPr>
        <w:tblW w:w="8015" w:type="dxa"/>
        <w:jc w:val="left"/>
        <w:tblInd w:w="0" w:type="dxa"/>
        <w:tblLayout w:type="fixed"/>
        <w:tblCellMar>
          <w:top w:w="28" w:type="dxa"/>
          <w:left w:w="28" w:type="dxa"/>
          <w:bottom w:w="28" w:type="dxa"/>
          <w:right w:w="28" w:type="dxa"/>
        </w:tblCellMar>
      </w:tblPr>
      <w:tblGrid>
        <w:gridCol w:w="508"/>
        <w:gridCol w:w="446"/>
        <w:gridCol w:w="455"/>
        <w:gridCol w:w="109"/>
        <w:gridCol w:w="109"/>
        <w:gridCol w:w="109"/>
        <w:gridCol w:w="135"/>
        <w:gridCol w:w="135"/>
        <w:gridCol w:w="136"/>
        <w:gridCol w:w="109"/>
        <w:gridCol w:w="109"/>
        <w:gridCol w:w="109"/>
        <w:gridCol w:w="699"/>
        <w:gridCol w:w="699"/>
        <w:gridCol w:w="702"/>
        <w:gridCol w:w="109"/>
        <w:gridCol w:w="109"/>
        <w:gridCol w:w="109"/>
        <w:gridCol w:w="913"/>
        <w:gridCol w:w="913"/>
        <w:gridCol w:w="1293"/>
      </w:tblGrid>
      <w:tr>
        <w:trPr/>
        <w:tc>
          <w:tcPr>
            <w:tcW w:w="50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Age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Served as a Director Since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Positions with MarketWise</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David Eifrig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 Simmons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bl>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The principal occupation and business experience, for at least the past five years, of our Class I Directors are as follows:</w:t>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3308"/>
        <w:gridCol w:w="2852"/>
        <w:gridCol w:w="4045"/>
      </w:tblGrid>
      <w:tr>
        <w:trPr/>
        <w:tc>
          <w:tcPr>
            <w:tcW w:w="3308"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404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
              <w:jc w:val="left"/>
              <w:rPr/>
            </w:pPr>
            <w:r>
              <w:rPr>
                <w:rFonts w:ascii="Times New Roman;serif" w:hAnsi="Times New Roman;serif"/>
                <w:b/>
                <w:i/>
                <w:color w:val="000000"/>
                <w:sz w:val="20"/>
              </w:rPr>
              <w:t>Dr. David Eifrig</w:t>
            </w:r>
            <w:r>
              <w:rPr>
                <w:color w:val="000000"/>
              </w:rPr>
              <w:t xml:space="preserve"> </w:t>
            </w:r>
            <w:r>
              <w:rPr>
                <w:rFonts w:ascii="Times New Roman;serif" w:hAnsi="Times New Roman;serif"/>
                <w:b w:val="false"/>
                <w:color w:val="000000"/>
                <w:sz w:val="20"/>
              </w:rPr>
              <w:t xml:space="preserve">has served as Chief Executive Officer since May 2025 and as a member of our Board of Directors since May 2023. Dr. Eifrig previously served as Interim Chief Executive Officer of MarketWise from August 2024 until May 2024. Dr. Eifrig joined MarketWise in 2008 and remains one of its most prolific editors. Dr. Eifrig previously spent a decade on Wall Street working for several major financial institutions, including Goldman Sachs, Chase Manhattan and Yamaichi. Dr. Eifrig received his B.A. in Psychology from Carleton College in Minnesota, and later received his M.B.A. from Northwestern University’s Kellogg School of Management, graduating with a double major in Finance and International Business. Dr. Eifrig subsequently earned his M.D. from the University of North Carolina at Chapel Hill. We believe Dr. Eifrig is qualified to serve on our Board of Directors because of his extensive experience in the financial publishing industry.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
              <w:jc w:val="left"/>
              <w:rPr/>
            </w:pPr>
            <w:r>
              <w:rPr>
                <w:rFonts w:ascii="Times New Roman;serif" w:hAnsi="Times New Roman;serif"/>
                <w:b/>
                <w:i/>
                <w:color w:val="000000"/>
                <w:sz w:val="20"/>
              </w:rPr>
              <w:t>Van Simmons</w:t>
            </w:r>
            <w:r>
              <w:rPr>
                <w:color w:val="000000"/>
              </w:rPr>
              <w:t xml:space="preserve"> </w:t>
            </w:r>
            <w:r>
              <w:rPr>
                <w:rFonts w:ascii="Times New Roman;serif" w:hAnsi="Times New Roman;serif"/>
                <w:b w:val="false"/>
                <w:color w:val="000000"/>
                <w:sz w:val="20"/>
              </w:rPr>
              <w:t>has served as a member of our Board of Directors since July 2021. Mr. Simmons has served as President of David Hall Rare Coins, Inc. since 1991. He also co-founded Collector’s Universe (NASDAQ: CLCT), the leading grading and authentication service to the collectibles market, where he served as a member of the board of directors from 1999 through 2018. As a rare coin dealer since 1979, Mr. Simmons is widely regarded as a leading authority on coin grading, having pioneered the coin grading standard in use today. Mr. Simmons holds a Masters Professional Director Certification from the American College of Corporate Directors, a public company director education and credentialing organization. We believe Mr. Simmons is qualified to serve on our Board of Directors due to his experience building and managing a successful business and his previous corporate governance experience serving on the board of a public company.</w:t>
            </w:r>
          </w:p>
        </w:tc>
      </w:tr>
    </w:tbl>
    <w:p>
      <w:pPr>
        <w:pStyle w:val="TextBody"/>
        <w:bidi w:val="0"/>
        <w:spacing w:before="0" w:after="2"/>
        <w:jc w:val="left"/>
        <w:rPr/>
      </w:pPr>
      <w:r>
        <w:rPr/>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3263"/>
        <w:gridCol w:w="2869"/>
        <w:gridCol w:w="4073"/>
      </w:tblGrid>
      <w:tr>
        <w:trPr/>
        <w:tc>
          <w:tcPr>
            <w:tcW w:w="3263"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CONTINUING MEMBERS OF THE BOARD OF DIRECTORS: CLASS III DIRECTORS (TERMS TO EXPIRE AT THE 2027 ANNUAL MEETING)</w:t>
            </w:r>
          </w:p>
        </w:tc>
      </w:tr>
    </w:tbl>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The current Class III Directors are:</w:t>
      </w:r>
    </w:p>
    <w:p>
      <w:pPr>
        <w:pStyle w:val="TextBody"/>
        <w:bidi w:val="0"/>
        <w:spacing w:before="0" w:after="0"/>
        <w:jc w:val="left"/>
        <w:rPr/>
      </w:pPr>
      <w:r>
        <w:rPr/>
      </w:r>
    </w:p>
    <w:tbl>
      <w:tblPr>
        <w:tblW w:w="8976" w:type="dxa"/>
        <w:jc w:val="left"/>
        <w:tblInd w:w="0" w:type="dxa"/>
        <w:tblLayout w:type="fixed"/>
        <w:tblCellMar>
          <w:top w:w="28" w:type="dxa"/>
          <w:left w:w="28" w:type="dxa"/>
          <w:bottom w:w="28" w:type="dxa"/>
          <w:right w:w="28" w:type="dxa"/>
        </w:tblCellMar>
      </w:tblPr>
      <w:tblGrid>
        <w:gridCol w:w="611"/>
        <w:gridCol w:w="536"/>
        <w:gridCol w:w="547"/>
        <w:gridCol w:w="109"/>
        <w:gridCol w:w="109"/>
        <w:gridCol w:w="109"/>
        <w:gridCol w:w="135"/>
        <w:gridCol w:w="135"/>
        <w:gridCol w:w="136"/>
        <w:gridCol w:w="109"/>
        <w:gridCol w:w="109"/>
        <w:gridCol w:w="109"/>
        <w:gridCol w:w="699"/>
        <w:gridCol w:w="699"/>
        <w:gridCol w:w="702"/>
        <w:gridCol w:w="109"/>
        <w:gridCol w:w="109"/>
        <w:gridCol w:w="109"/>
        <w:gridCol w:w="1111"/>
        <w:gridCol w:w="1111"/>
        <w:gridCol w:w="1573"/>
      </w:tblGrid>
      <w:tr>
        <w:trPr/>
        <w:tc>
          <w:tcPr>
            <w:tcW w:w="61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Age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Served as a Director Since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Positions with MarketWise</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Palmer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Managing Director, Copywriter, and Director</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Smith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 Porter Stansberry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Glenn Tongue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bl>
    <w:p>
      <w:pPr>
        <w:pStyle w:val="TextBody"/>
        <w:bidi w:val="0"/>
        <w:spacing w:before="0" w:after="2"/>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The principal occupations and business experience, for at least the past five years, of our Class III Directors are as follows:</w:t>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3329"/>
        <w:gridCol w:w="2843"/>
        <w:gridCol w:w="4033"/>
      </w:tblGrid>
      <w:tr>
        <w:trPr/>
        <w:tc>
          <w:tcPr>
            <w:tcW w:w="3329"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403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Michael Palmer</w:t>
            </w:r>
            <w:r>
              <w:rPr>
                <w:color w:val="000000"/>
              </w:rPr>
              <w:t xml:space="preserve"> </w:t>
            </w:r>
            <w:r>
              <w:rPr>
                <w:rFonts w:ascii="Times New Roman;serif" w:hAnsi="Times New Roman;serif"/>
                <w:b w:val="false"/>
                <w:color w:val="000000"/>
                <w:sz w:val="20"/>
              </w:rPr>
              <w:t>has been our Managing Director and Copywriter since 2008 and has served as a member of our Board of Directors since July 2021. Mr. Palmer is responsible for helping to develop, train, and mentor copywriting teams at our various businesses, and to write marketing copy from time to time for these businesses. Mr. Palmer started working in the consumer publishing industry more than 25 years ago, and has worked as an assistant editor, managing editor, copywriter, and head copywriter since then, hiring and training many of the top copywriters at MarketWise today. Mr. Palmer earned a B.A. in English from James Madison University and a M.A. in Publication Design from the University of Baltimore. We believe Mr. Palmer is qualified to serve on our Board of Directors due to his extensive experience in the consumer and financial publishing industry.</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Matthew Smith</w:t>
            </w:r>
            <w:r>
              <w:rPr>
                <w:color w:val="000000"/>
              </w:rPr>
              <w:t xml:space="preserve"> </w:t>
            </w:r>
            <w:r>
              <w:rPr>
                <w:rFonts w:ascii="Times New Roman;serif" w:hAnsi="Times New Roman;serif"/>
                <w:b w:val="false"/>
                <w:color w:val="000000"/>
                <w:sz w:val="20"/>
              </w:rPr>
              <w:t>has served as a member of our Board of Directors since May 2023. Mr. Smith is the founder of Royalty Exchange, Inc., where he has served on the board of directors since 2016 and previously served as the Chief Executive Officer from 2016 until 2021. Mr. Smith has also served on the board of directors of iTime Marketing, Inc. since 2002. Mr. Smith previously served as the Chief Executive Officer of Stansberry &amp; Associates Investment Research, LLC, one of our financial publishing subsidiaries, from July 2012 until December 2015. Mr. Smith attended the University of Illinois from 1993 to 1995. We believe Mr. Smith is qualified to serve on our Board of Directors due to his prior experience with the Company and in the financial publishing industry.</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Frank Porter Stansberry</w:t>
            </w:r>
            <w:r>
              <w:rPr>
                <w:color w:val="000000"/>
              </w:rPr>
              <w:t xml:space="preserve"> </w:t>
            </w:r>
            <w:r>
              <w:rPr>
                <w:rFonts w:ascii="Times New Roman;serif" w:hAnsi="Times New Roman;serif"/>
                <w:b w:val="false"/>
                <w:color w:val="000000"/>
                <w:sz w:val="20"/>
              </w:rPr>
              <w:t xml:space="preserve">is the founder of MarketWise. Mr. Stansberry rejoined our Board of Directors in September 2023, and served as our Chief Executive Officer and Chairman of the Board from October 2023 until August 2024. Mr. Stansberry also previously served as Chairman of the Board until 2020. In April 2022, Mr. Stansberry founded Porter &amp; Company, a publisher of investment research advisories for self-directed investors. In addition to his 25+ year career as a financial analyst and publisher, Mr. Stansberry is also the founder of OneBlade, Inc., a men's luxury shaving brand. Mr. Stansberry holds a B.A. in Political Science and Government from the University of Florida. We believe Mr. Stansberry is qualified to serve on our Board of Directors because he has founded several financial publishing companies including MarketWise and worked in a variety of roles in the financial publishing industry for more than 25 years.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Glenn H. Tongue</w:t>
            </w:r>
            <w:r>
              <w:rPr>
                <w:color w:val="000000"/>
              </w:rPr>
              <w:t xml:space="preserve"> </w:t>
            </w:r>
            <w:r>
              <w:rPr>
                <w:rFonts w:ascii="Times New Roman;serif" w:hAnsi="Times New Roman;serif"/>
                <w:b w:val="false"/>
                <w:color w:val="000000"/>
                <w:sz w:val="20"/>
              </w:rPr>
              <w:t>has served as a member of our Board of Directors since May 2023. Mr. Tongue is the General Partner of Deerhaven Capital Management and the sole Portfolio Manager of the Deerhaven Fund. Previously he was a General Partner and Co-Manager of T2 Partners Management from April 2004 to July 2012 and was the co-manager of three private investment partnerships: the Tilson Growth Fund, the Tilson Offshore Fund and the T2 Qualified Fund. Mr. Tongue holds an M.B.A. from The Wharton School at the University of Pennsylvania and a B.S. in Electrical Engineering and Computer Science from Princeton University. We believe Mr. Tongue is qualified to serve on our Board of Directors due to his extensive experience in finance.</w:t>
            </w:r>
          </w:p>
        </w:tc>
      </w:tr>
    </w:tbl>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9270" w:type="dxa"/>
        <w:jc w:val="left"/>
        <w:tblInd w:w="0" w:type="dxa"/>
        <w:tblLayout w:type="fixed"/>
        <w:tblCellMar>
          <w:top w:w="28" w:type="dxa"/>
          <w:left w:w="28" w:type="dxa"/>
          <w:bottom w:w="28" w:type="dxa"/>
          <w:right w:w="28" w:type="dxa"/>
        </w:tblCellMar>
      </w:tblPr>
      <w:tblGrid>
        <w:gridCol w:w="2967"/>
        <w:gridCol w:w="2604"/>
        <w:gridCol w:w="3699"/>
      </w:tblGrid>
      <w:tr>
        <w:trPr/>
        <w:tc>
          <w:tcPr>
            <w:tcW w:w="2967"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927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PROPOSAL 2: Advisory Vote to Approve Named Executive Officer Compensation ("Say-on-Pay Proposal")</w:t>
            </w:r>
          </w:p>
        </w:tc>
      </w:tr>
    </w:tbl>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Section 14A of the Securities Exchange Act of 1934, as amended (the “Exchange Act”), we are providing our shareholders with the opportunity to cast an advisory (non-binding) vote on the compensation of our named executive officers (“NEOs”) as disclosed in this Proxy Statement. This proposal, commonly known as a “Say-on-Pay” vote, gives shareholders the opportunity to endorse or not endorse our executive compensation program and policies.</w:t>
      </w:r>
    </w:p>
    <w:p>
      <w:pPr>
        <w:pStyle w:val="TextBody"/>
        <w:bidi w:val="0"/>
        <w:spacing w:lineRule="auto" w:line="240" w:before="200" w:after="283"/>
        <w:jc w:val="left"/>
        <w:rPr>
          <w:rFonts w:ascii="Times New Roman;serif" w:hAnsi="Times New Roman;serif"/>
          <w:b/>
          <w:color w:val="000000"/>
          <w:sz w:val="20"/>
        </w:rPr>
      </w:pPr>
      <w:r>
        <w:rPr>
          <w:rFonts w:ascii="Times New Roman;serif" w:hAnsi="Times New Roman;serif"/>
          <w:b/>
          <w:color w:val="000000"/>
          <w:sz w:val="20"/>
        </w:rPr>
        <w:t>Compensation Philosophy and Objectives</w:t>
      </w:r>
    </w:p>
    <w:p>
      <w:pPr>
        <w:pStyle w:val="TextBody"/>
        <w:bidi w:val="0"/>
        <w:spacing w:lineRule="auto" w:line="240"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MarketWise, Inc.’s executive compensation program is designed to:</w:t>
      </w:r>
    </w:p>
    <w:p>
      <w:pPr>
        <w:pStyle w:val="TextBody"/>
        <w:bidi w:val="0"/>
        <w:spacing w:lineRule="auto" w:line="240"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Attract, retain, and motivate highly qualified executives;</w:t>
      </w:r>
    </w:p>
    <w:p>
      <w:pPr>
        <w:pStyle w:val="TextBody"/>
        <w:bidi w:val="0"/>
        <w:spacing w:lineRule="auto" w:line="240"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Align executive compensation with Company performance and shareholder value creation;</w:t>
      </w:r>
    </w:p>
    <w:p>
      <w:pPr>
        <w:pStyle w:val="TextBody"/>
        <w:bidi w:val="0"/>
        <w:spacing w:lineRule="auto" w:line="240"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Reward both short-term and long-term performance;</w:t>
      </w:r>
    </w:p>
    <w:p>
      <w:pPr>
        <w:pStyle w:val="TextBody"/>
        <w:bidi w:val="0"/>
        <w:spacing w:lineRule="auto" w:line="240"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Promote accountability and prudent risk management.</w:t>
      </w:r>
    </w:p>
    <w:p>
      <w:pPr>
        <w:pStyle w:val="TextBody"/>
        <w:bidi w:val="0"/>
        <w:spacing w:lineRule="auto" w:line="240"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Compensation Committee of the Board of Directors (the “Compensation Committee”) oversees our executive compensation program and believes that the compensation of our NEOs is appropriate, competitive, and aligned with the interests of our shareholders. Our Board believes that the decisions regarding executive compensation in 2025, as reflected in this Proxy Statement, appropriately balanced the Company's performance, leadership transition, executive retention, and long-term stockholder alignment during a year of significant management change.</w:t>
      </w:r>
    </w:p>
    <w:p>
      <w:pPr>
        <w:pStyle w:val="TextBody"/>
        <w:bidi w:val="0"/>
        <w:spacing w:lineRule="auto" w:line="240" w:before="200" w:after="283"/>
        <w:jc w:val="left"/>
        <w:rPr>
          <w:rFonts w:ascii="Times New Roman;serif" w:hAnsi="Times New Roman;serif"/>
          <w:b/>
          <w:color w:val="000000"/>
          <w:sz w:val="20"/>
        </w:rPr>
      </w:pPr>
      <w:r>
        <w:rPr>
          <w:rFonts w:ascii="Times New Roman;serif" w:hAnsi="Times New Roman;serif"/>
          <w:b/>
          <w:color w:val="000000"/>
          <w:sz w:val="20"/>
        </w:rPr>
        <w:t>Vote Requested</w:t>
      </w:r>
    </w:p>
    <w:p>
      <w:pPr>
        <w:pStyle w:val="TextBody"/>
        <w:bidi w:val="0"/>
        <w:spacing w:lineRule="auto" w:line="240"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asking our shareholders to approve the following advisory resolution:</w:t>
      </w:r>
    </w:p>
    <w:p>
      <w:pPr>
        <w:pStyle w:val="TextBody"/>
        <w:bidi w:val="0"/>
        <w:spacing w:lineRule="auto" w:line="240" w:before="200" w:after="283"/>
        <w:jc w:val="both"/>
        <w:rPr>
          <w:color w:val="000000"/>
          <w:shd w:fill="FFFFFF" w:val="clear"/>
        </w:rPr>
      </w:pPr>
      <w:r>
        <w:rPr>
          <w:color w:val="000000"/>
          <w:shd w:fill="FFFFFF" w:val="clear"/>
        </w:rPr>
        <w:t>“</w:t>
      </w:r>
      <w:r>
        <w:rPr>
          <w:rFonts w:ascii="Times New Roman;serif" w:hAnsi="Times New Roman;serif"/>
          <w:b w:val="false"/>
          <w:color w:val="000000"/>
          <w:sz w:val="20"/>
          <w:shd w:fill="FFFFFF" w:val="clear"/>
        </w:rPr>
        <w:t>RESOLVED, that the shareholders of MarketWise, Inc. approve, on an advisory basis, the compensation of the Company’s named executive officers, as disclosed in the Company’s Proxy Statement for the 2026 Annual Meeting of Shareholders pursuant to Item 402 of Regulation S-K.”</w:t>
      </w:r>
    </w:p>
    <w:p>
      <w:pPr>
        <w:pStyle w:val="TextBody"/>
        <w:bidi w:val="0"/>
        <w:spacing w:lineRule="auto" w:line="240" w:before="200" w:after="283"/>
        <w:jc w:val="left"/>
        <w:rPr>
          <w:rFonts w:ascii="Times New Roman;serif" w:hAnsi="Times New Roman;serif"/>
          <w:b/>
          <w:color w:val="000000"/>
          <w:sz w:val="20"/>
        </w:rPr>
      </w:pPr>
      <w:r>
        <w:rPr>
          <w:rFonts w:ascii="Times New Roman;serif" w:hAnsi="Times New Roman;serif"/>
          <w:b/>
          <w:color w:val="000000"/>
          <w:sz w:val="20"/>
        </w:rPr>
        <w:t>Advisory Nature of Vote</w:t>
      </w:r>
    </w:p>
    <w:p>
      <w:pPr>
        <w:pStyle w:val="TextBody"/>
        <w:bidi w:val="0"/>
        <w:spacing w:lineRule="auto" w:line="240"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vote is advisory and therefore not binding on the Company, the Board of Directors, or the Compensation Committee. However, the Board and the Compensation Committee value the views of our shareholders and will consider the outcome of this vote when making future executive compensation decisions.</w:t>
      </w:r>
    </w:p>
    <w:p>
      <w:pPr>
        <w:pStyle w:val="TextBody"/>
        <w:bidi w:val="0"/>
        <w:spacing w:before="0" w:after="0"/>
        <w:jc w:val="left"/>
        <w:rPr/>
      </w:pPr>
      <w:r>
        <w:rPr/>
      </w:r>
    </w:p>
    <w:tbl>
      <w:tblPr>
        <w:tblW w:w="1799" w:type="dxa"/>
        <w:jc w:val="left"/>
        <w:tblInd w:w="0" w:type="dxa"/>
        <w:tblLayout w:type="fixed"/>
        <w:tblCellMar>
          <w:top w:w="28" w:type="dxa"/>
          <w:left w:w="28" w:type="dxa"/>
          <w:bottom w:w="28" w:type="dxa"/>
          <w:right w:w="28" w:type="dxa"/>
        </w:tblCellMar>
      </w:tblPr>
      <w:tblGrid>
        <w:gridCol w:w="575"/>
        <w:gridCol w:w="506"/>
        <w:gridCol w:w="718"/>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VOTE REQUIRED</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proposal requires the approval of the affirmative vote of the holders of a majority in voting power of the votes cast. Abstentions and broker non-votes will have no effect on the outcome of the vote on this proposal.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129" w:type="dxa"/>
        <w:jc w:val="left"/>
        <w:tblInd w:w="0" w:type="dxa"/>
        <w:tblLayout w:type="fixed"/>
        <w:tblCellMar>
          <w:top w:w="28" w:type="dxa"/>
          <w:left w:w="28" w:type="dxa"/>
          <w:bottom w:w="28" w:type="dxa"/>
          <w:right w:w="28" w:type="dxa"/>
        </w:tblCellMar>
      </w:tblPr>
      <w:tblGrid>
        <w:gridCol w:w="1641"/>
        <w:gridCol w:w="1442"/>
        <w:gridCol w:w="2046"/>
      </w:tblGrid>
      <w:tr>
        <w:trPr/>
        <w:tc>
          <w:tcPr>
            <w:tcW w:w="164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RECOMMENDATION OF THE BOARD OF DIRECTORS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8"/>
        <w:gridCol w:w="166"/>
        <w:gridCol w:w="167"/>
        <w:gridCol w:w="109"/>
        <w:gridCol w:w="109"/>
        <w:gridCol w:w="109"/>
        <w:gridCol w:w="2741"/>
        <w:gridCol w:w="2741"/>
        <w:gridCol w:w="3875"/>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3875"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7" w:type="dxa"/>
            <w:gridSpan w:val="3"/>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66700"/>
                  <wp:effectExtent l="0" t="0" r="0" b="0"/>
                  <wp:docPr id="1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 descr=""/>
                          <pic:cNvPicPr>
                            <a:picLocks noChangeAspect="1" noChangeArrowheads="1"/>
                          </pic:cNvPicPr>
                        </pic:nvPicPr>
                        <pic:blipFill>
                          <a:blip r:embed="rId4"/>
                          <a:stretch>
                            <a:fillRect/>
                          </a:stretch>
                        </pic:blipFill>
                        <pic:spPr bwMode="auto">
                          <a:xfrm>
                            <a:off x="0" y="0"/>
                            <a:ext cx="266700" cy="2667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9357"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color w:val="000000"/>
                <w:sz w:val="20"/>
              </w:rPr>
            </w:pPr>
            <w:r>
              <w:rPr>
                <w:rFonts w:ascii="Times New Roman;serif" w:hAnsi="Times New Roman;serif"/>
                <w:b/>
                <w:color w:val="000000"/>
                <w:sz w:val="20"/>
              </w:rPr>
              <w:t>The Board of Directors recommends that shareholders vote "FOR" the resolution approving, on an advisory basis, the compensation of the Company's named executive officers.</w:t>
            </w:r>
          </w:p>
        </w:tc>
      </w:tr>
    </w:tbl>
    <w:p>
      <w:pPr>
        <w:pStyle w:val="TextBody"/>
        <w:bidi w:val="0"/>
        <w:spacing w:before="0" w:after="0"/>
        <w:jc w:val="left"/>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269"/>
        <w:gridCol w:w="2871"/>
        <w:gridCol w:w="4065"/>
      </w:tblGrid>
      <w:tr>
        <w:trPr/>
        <w:tc>
          <w:tcPr>
            <w:tcW w:w="3269"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PROPOSAL 3: Advisory Vote on the Frequency of Future "Say-on-Pay" Votes on Named Executive Officer Compensation ("Say-on-Frequency Proposal")</w:t>
            </w:r>
          </w:p>
        </w:tc>
      </w:tr>
    </w:tbl>
    <w:p>
      <w:pPr>
        <w:pStyle w:val="TextBody"/>
        <w:bidi w:val="0"/>
        <w:spacing w:lineRule="auto" w:line="240"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accordance with Section 14A of the Exchange Act, we are asking shareholders to indicate, on an advisory basis, how frequently MarketWise, Inc. should conduct future advisory votes on the compensation of our named executive officers. Shareholders may vote to have the Say-on-Pay vote occur every one year, two years, or three years. Alternatively, shareholders may abstain from voting on this proposal.</w:t>
      </w:r>
    </w:p>
    <w:p>
      <w:pPr>
        <w:pStyle w:val="TextBody"/>
        <w:bidi w:val="0"/>
        <w:spacing w:lineRule="auto" w:line="240" w:before="200" w:after="283"/>
        <w:jc w:val="left"/>
        <w:rPr>
          <w:rFonts w:ascii="Times New Roman;serif" w:hAnsi="Times New Roman;serif"/>
          <w:b/>
          <w:color w:val="000000"/>
          <w:sz w:val="20"/>
        </w:rPr>
      </w:pPr>
      <w:r>
        <w:rPr>
          <w:rFonts w:ascii="Times New Roman;serif" w:hAnsi="Times New Roman;serif"/>
          <w:b/>
          <w:color w:val="000000"/>
          <w:sz w:val="20"/>
        </w:rPr>
        <w:t>Board Recommendation on Frequency</w:t>
      </w:r>
    </w:p>
    <w:p>
      <w:pPr>
        <w:pStyle w:val="TextBody"/>
        <w:bidi w:val="0"/>
        <w:spacing w:lineRule="auto" w:line="240"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After careful consideration, the Board of Directors has determined that holding an a Say-on-Pay vote every three years is the most appropriate approach for the Company at this time.</w:t>
      </w:r>
    </w:p>
    <w:p>
      <w:pPr>
        <w:pStyle w:val="TextBody"/>
        <w:bidi w:val="0"/>
        <w:spacing w:lineRule="auto" w:line="240"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Board believes that a triennial vote:</w:t>
      </w:r>
    </w:p>
    <w:p>
      <w:pPr>
        <w:pStyle w:val="TextBody"/>
        <w:bidi w:val="0"/>
        <w:spacing w:before="0" w:after="2"/>
        <w:jc w:val="left"/>
        <w:rPr/>
      </w:pPr>
      <w:r>
        <w:rPr/>
      </w:r>
    </w:p>
    <w:p>
      <w:pPr>
        <w:pStyle w:val="TextBody"/>
        <w:bidi w:val="0"/>
        <w:spacing w:lineRule="auto" w:line="300" w:before="0" w:after="2"/>
        <w:ind w:left="0" w:right="0" w:hanging="360"/>
        <w:jc w:val="left"/>
        <w:rPr/>
      </w:pPr>
      <w:r>
        <w:rPr>
          <w:color w:val="000000"/>
          <w:shd w:fill="FFFFFF" w:val="clear"/>
        </w:rPr>
        <w:t>•</w:t>
      </w:r>
      <w:r>
        <w:rPr>
          <w:rFonts w:ascii="Times New Roman;serif" w:hAnsi="Times New Roman;serif"/>
          <w:b w:val="false"/>
          <w:color w:val="000000"/>
          <w:sz w:val="20"/>
          <w:shd w:fill="FFFFFF" w:val="clear"/>
        </w:rPr>
        <w:t>allows shareholders sufficient time to evaluate the effectiveness of the Company’s executive compensation program and the outcomes of compensation decisions;</w:t>
      </w:r>
    </w:p>
    <w:p>
      <w:pPr>
        <w:pStyle w:val="TextBody"/>
        <w:bidi w:val="0"/>
        <w:spacing w:before="0" w:after="2"/>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8"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00" w:before="0" w:after="2"/>
        <w:ind w:left="0" w:right="0" w:hanging="360"/>
        <w:jc w:val="left"/>
        <w:rPr/>
      </w:pPr>
      <w:r>
        <w:rPr>
          <w:color w:val="000000"/>
          <w:shd w:fill="FFFFFF" w:val="clear"/>
        </w:rPr>
        <w:t>•</w:t>
      </w:r>
      <w:r>
        <w:rPr>
          <w:rFonts w:ascii="Times New Roman;serif" w:hAnsi="Times New Roman;serif"/>
          <w:b w:val="false"/>
          <w:color w:val="000000"/>
          <w:sz w:val="20"/>
          <w:shd w:fill="FFFFFF" w:val="clear"/>
        </w:rPr>
        <w:t>provides the Compensation Committee with the ability to design and implement compensation programs with a longer-term perspective; and</w:t>
      </w:r>
    </w:p>
    <w:p>
      <w:pPr>
        <w:pStyle w:val="TextBody"/>
        <w:bidi w:val="0"/>
        <w:spacing w:lineRule="auto" w:line="300" w:before="0" w:after="2"/>
        <w:ind w:left="0" w:right="0" w:hanging="360"/>
        <w:jc w:val="left"/>
        <w:rPr/>
      </w:pPr>
      <w:r>
        <w:rPr>
          <w:color w:val="000000"/>
          <w:shd w:fill="FFFFFF" w:val="clear"/>
        </w:rPr>
        <w:t>•</w:t>
      </w:r>
      <w:r>
        <w:rPr>
          <w:rFonts w:ascii="Times New Roman;serif" w:hAnsi="Times New Roman;serif"/>
          <w:b w:val="false"/>
          <w:color w:val="000000"/>
          <w:sz w:val="20"/>
          <w:shd w:fill="FFFFFF" w:val="clear"/>
        </w:rPr>
        <w:t>avoids an undue focus on short-term results in evaluating executive compensation.</w:t>
      </w:r>
    </w:p>
    <w:p>
      <w:pPr>
        <w:pStyle w:val="TextBody"/>
        <w:bidi w:val="0"/>
        <w:spacing w:lineRule="auto" w:line="240" w:before="200" w:after="283"/>
        <w:jc w:val="left"/>
        <w:rPr>
          <w:rFonts w:ascii="Times New Roman;serif" w:hAnsi="Times New Roman;serif"/>
          <w:b/>
          <w:color w:val="000000"/>
          <w:sz w:val="20"/>
        </w:rPr>
      </w:pPr>
      <w:r>
        <w:rPr>
          <w:rFonts w:ascii="Times New Roman;serif" w:hAnsi="Times New Roman;serif"/>
          <w:b/>
          <w:color w:val="000000"/>
          <w:sz w:val="20"/>
        </w:rPr>
        <w:t>Vote Requested</w:t>
      </w:r>
    </w:p>
    <w:p>
      <w:pPr>
        <w:pStyle w:val="TextBody"/>
        <w:bidi w:val="0"/>
        <w:spacing w:lineRule="auto" w:line="240"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Shareholders are requested to vote on the following:</w:t>
      </w:r>
    </w:p>
    <w:p>
      <w:pPr>
        <w:pStyle w:val="TextBody"/>
        <w:bidi w:val="0"/>
        <w:spacing w:lineRule="auto" w:line="240" w:before="200" w:after="283"/>
        <w:jc w:val="both"/>
        <w:rPr>
          <w:color w:val="000000"/>
          <w:shd w:fill="FFFFFF" w:val="clear"/>
        </w:rPr>
      </w:pPr>
      <w:r>
        <w:rPr>
          <w:color w:val="000000"/>
          <w:shd w:fill="FFFFFF" w:val="clear"/>
        </w:rPr>
        <w:t>“</w:t>
      </w:r>
      <w:r>
        <w:rPr>
          <w:rFonts w:ascii="Times New Roman;serif" w:hAnsi="Times New Roman;serif"/>
          <w:b w:val="false"/>
          <w:color w:val="000000"/>
          <w:sz w:val="20"/>
          <w:shd w:fill="FFFFFF" w:val="clear"/>
        </w:rPr>
        <w:t>RESOLVED, that the shareholders of MarketWise, Inc. determine, on an advisory basis, whether the say-on-pay advisory vote to approve the compensation of the Company’s named executive officers should occur every one year, two years, or three years.”</w:t>
      </w:r>
    </w:p>
    <w:p>
      <w:pPr>
        <w:pStyle w:val="TextBody"/>
        <w:bidi w:val="0"/>
        <w:spacing w:lineRule="auto" w:line="240" w:before="200" w:after="283"/>
        <w:jc w:val="left"/>
        <w:rPr>
          <w:rFonts w:ascii="Times New Roman;serif" w:hAnsi="Times New Roman;serif"/>
          <w:b/>
          <w:color w:val="000000"/>
          <w:sz w:val="20"/>
        </w:rPr>
      </w:pPr>
      <w:r>
        <w:rPr>
          <w:rFonts w:ascii="Times New Roman;serif" w:hAnsi="Times New Roman;serif"/>
          <w:b/>
          <w:color w:val="000000"/>
          <w:sz w:val="20"/>
        </w:rPr>
        <w:t>Advisory Nature of Vote</w:t>
      </w:r>
    </w:p>
    <w:p>
      <w:pPr>
        <w:pStyle w:val="TextBody"/>
        <w:bidi w:val="0"/>
        <w:spacing w:lineRule="auto" w:line="240"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vote is advisory and not binding on the Company or the Board of Directors. However, the Board will carefully consider the outcome of the vote when determining the frequency of future Say-on-Pay votes.</w:t>
      </w:r>
    </w:p>
    <w:p>
      <w:pPr>
        <w:pStyle w:val="TextBody"/>
        <w:bidi w:val="0"/>
        <w:spacing w:lineRule="auto" w:line="240" w:before="200" w:after="283"/>
        <w:jc w:val="left"/>
        <w:rPr>
          <w:rFonts w:ascii="Times New Roman;serif" w:hAnsi="Times New Roman;serif"/>
          <w:b/>
          <w:color w:val="000000"/>
          <w:sz w:val="20"/>
        </w:rPr>
      </w:pPr>
      <w:r>
        <w:rPr>
          <w:rFonts w:ascii="Times New Roman;serif" w:hAnsi="Times New Roman;serif"/>
          <w:b/>
          <w:color w:val="000000"/>
          <w:sz w:val="20"/>
        </w:rPr>
        <w:t>Voting Standard</w:t>
      </w:r>
    </w:p>
    <w:p>
      <w:pPr>
        <w:pStyle w:val="TextBody"/>
        <w:bidi w:val="0"/>
        <w:spacing w:lineRule="auto" w:line="240"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option (one year, two years, or three years) receiving the highest number of votes from shareholders will be considered the shareholders’ preferred frequency.</w:t>
      </w:r>
    </w:p>
    <w:p>
      <w:pPr>
        <w:pStyle w:val="TextBody"/>
        <w:bidi w:val="0"/>
        <w:spacing w:before="0" w:after="0"/>
        <w:jc w:val="left"/>
        <w:rPr/>
      </w:pPr>
      <w:r>
        <w:rPr/>
      </w:r>
    </w:p>
    <w:tbl>
      <w:tblPr>
        <w:tblW w:w="1799" w:type="dxa"/>
        <w:jc w:val="left"/>
        <w:tblInd w:w="0" w:type="dxa"/>
        <w:tblLayout w:type="fixed"/>
        <w:tblCellMar>
          <w:top w:w="28" w:type="dxa"/>
          <w:left w:w="28" w:type="dxa"/>
          <w:bottom w:w="28" w:type="dxa"/>
          <w:right w:w="28" w:type="dxa"/>
        </w:tblCellMar>
      </w:tblPr>
      <w:tblGrid>
        <w:gridCol w:w="575"/>
        <w:gridCol w:w="506"/>
        <w:gridCol w:w="718"/>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VOTE REQUIRED</w:t>
            </w:r>
          </w:p>
        </w:tc>
      </w:tr>
    </w:tbl>
    <w:p>
      <w:pPr>
        <w:pStyle w:val="TextBody"/>
        <w:bidi w:val="0"/>
        <w:spacing w:lineRule="auto" w:line="240" w:before="200" w:after="283"/>
        <w:jc w:val="left"/>
        <w:rPr/>
      </w:pPr>
      <w:r>
        <w:rPr>
          <w:rFonts w:ascii="Times New Roman;serif" w:hAnsi="Times New Roman;serif"/>
          <w:b w:val="false"/>
          <w:color w:val="000000"/>
          <w:sz w:val="20"/>
          <w:shd w:fill="FFFFFF" w:val="clear"/>
        </w:rPr>
        <w:t>The option (one year, two years, or three years) receiving the highest number of votes from shareholders will be considered the shareholders’ preferred frequency.</w:t>
      </w:r>
      <w:r>
        <w:rPr>
          <w:color w:val="000000"/>
        </w:rPr>
        <w:t xml:space="preserve"> </w:t>
      </w:r>
      <w:r>
        <w:rPr>
          <w:rFonts w:ascii="Times New Roman;serif" w:hAnsi="Times New Roman;serif"/>
          <w:b w:val="false"/>
          <w:color w:val="000000"/>
          <w:sz w:val="20"/>
        </w:rPr>
        <w:t>Abstentions and broker non-votes will have no effect on the outcome of the vote on this proposal.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129" w:type="dxa"/>
        <w:jc w:val="left"/>
        <w:tblInd w:w="0" w:type="dxa"/>
        <w:tblLayout w:type="fixed"/>
        <w:tblCellMar>
          <w:top w:w="28" w:type="dxa"/>
          <w:left w:w="28" w:type="dxa"/>
          <w:bottom w:w="28" w:type="dxa"/>
          <w:right w:w="28" w:type="dxa"/>
        </w:tblCellMar>
      </w:tblPr>
      <w:tblGrid>
        <w:gridCol w:w="1641"/>
        <w:gridCol w:w="1442"/>
        <w:gridCol w:w="2046"/>
      </w:tblGrid>
      <w:tr>
        <w:trPr/>
        <w:tc>
          <w:tcPr>
            <w:tcW w:w="164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RECOMMENDATION OF THE BOARD OF DIRECTORS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8"/>
        <w:gridCol w:w="166"/>
        <w:gridCol w:w="167"/>
        <w:gridCol w:w="109"/>
        <w:gridCol w:w="109"/>
        <w:gridCol w:w="109"/>
        <w:gridCol w:w="2740"/>
        <w:gridCol w:w="2740"/>
        <w:gridCol w:w="3877"/>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77"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7" w:type="dxa"/>
            <w:gridSpan w:val="3"/>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66700"/>
                  <wp:effectExtent l="0" t="0" r="0" b="0"/>
                  <wp:docPr id="1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 descr=""/>
                          <pic:cNvPicPr>
                            <a:picLocks noChangeAspect="1" noChangeArrowheads="1"/>
                          </pic:cNvPicPr>
                        </pic:nvPicPr>
                        <pic:blipFill>
                          <a:blip r:embed="rId5"/>
                          <a:stretch>
                            <a:fillRect/>
                          </a:stretch>
                        </pic:blipFill>
                        <pic:spPr bwMode="auto">
                          <a:xfrm>
                            <a:off x="0" y="0"/>
                            <a:ext cx="266700" cy="2667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9357"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color w:val="000000"/>
                <w:sz w:val="20"/>
              </w:rPr>
            </w:pPr>
            <w:r>
              <w:rPr>
                <w:rFonts w:ascii="Times New Roman;serif" w:hAnsi="Times New Roman;serif"/>
                <w:b/>
                <w:color w:val="000000"/>
                <w:sz w:val="20"/>
              </w:rPr>
              <w:t>The Board of Directors unanimously recommends a vote FOR "three years" as the frequency with which the Company will conduct future say-on-pay votes.</w:t>
            </w:r>
          </w:p>
        </w:tc>
      </w:tr>
    </w:tbl>
    <w:p>
      <w:pPr>
        <w:pStyle w:val="TextBody"/>
        <w:bidi w:val="0"/>
        <w:spacing w:before="0" w:after="0"/>
        <w:jc w:val="left"/>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269"/>
        <w:gridCol w:w="2873"/>
        <w:gridCol w:w="4063"/>
      </w:tblGrid>
      <w:tr>
        <w:trPr/>
        <w:tc>
          <w:tcPr>
            <w:tcW w:w="3269"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36"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PROPOSAL 3: Ratification of Appointment of Independent Registered Public Accounting Firm ("Auditor Ratification Proposal")</w:t>
            </w:r>
          </w:p>
        </w:tc>
      </w:tr>
    </w:tbl>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Our Audit Committee has appointed Grant Thornton LLP (“Grant Thornton”) as our independent registered public accounting firm for the fiscal year ending December 31, 2026. Our Board has directed that this appointment be submitted to our stockholders for ratification at the Annual Meeting. Although ratification of our appointment of Grant Thornton is not required, we value the opinions of our stockholders and believe that stockholder ratification of our appointment is a good corporate governance practice.</w:t>
      </w:r>
    </w:p>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Grant Thornton also served as our independent registered public accounting firm for the fiscal year ended December 31, 2025. Neither Grant Thornton nor any of its members has any direct or indirect financial interest in or any connection with us in any capacity other than as our auditors, providing audit and non-audit related services. A representative of Grant Thornton is expected to attend the Annual Meeting, have an opportunity to make a statement if he or she desires to do so, and be available to respond to appropriate questions from stockholders.</w:t>
      </w:r>
    </w:p>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In the event that the appointment of Grant Thornton is not ratified by the stockholders, the Audit Committee will consider this fact when it appoints the independent auditors for the fiscal year ending December 31, 2027. Even if the appointment of Grant Thornton is ratified, the Audit Committee retains the discretion to appoint a different independent auditor at any time if it determines that such a change is in the interests of MarketWise.</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Change in Accountants</w:t>
      </w:r>
    </w:p>
    <w:p>
      <w:pPr>
        <w:pStyle w:val="TextBody"/>
        <w:bidi w:val="0"/>
        <w:spacing w:before="0" w:after="2"/>
        <w:jc w:val="left"/>
        <w:rPr/>
      </w:pPr>
      <w:r>
        <w:rPr/>
      </w:r>
    </w:p>
    <w:p>
      <w:pPr>
        <w:pStyle w:val="TextBody"/>
        <w:bidi w:val="0"/>
        <w:spacing w:lineRule="auto" w:line="240"/>
        <w:jc w:val="left"/>
        <w:rPr>
          <w:rFonts w:ascii="Times New Roman;serif" w:hAnsi="Times New Roman;serif"/>
          <w:b w:val="false"/>
          <w:color w:val="000000"/>
          <w:sz w:val="20"/>
        </w:rPr>
      </w:pPr>
      <w:r>
        <w:rPr>
          <w:rFonts w:ascii="Times New Roman;serif" w:hAnsi="Times New Roman;serif"/>
          <w:b w:val="false"/>
          <w:color w:val="000000"/>
          <w:sz w:val="20"/>
        </w:rPr>
        <w:t xml:space="preserve">Deloitte &amp; Touche LLP ("Deloitte &amp; Touche") audited our consolidated financial statements from 2020 to 2024. On March 14, 2025, pursuant to the Audit Committee’s determination, the Company dismissed Deloitte &amp; Touche as the Company’s independent registered public accounting firm. The reports of Deloitte &amp; Touche on the Company's consolidated financial statements for the fiscal years ended December 31, 2024, and December 31, 2023, did not contain an adverse opinion or a disclaimer of opinion, and were not qualified or modified as to uncertainty, audit scope, or accounting principles. During the fiscal years ended December 31, 2024 and December 31, 2023 and through March 14, 2025 there were no disagreements with Deloitte &amp; Touche on any matter of accounting principles or practices, financial statement disclosure, or auditing scope or procedure, which disagreements, if not resolved to the satisfaction of Deloitte &amp; Touche, would have caused them to make reference thereto in their reports on the consolidated financial statements for such years. During the fiscal years ended December 31, 2024, and 2023, and through March 14, 2025, there were (i) no disagreements (as described in Item 304(a)(1)(iv) of Regulation S-K and the related instructions) between the Company and Deloitte &amp; Touche on any matter of accounting principles or practices, financial statement disclosure, or auditing scope or procedure, which, if not resolved to Deloitte &amp; Touche’s satisfaction, would have caused Deloitte &amp; Touche to make reference thereto in their reports on the financial statements for such years, and (ii) no “reportable events” within the meaning of Item 304(a)(1)(v) of Regulation S-K except that the Company and Deloitte &amp; Touche determined that material weaknesses existed in our internal control over financial reporting as of December 31, 2022 related to: (i) a lack of contemporaneous </w:t>
      </w:r>
    </w:p>
    <w:p>
      <w:pPr>
        <w:pStyle w:val="TextBody"/>
        <w:bidi w:val="0"/>
        <w:spacing w:before="0" w:after="2"/>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0"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documentation and account reconciliation, and (ii) the lack of a formal or documented risk assessment process, which were remediated by the Company as of December 31, 2023.</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filing of the Company’s Current Report on Form 8-K dated March 14, 2025 (the “Form 8-K”), the Company provided Deloitte &amp; Touche with a copy of the above disclosures, and requested that Deloitte &amp; Touche furnish a letter addressed to the SEC stating whether or not Deloitte &amp; Touche agrees with the statements in the immediately preceding paragraph. The Company subsequently received the requested letter, and a copy of Deloitte &amp; Touche’s letter, dated March 14, 2025, was filed as Exhibit 16.1 to the Form 8-K.</w:t>
      </w:r>
    </w:p>
    <w:p>
      <w:pPr>
        <w:pStyle w:val="TextBody"/>
        <w:bidi w:val="0"/>
        <w:spacing w:before="0" w:after="2"/>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 of March 14, 2025, pursuant to the Audit Committee’s determination, the Company engaged Grant Thornton to serve as its independent registered public accounting firm for fiscal year 2025. During the fiscal years ended December 31, 2024 and 2023 and the subsequent interim periods through March 11, 2025, neither the Company nor anyone on its behalf has consulted with Grant Thornton regarding: (i) the application of accounting principles to a specific transaction, either completed or proposed, or the type of audit opinion that might be rendered on the Company’s financial statements, and neither a written report nor oral advice was provided to the Company that Grant Thornton concluded was an important factor considered by the Company in reaching a decision as to any accounting, auditing, or financial reporting issue; (ii) any matter that was the subject of a disagreement within the meaning of Item 304(a)(1)(iv) of Regulation S-K and the related instructions; or (iii) any reportable event within the meaning of Item 304(a)(1)(v) of Regulation S-K. The change in independent registered public accounting firm did not result from any dissatisfaction with the quality of professional services rendered by Deloitte &amp; Touche.</w:t>
      </w:r>
    </w:p>
    <w:p>
      <w:pPr>
        <w:pStyle w:val="TextBody"/>
        <w:bidi w:val="0"/>
        <w:spacing w:before="0" w:after="2"/>
        <w:jc w:val="left"/>
        <w:rPr/>
      </w:pPr>
      <w:r>
        <w:rPr/>
      </w:r>
    </w:p>
    <w:tbl>
      <w:tblPr>
        <w:tblW w:w="1799" w:type="dxa"/>
        <w:jc w:val="left"/>
        <w:tblInd w:w="0" w:type="dxa"/>
        <w:tblLayout w:type="fixed"/>
        <w:tblCellMar>
          <w:top w:w="28" w:type="dxa"/>
          <w:left w:w="28" w:type="dxa"/>
          <w:bottom w:w="28" w:type="dxa"/>
          <w:right w:w="28" w:type="dxa"/>
        </w:tblCellMar>
      </w:tblPr>
      <w:tblGrid>
        <w:gridCol w:w="575"/>
        <w:gridCol w:w="506"/>
        <w:gridCol w:w="718"/>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VOTE REQUIRED</w:t>
            </w:r>
          </w:p>
        </w:tc>
      </w:tr>
    </w:tbl>
    <w:p>
      <w:pPr>
        <w:pStyle w:val="TextBody"/>
        <w:bidi w:val="0"/>
        <w:spacing w:before="0" w:after="2"/>
        <w:jc w:val="left"/>
        <w:rPr/>
      </w:pPr>
      <w:r>
        <w:rPr/>
      </w:r>
    </w:p>
    <w:p>
      <w:pPr>
        <w:pStyle w:val="TextBody"/>
        <w:bidi w:val="0"/>
        <w:spacing w:lineRule="auto" w:line="240" w:before="0" w:after="2"/>
        <w:jc w:val="left"/>
        <w:rPr>
          <w:rFonts w:ascii="Times New Roman;serif" w:hAnsi="Times New Roman;serif"/>
          <w:b w:val="false"/>
          <w:color w:val="000000"/>
          <w:sz w:val="20"/>
        </w:rPr>
      </w:pPr>
      <w:r>
        <w:rPr>
          <w:rFonts w:ascii="Times New Roman;serif" w:hAnsi="Times New Roman;serif"/>
          <w:b w:val="false"/>
          <w:color w:val="000000"/>
          <w:sz w:val="20"/>
        </w:rPr>
        <w:t>This proposal requires the approval of the affirmative vote of the holders of a majority in voting power of the votes cast. Abstentions will have no effect on the proposal. Because brokers have discretionary authority to vote on the ratification of the appointment of Grant Thornton, we do not expect any broker non-votes in connection with this proposal.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129" w:type="dxa"/>
        <w:jc w:val="left"/>
        <w:tblInd w:w="0" w:type="dxa"/>
        <w:tblLayout w:type="fixed"/>
        <w:tblCellMar>
          <w:top w:w="28" w:type="dxa"/>
          <w:left w:w="28" w:type="dxa"/>
          <w:bottom w:w="28" w:type="dxa"/>
          <w:right w:w="28" w:type="dxa"/>
        </w:tblCellMar>
      </w:tblPr>
      <w:tblGrid>
        <w:gridCol w:w="1641"/>
        <w:gridCol w:w="1442"/>
        <w:gridCol w:w="2046"/>
      </w:tblGrid>
      <w:tr>
        <w:trPr/>
        <w:tc>
          <w:tcPr>
            <w:tcW w:w="164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RECOMMENDATION OF THE BOARD OF DIRECTORS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8"/>
        <w:gridCol w:w="166"/>
        <w:gridCol w:w="167"/>
        <w:gridCol w:w="109"/>
        <w:gridCol w:w="109"/>
        <w:gridCol w:w="109"/>
        <w:gridCol w:w="2739"/>
        <w:gridCol w:w="2739"/>
        <w:gridCol w:w="3879"/>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3879"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66700"/>
                  <wp:effectExtent l="0" t="0" r="0" b="0"/>
                  <wp:docPr id="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 descr=""/>
                          <pic:cNvPicPr>
                            <a:picLocks noChangeAspect="1" noChangeArrowheads="1"/>
                          </pic:cNvPicPr>
                        </pic:nvPicPr>
                        <pic:blipFill>
                          <a:blip r:embed="rId6"/>
                          <a:stretch>
                            <a:fillRect/>
                          </a:stretch>
                        </pic:blipFill>
                        <pic:spPr bwMode="auto">
                          <a:xfrm>
                            <a:off x="0" y="0"/>
                            <a:ext cx="266700" cy="2667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935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Board of Directors unanimously recommends a vote FOR the ratification of the appointment of Grant Thornton LLP as our independent registered public accounting firm.</w:t>
            </w:r>
          </w:p>
        </w:tc>
      </w:tr>
    </w:tbl>
    <w:p>
      <w:pPr>
        <w:pStyle w:val="TextBody"/>
        <w:bidi w:val="0"/>
        <w:spacing w:before="225"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270" w:type="dxa"/>
        <w:jc w:val="left"/>
        <w:tblInd w:w="0" w:type="dxa"/>
        <w:tblLayout w:type="fixed"/>
        <w:tblCellMar>
          <w:top w:w="28" w:type="dxa"/>
          <w:left w:w="28" w:type="dxa"/>
          <w:bottom w:w="28" w:type="dxa"/>
          <w:right w:w="28" w:type="dxa"/>
        </w:tblCellMar>
      </w:tblPr>
      <w:tblGrid>
        <w:gridCol w:w="2005"/>
        <w:gridCol w:w="1763"/>
        <w:gridCol w:w="2502"/>
      </w:tblGrid>
      <w:tr>
        <w:trPr/>
        <w:tc>
          <w:tcPr>
            <w:tcW w:w="2005"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op w:val="single" w:sz="36"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REVIEW BY AUDIT COMMITTEE OF THE BOARD OF DIRECTORS</w:t>
            </w:r>
          </w:p>
        </w:tc>
      </w:tr>
    </w:tbl>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Audit Committee has reviewed the audited consolidated financial statements of MarketWise, Inc., a Delaware corporation (the “Company”) for the fiscal year ended December 31, 2025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the applicable requirements of the Public Company Accounting Oversight Board (“PCAOB”) and the Securities and Exchange Commission. </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 </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10-K for the fiscal year ended December 31, 2025. </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Glenn Tongue (Chair)</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Van Simmons</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Matt Turner</w:t>
      </w:r>
    </w:p>
    <w:p>
      <w:pPr>
        <w:pStyle w:val="TextBody"/>
        <w:bidi w:val="0"/>
        <w:spacing w:before="0" w:after="2"/>
        <w:jc w:val="left"/>
        <w:rPr/>
      </w:pPr>
      <w:r>
        <w:rPr/>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339" w:type="dxa"/>
        <w:jc w:val="left"/>
        <w:tblInd w:w="0" w:type="dxa"/>
        <w:tblLayout w:type="fixed"/>
        <w:tblCellMar>
          <w:top w:w="28" w:type="dxa"/>
          <w:left w:w="28" w:type="dxa"/>
          <w:bottom w:w="28" w:type="dxa"/>
          <w:right w:w="28" w:type="dxa"/>
        </w:tblCellMar>
      </w:tblPr>
      <w:tblGrid>
        <w:gridCol w:w="2667"/>
        <w:gridCol w:w="2344"/>
        <w:gridCol w:w="3328"/>
      </w:tblGrid>
      <w:tr>
        <w:trPr/>
        <w:tc>
          <w:tcPr>
            <w:tcW w:w="2667"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8339" w:type="dxa"/>
            <w:gridSpan w:val="3"/>
            <w:tcBorders>
              <w:top w:val="single" w:sz="36"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INDEPENDENT REGISTERED PUBLIC ACCOUNTING FIRM FEES AND OTHER MATTERS</w:t>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Independent Registered Public Accounting Firm</w:t>
      </w:r>
    </w:p>
    <w:p>
      <w:pPr>
        <w:pStyle w:val="TextBody"/>
        <w:bidi w:val="0"/>
        <w:spacing w:before="0" w:after="0"/>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fees paid or to be paid to the firms of Grant Thornton LLP for services rendered:</w:t>
      </w:r>
    </w:p>
    <w:p>
      <w:pPr>
        <w:pStyle w:val="TextBody"/>
        <w:bidi w:val="0"/>
        <w:spacing w:before="0" w:after="283"/>
        <w:jc w:val="left"/>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2"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4057" w:type="dxa"/>
        <w:jc w:val="left"/>
        <w:tblInd w:w="0" w:type="dxa"/>
        <w:tblLayout w:type="fixed"/>
        <w:tblCellMar>
          <w:top w:w="28" w:type="dxa"/>
          <w:left w:w="28" w:type="dxa"/>
          <w:bottom w:w="28" w:type="dxa"/>
          <w:right w:w="28" w:type="dxa"/>
        </w:tblCellMar>
      </w:tblPr>
      <w:tblGrid>
        <w:gridCol w:w="607"/>
        <w:gridCol w:w="534"/>
        <w:gridCol w:w="538"/>
        <w:gridCol w:w="566"/>
        <w:gridCol w:w="1253"/>
        <w:gridCol w:w="296"/>
        <w:gridCol w:w="109"/>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(in thousands)</w:t>
            </w:r>
          </w:p>
        </w:tc>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 Fees</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Audit-Related Fees</w:t>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Fees</w:t>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Fees</w:t>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fees paid or to be paid to the firms of Deloitte &amp; Touche LLP for services rendered:</w:t>
      </w:r>
    </w:p>
    <w:p>
      <w:pPr>
        <w:pStyle w:val="TextBody"/>
        <w:bidi w:val="0"/>
        <w:spacing w:before="0" w:after="2"/>
        <w:jc w:val="left"/>
        <w:rPr/>
      </w:pPr>
      <w:r>
        <w:rPr/>
      </w:r>
    </w:p>
    <w:tbl>
      <w:tblPr>
        <w:tblW w:w="3923" w:type="dxa"/>
        <w:jc w:val="left"/>
        <w:tblInd w:w="0" w:type="dxa"/>
        <w:tblLayout w:type="fixed"/>
        <w:tblCellMar>
          <w:top w:w="28" w:type="dxa"/>
          <w:left w:w="28" w:type="dxa"/>
          <w:bottom w:w="28" w:type="dxa"/>
          <w:right w:w="28" w:type="dxa"/>
        </w:tblCellMar>
      </w:tblPr>
      <w:tblGrid>
        <w:gridCol w:w="607"/>
        <w:gridCol w:w="534"/>
        <w:gridCol w:w="538"/>
        <w:gridCol w:w="211"/>
        <w:gridCol w:w="616"/>
        <w:gridCol w:w="109"/>
        <w:gridCol w:w="109"/>
        <w:gridCol w:w="109"/>
        <w:gridCol w:w="109"/>
        <w:gridCol w:w="211"/>
        <w:gridCol w:w="616"/>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Audit-Related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2"/>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Audit Fees consist of fees associated with our annual audit and the review of our quarterly reports on Form 10-Q in 2025 and 2024.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Fees consist of fees related to tax compliance, tax advice and planning.</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 Other Fees consist of fees related to our subscription to Deloitte’s accounting research tool.</w:t>
      </w:r>
    </w:p>
    <w:p>
      <w:pPr>
        <w:pStyle w:val="TextBody"/>
        <w:bidi w:val="0"/>
        <w:spacing w:before="0" w:after="0"/>
        <w:jc w:val="left"/>
        <w:rPr/>
      </w:pPr>
      <w:r>
        <w:rPr/>
      </w:r>
    </w:p>
    <w:tbl>
      <w:tblPr>
        <w:tblW w:w="6255" w:type="dxa"/>
        <w:jc w:val="left"/>
        <w:tblInd w:w="0" w:type="dxa"/>
        <w:tblLayout w:type="fixed"/>
        <w:tblCellMar>
          <w:top w:w="28" w:type="dxa"/>
          <w:left w:w="28" w:type="dxa"/>
          <w:bottom w:w="28" w:type="dxa"/>
          <w:right w:w="28" w:type="dxa"/>
        </w:tblCellMar>
      </w:tblPr>
      <w:tblGrid>
        <w:gridCol w:w="2002"/>
        <w:gridCol w:w="1760"/>
        <w:gridCol w:w="2493"/>
      </w:tblGrid>
      <w:tr>
        <w:trPr/>
        <w:tc>
          <w:tcPr>
            <w:tcW w:w="2002"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2493"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AUDIT COMMITTEE PRE-APPROVAL POLICY AND PROCEDURES</w:t>
            </w:r>
          </w:p>
        </w:tc>
      </w:tr>
    </w:tbl>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Audit Committee’s charter provides that the Audit Committee, or the chair of the Audit Committee, must pre-approve any audit or non-audit services provided to us by our independent registered public accounting firm, unless the engagement is entered into pursuant to appropriate pre-approval policies established by the Audit Committee or if the services fall within available exceptions under SEC rules. Without limiting the foregoing, the Audit Committee may delegate authority to one or more independent members of the Audit Committee to grant pre-approvals of audit and permitted non-audit services, and any such pre-approvals must be presented to the full Audit Committee at its next scheduled meeting. </w:t>
      </w:r>
    </w:p>
    <w:p>
      <w:pPr>
        <w:pStyle w:val="TextBody"/>
        <w:bidi w:val="0"/>
        <w:spacing w:before="225"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340" w:type="dxa"/>
        <w:jc w:val="left"/>
        <w:tblInd w:w="0" w:type="dxa"/>
        <w:tblLayout w:type="fixed"/>
        <w:tblCellMar>
          <w:top w:w="28" w:type="dxa"/>
          <w:left w:w="28" w:type="dxa"/>
          <w:bottom w:w="28" w:type="dxa"/>
          <w:right w:w="28" w:type="dxa"/>
        </w:tblCellMar>
      </w:tblPr>
      <w:tblGrid>
        <w:gridCol w:w="749"/>
        <w:gridCol w:w="659"/>
        <w:gridCol w:w="932"/>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op w:val="single" w:sz="36"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EXECUTIVE OFFICERS</w:t>
            </w:r>
          </w:p>
        </w:tc>
      </w:tr>
    </w:tbl>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identifies our current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964" w:type="dxa"/>
        <w:jc w:val="left"/>
        <w:tblInd w:w="0" w:type="dxa"/>
        <w:tblLayout w:type="fixed"/>
        <w:tblCellMar>
          <w:top w:w="28" w:type="dxa"/>
          <w:left w:w="28" w:type="dxa"/>
          <w:bottom w:w="28" w:type="dxa"/>
          <w:right w:w="28" w:type="dxa"/>
        </w:tblCellMar>
      </w:tblPr>
      <w:tblGrid>
        <w:gridCol w:w="510"/>
        <w:gridCol w:w="446"/>
        <w:gridCol w:w="453"/>
        <w:gridCol w:w="109"/>
        <w:gridCol w:w="109"/>
        <w:gridCol w:w="109"/>
        <w:gridCol w:w="135"/>
        <w:gridCol w:w="135"/>
        <w:gridCol w:w="136"/>
        <w:gridCol w:w="109"/>
        <w:gridCol w:w="109"/>
        <w:gridCol w:w="109"/>
        <w:gridCol w:w="1020"/>
        <w:gridCol w:w="1020"/>
        <w:gridCol w:w="1455"/>
      </w:tblGrid>
      <w:tr>
        <w:trPr/>
        <w:tc>
          <w:tcPr>
            <w:tcW w:w="51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Position</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David Eifrig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Erik Mickels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and Financial Officer</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Marco Galsim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Information Officer</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Forney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and Corporate Secretary</w:t>
            </w:r>
          </w:p>
        </w:tc>
      </w:tr>
    </w:tbl>
    <w:p>
      <w:pPr>
        <w:pStyle w:val="TextBody"/>
        <w:bidi w:val="0"/>
        <w:spacing w:before="0" w:after="283"/>
        <w:jc w:val="left"/>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3"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Executive Officers</w:t>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3585"/>
        <w:gridCol w:w="2737"/>
        <w:gridCol w:w="3883"/>
      </w:tblGrid>
      <w:tr>
        <w:trPr/>
        <w:tc>
          <w:tcPr>
            <w:tcW w:w="3585"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8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
              <w:jc w:val="left"/>
              <w:rPr/>
            </w:pPr>
            <w:r>
              <w:rPr>
                <w:rFonts w:ascii="Times New Roman;serif" w:hAnsi="Times New Roman;serif"/>
                <w:b/>
                <w:i/>
                <w:color w:val="000000"/>
                <w:sz w:val="20"/>
              </w:rPr>
              <w:t>Dr. David Eifrig</w:t>
            </w:r>
            <w:r>
              <w:rPr>
                <w:color w:val="000000"/>
              </w:rPr>
              <w:t xml:space="preserve"> </w:t>
            </w:r>
            <w:r>
              <w:rPr>
                <w:rFonts w:ascii="Times New Roman;serif" w:hAnsi="Times New Roman;serif"/>
                <w:b w:val="false"/>
                <w:color w:val="000000"/>
                <w:sz w:val="20"/>
              </w:rPr>
              <w:t xml:space="preserve">has served as Chief Executive Officer since May 2025 and as a member of our Board of Directors since May 2023. Dr. Eifrig also previously served as Interim Chief Executive Officer from August 2024 to May 2025. Dr. Eifrig joined MarketWise in 2008 and remains one of its most prolific editors. Dr. Eifrig previously spent a decade on Wall Street working for several major financial institutions, including Goldman Sachs, Chase Manhattan and Yamaichi. Dr. Eifrig received his B.A. in Psychology from Carleton College in Minnesota, and later received a M.B.A. from Northwestern University’s Kellogg School of Management, graduating with a double major in Finance and International Business. Dr. Eifrig subsequently earned his M.D. from the University of North Carolina at Chapel Hill.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
              <w:jc w:val="left"/>
              <w:rPr/>
            </w:pPr>
            <w:r>
              <w:rPr>
                <w:rFonts w:ascii="Times New Roman;serif" w:hAnsi="Times New Roman;serif"/>
                <w:b/>
                <w:i/>
                <w:color w:val="000000"/>
                <w:sz w:val="20"/>
              </w:rPr>
              <w:t>Erik Mickels</w:t>
            </w:r>
            <w:r>
              <w:rPr>
                <w:color w:val="000000"/>
              </w:rPr>
              <w:t xml:space="preserve"> </w:t>
            </w:r>
            <w:r>
              <w:rPr>
                <w:rFonts w:ascii="Times New Roman;serif" w:hAnsi="Times New Roman;serif"/>
                <w:b w:val="false"/>
                <w:color w:val="000000"/>
                <w:sz w:val="20"/>
              </w:rPr>
              <w:t>has served as our Chief Operating and Financial Officer since August 2025 and as our Chief Financial Officer since August 2023. Prior to his appointment, since 2016, Mr. Mickels served as Group Chief Financial Officer and Senior Vice President of Trilogy International Partners, Inc. (“Trilogy”), a wireless telecommunications company and member of the TSX Venture Exchange. Mr. Mickels previously served as Vice President of Finance and Chief Accounting Officer of Trilogy from 2015 to 2016, and as Vice President and Corporate Controller of Trilogy from 2014 to 2015. Prior to joining Trilogy, from 2000 to 2014, Mr. Mickels served in senior positions at KPMG LLP. Mr. Mickels holds a B.S in Accounting from Hillsdale College, is a graduate of the Advanced Management Program at Harvard Business School, and is a Certified Public Accountant.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
              <w:jc w:val="left"/>
              <w:rPr/>
            </w:pPr>
            <w:r>
              <w:rPr>
                <w:rFonts w:ascii="Times New Roman;serif" w:hAnsi="Times New Roman;serif"/>
                <w:b/>
                <w:i/>
                <w:color w:val="000000"/>
                <w:sz w:val="20"/>
              </w:rPr>
              <w:t>Marco Galsim</w:t>
            </w:r>
            <w:r>
              <w:rPr>
                <w:color w:val="000000"/>
              </w:rPr>
              <w:t xml:space="preserve"> </w:t>
            </w:r>
            <w:r>
              <w:rPr>
                <w:rFonts w:ascii="Times New Roman;serif" w:hAnsi="Times New Roman;serif"/>
                <w:b w:val="false"/>
                <w:color w:val="000000"/>
                <w:sz w:val="20"/>
              </w:rPr>
              <w:t>has served as our Chief Information Officer since 2020, after serving as the Head of Technology for seven years. He provides leadership for the development of innovative, robust, scalable, and secure technology infrastructure. During his time with us, he spearheaded the full technology infrastructure transition into the cloud. Mr. Galsim has more than 20 years of experience in the technology space, having held a variety of technology positions at the Videology Group, AOL, Stanley Black and Decker, and Manugistics. Mr. Galsim holds a B.S. in Industrial Management Engineering with a minor in Mechanical Engineering from De La Salle University.</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
              <w:jc w:val="left"/>
              <w:rPr/>
            </w:pPr>
            <w:r>
              <w:rPr>
                <w:rFonts w:ascii="Times New Roman;serif" w:hAnsi="Times New Roman;serif"/>
                <w:b/>
                <w:i/>
                <w:color w:val="000000"/>
                <w:sz w:val="20"/>
              </w:rPr>
              <w:t>Scott Forney</w:t>
            </w:r>
            <w:r>
              <w:rPr>
                <w:color w:val="000000"/>
              </w:rPr>
              <w:t xml:space="preserve"> </w:t>
            </w:r>
            <w:r>
              <w:rPr>
                <w:rFonts w:ascii="Times New Roman;serif" w:hAnsi="Times New Roman;serif"/>
                <w:b w:val="false"/>
                <w:color w:val="000000"/>
                <w:sz w:val="20"/>
              </w:rPr>
              <w:t>has served as our General Counsel and Corporate Secretary since November 2023, after serving as our Assistant General Counsel from 2019 to 2023. Before joining MarketWise, Mr. Forney served as an attorney at several boutique law firms from 2014 to 2018. Mr. Forney holds a J.D. from the University of Maryland Francis King Carey School of Law, and a B.S. in Finance from Salisbury University.</w:t>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Term of Executive Officers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Our Chief Executive Officer was appointed by and serves at the discretion of the Board. In accordance with our Bylaws, the Board has delegated the power to appoint and remove each other executive officer to our Chief Executive Officer.</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20" w:type="dxa"/>
        <w:jc w:val="left"/>
        <w:tblInd w:w="0" w:type="dxa"/>
        <w:tblLayout w:type="fixed"/>
        <w:tblCellMar>
          <w:top w:w="28" w:type="dxa"/>
          <w:left w:w="28" w:type="dxa"/>
          <w:bottom w:w="28" w:type="dxa"/>
          <w:right w:w="28" w:type="dxa"/>
        </w:tblCellMar>
      </w:tblPr>
      <w:tblGrid>
        <w:gridCol w:w="903"/>
        <w:gridCol w:w="793"/>
        <w:gridCol w:w="1124"/>
      </w:tblGrid>
      <w:tr>
        <w:trPr/>
        <w:tc>
          <w:tcPr>
            <w:tcW w:w="90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36"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CORPORATE GOVERNANCE</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126" w:type="dxa"/>
        <w:jc w:val="left"/>
        <w:tblInd w:w="0" w:type="dxa"/>
        <w:tblLayout w:type="fixed"/>
        <w:tblCellMar>
          <w:top w:w="28" w:type="dxa"/>
          <w:left w:w="28" w:type="dxa"/>
          <w:bottom w:w="28" w:type="dxa"/>
          <w:right w:w="28" w:type="dxa"/>
        </w:tblCellMar>
      </w:tblPr>
      <w:tblGrid>
        <w:gridCol w:w="360"/>
        <w:gridCol w:w="317"/>
        <w:gridCol w:w="449"/>
      </w:tblGrid>
      <w:tr>
        <w:trPr/>
        <w:tc>
          <w:tcPr>
            <w:tcW w:w="36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GENERAL</w:t>
            </w:r>
          </w:p>
        </w:tc>
      </w:tr>
    </w:tbl>
    <w:p>
      <w:pPr>
        <w:pStyle w:val="TextBody"/>
        <w:bidi w:val="0"/>
        <w:spacing w:lineRule="auto" w:line="240" w:before="240" w:after="283"/>
        <w:jc w:val="left"/>
        <w:rPr/>
      </w:pPr>
      <w:r>
        <w:rPr>
          <w:rFonts w:ascii="Times New Roman;serif" w:hAnsi="Times New Roman;serif"/>
          <w:b w:val="false"/>
          <w:color w:val="000000"/>
          <w:sz w:val="20"/>
        </w:rPr>
        <w:t xml:space="preserve">Our Board has adopted Corporate Governance Guidelines, a Code of Conduct and Business Ethics and charters for our Nominating and Corporate Governance Committee, Audit Committee and Compensation Committee to assist the Board in the exercise of its responsibilities and to serve as a framework for the effective governance of MarketWise. You can access our current committee charters, our Corporate Governance Guidelines and our Code of Conduct and Business Ethics in the “Governance” section of the “Investor Relations” page of our website located at </w:t>
      </w:r>
      <w:r>
        <w:rPr>
          <w:rFonts w:ascii="Times New Roman;serif" w:hAnsi="Times New Roman;serif"/>
          <w:b w:val="false"/>
          <w:i/>
          <w:color w:val="0E32E1"/>
          <w:sz w:val="20"/>
          <w:u w:val="single"/>
        </w:rPr>
        <w:t>investors.marketwise.com</w:t>
      </w:r>
      <w:r>
        <w:rPr>
          <w:rFonts w:ascii="Times New Roman;serif" w:hAnsi="Times New Roman;serif"/>
          <w:b w:val="false"/>
          <w:color w:val="000000"/>
          <w:sz w:val="20"/>
        </w:rPr>
        <w:t>, or by writing to our Corporate Secretary at our offices at 1125 N. Charles Street, Baltimore, MD 21201.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4"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tbl>
      <w:tblPr>
        <w:tblW w:w="2310" w:type="dxa"/>
        <w:jc w:val="left"/>
        <w:tblInd w:w="0" w:type="dxa"/>
        <w:tblLayout w:type="fixed"/>
        <w:tblCellMar>
          <w:top w:w="28" w:type="dxa"/>
          <w:left w:w="28" w:type="dxa"/>
          <w:bottom w:w="28" w:type="dxa"/>
          <w:right w:w="28" w:type="dxa"/>
        </w:tblCellMar>
      </w:tblPr>
      <w:tblGrid>
        <w:gridCol w:w="739"/>
        <w:gridCol w:w="649"/>
        <w:gridCol w:w="922"/>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BOARD COMPOSITION</w:t>
            </w:r>
          </w:p>
        </w:tc>
      </w:tr>
    </w:tbl>
    <w:tbl>
      <w:tblPr>
        <w:tblW w:w="10205" w:type="dxa"/>
        <w:jc w:val="left"/>
        <w:tblInd w:w="0" w:type="dxa"/>
        <w:tblLayout w:type="fixed"/>
        <w:tblCellMar>
          <w:top w:w="28" w:type="dxa"/>
          <w:left w:w="28" w:type="dxa"/>
          <w:bottom w:w="28" w:type="dxa"/>
          <w:right w:w="28" w:type="dxa"/>
        </w:tblCellMar>
      </w:tblPr>
      <w:tblGrid>
        <w:gridCol w:w="3268"/>
        <w:gridCol w:w="2869"/>
        <w:gridCol w:w="4068"/>
      </w:tblGrid>
      <w:tr>
        <w:trPr/>
        <w:tc>
          <w:tcPr>
            <w:tcW w:w="3268"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0"/>
              </w:rPr>
            </w:pPr>
            <w:r>
              <w:rPr>
                <w:rFonts w:ascii="Times New Roman;serif" w:hAnsi="Times New Roman;serif"/>
                <w:b w:val="false"/>
                <w:color w:val="000000"/>
                <w:sz w:val="20"/>
              </w:rPr>
              <w:t>Our Board is divided into three classes.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 Upon expiration of the term of a class of directors, directors for that class will be elected for three-year terms at the annual meeting of stockholders in the year in which that term expires. Each director will hold office until his or her successor is elected and qualified or until his or her earlier death, resignation, retirement, disqualification, or removal from office. Directors may be removed by our stockholders only for cause, and only by the affirmative vote of the holders of at least a majority of the voting power of our then-outstanding voting stock entitled to vote in the election of directors. Any increase or decrease in the number of directors will be distributed among the three classes so that, as nearly as possible, each class will consist of one-third of the directors. This classification of our Board may have the effect of delaying or preventing changes in control of our company.</w:t>
            </w:r>
          </w:p>
          <w:p>
            <w:pPr>
              <w:pStyle w:val="TableContents"/>
              <w:bidi w:val="0"/>
              <w:spacing w:before="0" w:after="2"/>
              <w:jc w:val="left"/>
              <w:rPr/>
            </w:pPr>
            <w:r>
              <w:rPr/>
            </w:r>
          </w:p>
          <w:p>
            <w:pPr>
              <w:pStyle w:val="TableContents"/>
              <w:bidi w:val="0"/>
              <w:spacing w:lineRule="auto" w:line="240" w:before="0" w:after="2"/>
              <w:jc w:val="left"/>
              <w:rPr>
                <w:rFonts w:ascii="Times New Roman;serif" w:hAnsi="Times New Roman;serif"/>
                <w:b w:val="false"/>
                <w:color w:val="000000"/>
                <w:sz w:val="20"/>
              </w:rPr>
            </w:pPr>
            <w:r>
              <w:rPr>
                <w:rFonts w:ascii="Times New Roman;serif" w:hAnsi="Times New Roman;serif"/>
                <w:b w:val="false"/>
                <w:color w:val="000000"/>
                <w:sz w:val="20"/>
              </w:rPr>
              <w:t>Our Board presently has seven (7) directors. The current class structure is as follows: Class I, whose terms will expire at the 2028 Annual Meeting of Stockholders; Class II, whose terms will expire at the 2026 Annual Meeting of Stockholders, and, if elected at the Annual Meeting, whose subsequent term will expire at the 2029 Annual Meeting of Stockholders; and Class III, whose terms will expire at the 2027 Annual Meeting of Stockholders. The current Class I Directors are Dr. David Eifrig and Van Simmons; the current Class II Director is Matthew Turner; and the current Class III Directors are Michael Palmer, Matthew Smith, F. Porter Stansberry, and Glenn Tongue.</w:t>
            </w:r>
          </w:p>
        </w:tc>
      </w:tr>
    </w:tbl>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35" w:type="dxa"/>
        <w:jc w:val="left"/>
        <w:tblInd w:w="0" w:type="dxa"/>
        <w:tblLayout w:type="fixed"/>
        <w:tblCellMar>
          <w:top w:w="28" w:type="dxa"/>
          <w:left w:w="28" w:type="dxa"/>
          <w:bottom w:w="28" w:type="dxa"/>
          <w:right w:w="28" w:type="dxa"/>
        </w:tblCellMar>
      </w:tblPr>
      <w:tblGrid>
        <w:gridCol w:w="908"/>
        <w:gridCol w:w="797"/>
        <w:gridCol w:w="1130"/>
      </w:tblGrid>
      <w:tr>
        <w:trPr/>
        <w:tc>
          <w:tcPr>
            <w:tcW w:w="90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 xml:space="preserve">DIRECTOR INDEPENDENCE </w:t>
            </w:r>
          </w:p>
        </w:tc>
      </w:tr>
    </w:tbl>
    <w:tbl>
      <w:tblPr>
        <w:tblW w:w="10205" w:type="dxa"/>
        <w:jc w:val="left"/>
        <w:tblInd w:w="0" w:type="dxa"/>
        <w:tblLayout w:type="fixed"/>
        <w:tblCellMar>
          <w:top w:w="28" w:type="dxa"/>
          <w:left w:w="28" w:type="dxa"/>
          <w:bottom w:w="28" w:type="dxa"/>
          <w:right w:w="28" w:type="dxa"/>
        </w:tblCellMar>
      </w:tblPr>
      <w:tblGrid>
        <w:gridCol w:w="3269"/>
        <w:gridCol w:w="2871"/>
        <w:gridCol w:w="4065"/>
      </w:tblGrid>
      <w:tr>
        <w:trPr/>
        <w:tc>
          <w:tcPr>
            <w:tcW w:w="3269"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0"/>
              </w:rPr>
            </w:pPr>
            <w:r>
              <w:rPr>
                <w:rFonts w:ascii="Times New Roman;serif" w:hAnsi="Times New Roman;serif"/>
                <w:b w:val="false"/>
                <w:color w:val="000000"/>
                <w:sz w:val="20"/>
              </w:rPr>
              <w:t>Our Board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has determined that Van Simmons, Matthew Smith, Glenn Tongue, and Matthew Turner, representing four of our seven directors,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Nasdaq Global Market. In making this determination, our Board considered the current and prior relationships that each non-employee director has with our company and all other facts and circumstances our Board deemed relevant in determining their independence, including the beneficial ownership of our capital stock by each non-employee director.</w:t>
            </w:r>
          </w:p>
        </w:tc>
      </w:tr>
    </w:tbl>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04" w:type="dxa"/>
        <w:jc w:val="left"/>
        <w:tblInd w:w="0" w:type="dxa"/>
        <w:tblLayout w:type="fixed"/>
        <w:tblCellMar>
          <w:top w:w="28" w:type="dxa"/>
          <w:left w:w="28" w:type="dxa"/>
          <w:bottom w:w="28" w:type="dxa"/>
          <w:right w:w="28" w:type="dxa"/>
        </w:tblCellMar>
      </w:tblPr>
      <w:tblGrid>
        <w:gridCol w:w="801"/>
        <w:gridCol w:w="704"/>
        <w:gridCol w:w="999"/>
      </w:tblGrid>
      <w:tr>
        <w:trPr/>
        <w:tc>
          <w:tcPr>
            <w:tcW w:w="80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DIRECTOR CANDIDATES</w:t>
            </w:r>
          </w:p>
        </w:tc>
      </w:tr>
    </w:tbl>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The Nominating and Corporate Governance Committee is primarily responsible for identifying and reviewing the qualifications of potential director candidates, recommending to the Board those candidates to be nominated for election to the Board and filling vacancies on the Board.</w:t>
      </w:r>
    </w:p>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To facilitate the search process for director candidates, the Nominating and Corporate Governance Committee may solicit our current directors and executives for the names of potentially qualified candidates or may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of candidates for election as director.</w:t>
      </w:r>
    </w:p>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our Corporate Governance Guidelines, in evaluating the suitability of individual candidates, the Nominating and Corporate Governance Committee will consider (i) minimum individual qualifications, including a high level of personal and professional integrity, strong ethics and values and the ability to make mature business judgments and (ii) all other factors it considers appropriate, which may include experience in corporate management, experience as a board member of other public companies, relevant professional or academic experience, leadership skills, financial and accounting background, executive compensation background and whether the candidate has the time required to fully participate as a director of the Company. Our Corporate Governance Guidelines provide that the Board should monitor the mix of specific experience, qualifications and skills of its directors in order to assure that the Board, as a whole, has the necessary tools to perform its oversight function effectively in light of the Company’s business and structure. </w:t>
      </w:r>
    </w:p>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Corporate Secretary, MarketWise, Inc., 1125 N. Charles Street, Baltimore, MD 21201.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845" w:type="dxa"/>
        <w:jc w:val="left"/>
        <w:tblInd w:w="0" w:type="dxa"/>
        <w:tblLayout w:type="fixed"/>
        <w:tblCellMar>
          <w:top w:w="28" w:type="dxa"/>
          <w:left w:w="28" w:type="dxa"/>
          <w:bottom w:w="28" w:type="dxa"/>
          <w:right w:w="28" w:type="dxa"/>
        </w:tblCellMar>
      </w:tblPr>
      <w:tblGrid>
        <w:gridCol w:w="1552"/>
        <w:gridCol w:w="1363"/>
        <w:gridCol w:w="1930"/>
      </w:tblGrid>
      <w:tr>
        <w:trPr/>
        <w:tc>
          <w:tcPr>
            <w:tcW w:w="155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COMMUNICATIONS FROM INTERESTED PARTIES</w:t>
            </w:r>
          </w:p>
        </w:tc>
      </w:tr>
    </w:tbl>
    <w:p>
      <w:pPr>
        <w:pStyle w:val="TextBody"/>
        <w:bidi w:val="0"/>
        <w:spacing w:lineRule="auto" w:line="240" w:before="12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will give appropriate attention to written communications that are submitted by stockholders, and will respond if and as appropriate. Our Corporate Secretary is primarily responsible for monitoring communications from stockholders and for providing copies or summaries to the directors as he considers appropriate. </w:t>
      </w:r>
    </w:p>
    <w:p>
      <w:pPr>
        <w:pStyle w:val="TextBody"/>
        <w:bidi w:val="0"/>
        <w:spacing w:before="0" w:after="2"/>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5"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Anyone who would like to communicate with, or otherwise make his or her concerns known directly to the Board, the chairman of any of the Audit, Nominating and Corporate Governance, and Compensation Committees, or to the independent directors as a group, may do so by addressing such communications or concerns to the Corporate Secretary of the Company, 1125 N. Charles Street, Baltimore, MD 21201, who will forward such communications to the appropriate party. Such communications may be done confidentially or anonymously.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420" w:type="dxa"/>
        <w:jc w:val="left"/>
        <w:tblInd w:w="0" w:type="dxa"/>
        <w:tblLayout w:type="fixed"/>
        <w:tblCellMar>
          <w:top w:w="28" w:type="dxa"/>
          <w:left w:w="28" w:type="dxa"/>
          <w:bottom w:w="28" w:type="dxa"/>
          <w:right w:w="28" w:type="dxa"/>
        </w:tblCellMar>
      </w:tblPr>
      <w:tblGrid>
        <w:gridCol w:w="2053"/>
        <w:gridCol w:w="1805"/>
        <w:gridCol w:w="2562"/>
      </w:tblGrid>
      <w:tr>
        <w:trPr/>
        <w:tc>
          <w:tcPr>
            <w:tcW w:w="2053"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BOARD LEADERSHIP STRUCTURE AND ROLE IN RISK OVERSIGHT</w:t>
            </w:r>
          </w:p>
        </w:tc>
      </w:tr>
    </w:tbl>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Our Board exercises its discretion in combining or separating the roles of Chairman of the Board and Chief Executive Officer as it deems appropriate in light of prevailing circumstances. We believe that we, like many U.S. companies, are well-served by a flexible leadership structure. Currently, the roles are separated, with Dr. David Eifrig serving as Chief Executive Officer and Mr. Matthew Turner serving as Chairman of the Board. Our Board has concluded that our current leadership structure is appropriate at this time. However, our Board will continue to consider whether the positions of Chairman of the Board and Chief Executive Officer should be separated or combined at any given time as part of our succession planning process.</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Our Corporate Governance Guidelines provide that, whenever our Chairman of the Board is also our Chief Executive Officer or is a director that does not otherwise qualify as an independent director, the Board will elect a lead independent director to preside at the meetings of Independent Directors. The full list of responsibilities of our lead independent director may be found in our Corporate Governance Guidelines. Our current lead independent director is Glenn Tongue.</w:t>
      </w:r>
    </w:p>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Risk assessment and oversight are an integral part of our governance and management processes. Our management is responsible for our day-to-day risk management activities. Our Board oversees the implementation of risk mitigation strategies by management and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we face, including cybersecurity risks. Throughout the year, senior management reviews these risks with the Board at regular board meetings as part of management presentations that focus on particular business functions, operations or strategies, and presents the steps taken by management to mitigate or eliminate such risks. Our Board is apprised of particular risk management matters in connection with its general oversight and approval of corporate matters and significant transactions. Our Board administers this oversight function, including the oversight of cybersecurity risks, directly through the Board as a whole, as well as through various standing committees of the Board that address risks inherent in their respective areas of oversight. The Board does not believe that its role in the oversight of our risks affects the Board’s leadership structure.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500" w:type="dxa"/>
        <w:jc w:val="left"/>
        <w:tblInd w:w="0" w:type="dxa"/>
        <w:tblLayout w:type="fixed"/>
        <w:tblCellMar>
          <w:top w:w="28" w:type="dxa"/>
          <w:left w:w="28" w:type="dxa"/>
          <w:bottom w:w="28" w:type="dxa"/>
          <w:right w:w="28" w:type="dxa"/>
        </w:tblCellMar>
      </w:tblPr>
      <w:tblGrid>
        <w:gridCol w:w="1440"/>
        <w:gridCol w:w="1266"/>
        <w:gridCol w:w="1794"/>
      </w:tblGrid>
      <w:tr>
        <w:trPr/>
        <w:tc>
          <w:tcPr>
            <w:tcW w:w="144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ANTI-HEDGING AND ANTI-PLEDGING POLICY</w:t>
            </w:r>
          </w:p>
        </w:tc>
      </w:tr>
    </w:tbl>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Our Board has adopted an Insider Trading Policy, which applies to all of our directors, officers, employees and contractors. The policy prohibits our directors, officers, employees, contractors and any entities they control from engaging in all hedging or monetization transactions, such as zero-cost collars and forward sale contracts, involving the Company’s equity securities. In addition, the Insider Trading Policy prohibits such persons from purchasing the Company's equity securities on margin or pledging the Company's equity securities as collateral for a loan.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245" w:type="dxa"/>
        <w:jc w:val="left"/>
        <w:tblInd w:w="0" w:type="dxa"/>
        <w:tblLayout w:type="fixed"/>
        <w:tblCellMar>
          <w:top w:w="28" w:type="dxa"/>
          <w:left w:w="28" w:type="dxa"/>
          <w:bottom w:w="28" w:type="dxa"/>
          <w:right w:w="28" w:type="dxa"/>
        </w:tblCellMar>
      </w:tblPr>
      <w:tblGrid>
        <w:gridCol w:w="1357"/>
        <w:gridCol w:w="1195"/>
        <w:gridCol w:w="1693"/>
      </w:tblGrid>
      <w:tr>
        <w:trPr/>
        <w:tc>
          <w:tcPr>
            <w:tcW w:w="135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CODE OF CONDUCT AND BUSINESS ETHICS</w:t>
            </w:r>
          </w:p>
        </w:tc>
      </w:tr>
    </w:tbl>
    <w:p>
      <w:pPr>
        <w:pStyle w:val="TextBody"/>
        <w:bidi w:val="0"/>
        <w:spacing w:lineRule="auto" w:line="240" w:before="240" w:after="283"/>
        <w:jc w:val="left"/>
        <w:rPr/>
      </w:pPr>
      <w:r>
        <w:rPr>
          <w:rFonts w:ascii="Times New Roman;serif" w:hAnsi="Times New Roman;serif"/>
          <w:b w:val="false"/>
          <w:color w:val="000000"/>
          <w:sz w:val="20"/>
        </w:rPr>
        <w:t xml:space="preserve">Our Board has adopted a Code of Conduct and Business Ethics that contain the ethical principles by which our Chief Executive Officer and Chief Financial Officer, among others, are expected to conduct themselves when carrying out their duties and responsibilities. A copy of our Code of Conduct and Business Ethics is available on our website at </w:t>
      </w:r>
      <w:r>
        <w:rPr>
          <w:rFonts w:ascii="Times New Roman;serif" w:hAnsi="Times New Roman;serif"/>
          <w:b w:val="false"/>
          <w:i/>
          <w:color w:val="0E32E1"/>
          <w:sz w:val="20"/>
          <w:u w:val="single"/>
        </w:rPr>
        <w:t>investors.marketwise.com</w:t>
      </w:r>
      <w:r>
        <w:rPr>
          <w:rFonts w:ascii="Times New Roman;serif" w:hAnsi="Times New Roman;serif"/>
          <w:b w:val="false"/>
          <w:color w:val="000000"/>
          <w:sz w:val="20"/>
        </w:rPr>
        <w:t xml:space="preserve">. We will provide a copy of our Code of Conduct and Business Ethics to any person, without charge, upon request, by writing to, MarketWise, Inc., 1125 N. Charles Street, Baltimore, MD 21201 (telephone number (888) 261-2693). We intend to satisfy the disclosure requirement under Item 5.05 of Form 8-K regarding an amendment to, or waiver from, a provision of our Code of Conduct and Business Ethics by posting such information on our website at </w:t>
      </w:r>
      <w:r>
        <w:rPr>
          <w:rFonts w:ascii="Times New Roman;serif" w:hAnsi="Times New Roman;serif"/>
          <w:b w:val="false"/>
          <w:i/>
          <w:color w:val="0E32E1"/>
          <w:sz w:val="20"/>
          <w:u w:val="single"/>
        </w:rPr>
        <w:t>www.marketwise.com</w:t>
      </w:r>
      <w:r>
        <w:rPr>
          <w:rFonts w:ascii="Times New Roman;serif" w:hAnsi="Times New Roman;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305" w:type="dxa"/>
        <w:jc w:val="left"/>
        <w:tblInd w:w="0" w:type="dxa"/>
        <w:tblLayout w:type="fixed"/>
        <w:tblCellMar>
          <w:top w:w="28" w:type="dxa"/>
          <w:left w:w="28" w:type="dxa"/>
          <w:bottom w:w="28" w:type="dxa"/>
          <w:right w:w="28" w:type="dxa"/>
        </w:tblCellMar>
      </w:tblPr>
      <w:tblGrid>
        <w:gridCol w:w="2337"/>
        <w:gridCol w:w="2053"/>
        <w:gridCol w:w="2915"/>
      </w:tblGrid>
      <w:tr>
        <w:trPr/>
        <w:tc>
          <w:tcPr>
            <w:tcW w:w="2337"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ATTENDANCE BY MEMBERS OF THE BOARD OF DIRECTORS AT MEETINGS</w:t>
            </w:r>
          </w:p>
        </w:tc>
      </w:tr>
    </w:tbl>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Our Board of Directors — Shareholder Communication and Engagement Policy provides that each of our directors is expected to attend our Annual Meeting of Stockholders, absent a compelling reason. Seven directors who were on our Board at the time attended our 2025 Annual Meeting of Stockholders.</w:t>
      </w:r>
    </w:p>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There were five meetings of the Board during the fiscal year ended December 31, 2025. During the fiscal year ended December 31, 2025, each director attended at least 75% of the aggregate of (i) all meetings of the Board and (ii) all meetings of the committees on which the director served during the period in which he or she served as a director.</w:t>
      </w:r>
    </w:p>
    <w:p>
      <w:pPr>
        <w:pStyle w:val="TextBody"/>
        <w:bidi w:val="0"/>
        <w:spacing w:lineRule="auto" w:line="240" w:before="225" w:after="283"/>
        <w:jc w:val="left"/>
        <w:rPr/>
      </w:pPr>
      <w:r>
        <w:rPr>
          <w:rFonts w:ascii="Times New Roman;serif" w:hAnsi="Times New Roman;serif"/>
          <w:b w:val="false"/>
          <w:color w:val="000000"/>
          <w:sz w:val="20"/>
        </w:rPr>
        <w:t xml:space="preserve">Under our Corporate Governance Guidelines, which is available on our website at </w:t>
      </w:r>
      <w:r>
        <w:rPr>
          <w:rFonts w:ascii="Times New Roman;serif" w:hAnsi="Times New Roman;serif"/>
          <w:b w:val="false"/>
          <w:i/>
          <w:color w:val="0E32E1"/>
          <w:sz w:val="20"/>
          <w:u w:val="single"/>
        </w:rPr>
        <w:t>investors.marketwise.com</w:t>
      </w:r>
      <w:r>
        <w:rPr>
          <w:rFonts w:ascii="Times New Roman;serif" w:hAnsi="Times New Roman;serif"/>
          <w:b w:val="false"/>
          <w:color w:val="000000"/>
          <w:sz w:val="20"/>
        </w:rPr>
        <w:t xml:space="preserve">, a director is expected to spend the time and effort necessary to properly discharge his or her responsibilities. Accordingly, a director is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of the Board or a committee of the Board is expected to notify the Chairman of the Board or the Chair of the appropriate committee in advance of such meeting, and, whenever possible, participate in such meeting via teleconference in the case of an in-person meeting.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6"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tbl>
      <w:tblPr>
        <w:tblW w:w="2280" w:type="dxa"/>
        <w:jc w:val="left"/>
        <w:tblInd w:w="0" w:type="dxa"/>
        <w:tblLayout w:type="fixed"/>
        <w:tblCellMar>
          <w:top w:w="28" w:type="dxa"/>
          <w:left w:w="28" w:type="dxa"/>
          <w:bottom w:w="28" w:type="dxa"/>
          <w:right w:w="28" w:type="dxa"/>
        </w:tblCellMar>
      </w:tblPr>
      <w:tblGrid>
        <w:gridCol w:w="730"/>
        <w:gridCol w:w="642"/>
        <w:gridCol w:w="908"/>
      </w:tblGrid>
      <w:tr>
        <w:trPr/>
        <w:tc>
          <w:tcPr>
            <w:tcW w:w="73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EXECUTIVE SESSIONS</w:t>
            </w:r>
          </w:p>
        </w:tc>
      </w:tr>
    </w:tbl>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The independent members of the Board meet in regularly scheduled executive sessions. Such meetings are presided over by our Chair or lead independent director, as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44" w:type="dxa"/>
        <w:jc w:val="left"/>
        <w:tblInd w:w="0" w:type="dxa"/>
        <w:tblLayout w:type="fixed"/>
        <w:tblCellMar>
          <w:top w:w="28" w:type="dxa"/>
          <w:left w:w="28" w:type="dxa"/>
          <w:bottom w:w="28" w:type="dxa"/>
          <w:right w:w="28" w:type="dxa"/>
        </w:tblCellMar>
      </w:tblPr>
      <w:tblGrid>
        <w:gridCol w:w="974"/>
        <w:gridCol w:w="857"/>
        <w:gridCol w:w="1213"/>
      </w:tblGrid>
      <w:tr>
        <w:trPr/>
        <w:tc>
          <w:tcPr>
            <w:tcW w:w="97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op w:val="single" w:sz="36"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COMMITTEES OF THE BOARD</w:t>
            </w:r>
          </w:p>
        </w:tc>
      </w:tr>
    </w:tbl>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Our Board has established three standing committees—Audit, Compensation and Nominating and Corporate Governance—each of which operates under a written charter that has been approved by our Board. The members of each of the committees is set forth below:</w:t>
      </w:r>
    </w:p>
    <w:p>
      <w:pPr>
        <w:pStyle w:val="TextBody"/>
        <w:bidi w:val="0"/>
        <w:spacing w:before="0" w:after="0"/>
        <w:jc w:val="left"/>
        <w:rPr/>
      </w:pPr>
      <w:r>
        <w:rPr/>
      </w:r>
    </w:p>
    <w:tbl>
      <w:tblPr>
        <w:tblW w:w="7477" w:type="dxa"/>
        <w:jc w:val="left"/>
        <w:tblInd w:w="0" w:type="dxa"/>
        <w:tblLayout w:type="fixed"/>
        <w:tblCellMar>
          <w:top w:w="28" w:type="dxa"/>
          <w:left w:w="28" w:type="dxa"/>
          <w:bottom w:w="28" w:type="dxa"/>
          <w:right w:w="28" w:type="dxa"/>
        </w:tblCellMar>
      </w:tblPr>
      <w:tblGrid>
        <w:gridCol w:w="527"/>
        <w:gridCol w:w="463"/>
        <w:gridCol w:w="465"/>
        <w:gridCol w:w="109"/>
        <w:gridCol w:w="109"/>
        <w:gridCol w:w="109"/>
        <w:gridCol w:w="704"/>
        <w:gridCol w:w="704"/>
        <w:gridCol w:w="706"/>
        <w:gridCol w:w="109"/>
        <w:gridCol w:w="109"/>
        <w:gridCol w:w="109"/>
        <w:gridCol w:w="952"/>
        <w:gridCol w:w="952"/>
        <w:gridCol w:w="1350"/>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4" w:after="283"/>
              <w:jc w:val="center"/>
              <w:rPr/>
            </w:pPr>
            <w:r>
              <w:rPr/>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Audit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4" w:after="283"/>
              <w:jc w:val="center"/>
              <w:rPr/>
            </w:pPr>
            <w:r>
              <w:rPr/>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Compensation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16" w:after="283"/>
              <w:jc w:val="center"/>
              <w:rPr>
                <w:rFonts w:ascii="Times New Roman;serif" w:hAnsi="Times New Roman;serif"/>
                <w:b/>
                <w:color w:val="000000"/>
                <w:sz w:val="18"/>
              </w:rPr>
            </w:pPr>
            <w:r>
              <w:rPr>
                <w:rFonts w:ascii="Times New Roman;serif" w:hAnsi="Times New Roman;serif"/>
                <w:b/>
                <w:color w:val="000000"/>
                <w:sz w:val="18"/>
              </w:rPr>
              <w:t>Nominating and Governance Committee</w:t>
            </w:r>
          </w:p>
        </w:tc>
      </w:tr>
      <w:tr>
        <w:trPr/>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Glenn Tongue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Glenn Tongue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Matthew Turner</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Van Simmons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Van Simmons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Van Simmons</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Matthew Turner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Matthew Smith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Glenn Tongue</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Matthew Turner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085" w:type="dxa"/>
        <w:jc w:val="left"/>
        <w:tblInd w:w="0" w:type="dxa"/>
        <w:tblLayout w:type="fixed"/>
        <w:tblCellMar>
          <w:top w:w="28" w:type="dxa"/>
          <w:left w:w="28" w:type="dxa"/>
          <w:bottom w:w="28" w:type="dxa"/>
          <w:right w:w="28" w:type="dxa"/>
        </w:tblCellMar>
      </w:tblPr>
      <w:tblGrid>
        <w:gridCol w:w="667"/>
        <w:gridCol w:w="586"/>
        <w:gridCol w:w="832"/>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AUDIT COMMITTEE</w:t>
            </w:r>
          </w:p>
        </w:tc>
      </w:tr>
    </w:tbl>
    <w:p>
      <w:pPr>
        <w:pStyle w:val="TextBody"/>
        <w:bidi w:val="0"/>
        <w:spacing w:before="0" w:after="0"/>
        <w:jc w:val="left"/>
        <w:rPr/>
      </w:pPr>
      <w:r>
        <w:rPr/>
      </w:r>
    </w:p>
    <w:p>
      <w:pPr>
        <w:pStyle w:val="TextBody"/>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The Audit Committee’s responsibilities include:</w:t>
      </w:r>
    </w:p>
    <w:p>
      <w:pPr>
        <w:pStyle w:val="TextBody"/>
        <w:bidi w:val="0"/>
        <w:spacing w:lineRule="auto" w:line="240" w:before="0" w:after="180"/>
        <w:ind w:left="0" w:right="0" w:hanging="360"/>
        <w:jc w:val="left"/>
        <w:rPr/>
      </w:pPr>
      <w:r>
        <w:rPr>
          <w:color w:val="000000"/>
        </w:rPr>
        <w:t>▪</w:t>
      </w:r>
      <w:r>
        <w:rPr>
          <w:rFonts w:ascii="Times New Roman;serif" w:hAnsi="Times New Roman;serif"/>
          <w:b w:val="false"/>
          <w:color w:val="000000"/>
          <w:sz w:val="20"/>
        </w:rPr>
        <w:t>appointing, approving the compensation of, and assessing the independence of our registered public accounting firm;</w:t>
      </w:r>
    </w:p>
    <w:p>
      <w:pPr>
        <w:pStyle w:val="TextBody"/>
        <w:bidi w:val="0"/>
        <w:spacing w:lineRule="auto" w:line="240" w:before="0" w:after="180"/>
        <w:ind w:left="0" w:right="0" w:hanging="360"/>
        <w:jc w:val="left"/>
        <w:rPr/>
      </w:pPr>
      <w:r>
        <w:rPr>
          <w:color w:val="000000"/>
        </w:rPr>
        <w:t>▪</w:t>
      </w:r>
      <w:r>
        <w:rPr>
          <w:rFonts w:ascii="Times New Roman;serif" w:hAnsi="Times New Roman;serif"/>
          <w:b w:val="false"/>
          <w:color w:val="000000"/>
          <w:sz w:val="20"/>
        </w:rPr>
        <w:t>overseeing the work of our independent registered public accounting firm, including through the receipt and consideration of reports from such firm;</w:t>
      </w:r>
    </w:p>
    <w:p>
      <w:pPr>
        <w:pStyle w:val="TextBody"/>
        <w:bidi w:val="0"/>
        <w:spacing w:lineRule="auto" w:line="240" w:before="0" w:after="180"/>
        <w:ind w:left="0" w:right="0" w:hanging="360"/>
        <w:jc w:val="left"/>
        <w:rPr/>
      </w:pPr>
      <w:r>
        <w:rPr>
          <w:color w:val="000000"/>
        </w:rPr>
        <w:t>▪</w:t>
      </w:r>
      <w:r>
        <w:rPr>
          <w:rFonts w:ascii="Times New Roman;serif" w:hAnsi="Times New Roman;serif"/>
          <w:b w:val="false"/>
          <w:color w:val="000000"/>
          <w:sz w:val="20"/>
        </w:rPr>
        <w:t>reviewing and discussing with management and our independent registered public accounting firm our annual and quarterly financial statements and related disclosures;</w:t>
      </w:r>
    </w:p>
    <w:p>
      <w:pPr>
        <w:pStyle w:val="TextBody"/>
        <w:bidi w:val="0"/>
        <w:spacing w:lineRule="auto" w:line="240" w:before="0" w:after="180"/>
        <w:ind w:left="0" w:right="0" w:hanging="360"/>
        <w:jc w:val="left"/>
        <w:rPr/>
      </w:pPr>
      <w:r>
        <w:rPr>
          <w:color w:val="000000"/>
        </w:rPr>
        <w:t>▪</w:t>
      </w:r>
      <w:r>
        <w:rPr>
          <w:rFonts w:ascii="Times New Roman;serif" w:hAnsi="Times New Roman;serif"/>
          <w:b w:val="false"/>
          <w:color w:val="000000"/>
          <w:sz w:val="20"/>
        </w:rPr>
        <w:t>assisting our Board in overseeing our internal control over financial reporting and disclosure controls and procedures;</w:t>
      </w:r>
    </w:p>
    <w:p>
      <w:pPr>
        <w:pStyle w:val="TextBody"/>
        <w:bidi w:val="0"/>
        <w:spacing w:lineRule="auto" w:line="240" w:before="0" w:after="180"/>
        <w:ind w:left="0" w:right="0" w:hanging="360"/>
        <w:jc w:val="left"/>
        <w:rPr/>
      </w:pPr>
      <w:r>
        <w:rPr>
          <w:color w:val="000000"/>
        </w:rPr>
        <w:t>▪</w:t>
      </w:r>
      <w:r>
        <w:rPr>
          <w:rFonts w:ascii="Times New Roman;serif" w:hAnsi="Times New Roman;serif"/>
          <w:b w:val="false"/>
          <w:color w:val="000000"/>
          <w:sz w:val="20"/>
        </w:rPr>
        <w:t>reviewing the effectiveness of our risk management policies;</w:t>
      </w:r>
    </w:p>
    <w:p>
      <w:pPr>
        <w:pStyle w:val="TextBody"/>
        <w:bidi w:val="0"/>
        <w:spacing w:lineRule="auto" w:line="240" w:before="0" w:after="180"/>
        <w:ind w:left="0" w:right="0" w:hanging="360"/>
        <w:jc w:val="left"/>
        <w:rPr/>
      </w:pPr>
      <w:r>
        <w:rPr>
          <w:color w:val="000000"/>
        </w:rPr>
        <w:t>▪</w:t>
      </w:r>
      <w:r>
        <w:rPr>
          <w:rFonts w:ascii="Times New Roman;serif" w:hAnsi="Times New Roman;serif"/>
          <w:b w:val="false"/>
          <w:color w:val="000000"/>
          <w:sz w:val="20"/>
        </w:rPr>
        <w:t>reviewing legal, regulatory and compliance matters that could have a significant impact on our financial statements;</w:t>
      </w:r>
    </w:p>
    <w:p>
      <w:pPr>
        <w:pStyle w:val="TextBody"/>
        <w:bidi w:val="0"/>
        <w:spacing w:lineRule="auto" w:line="240" w:before="0" w:after="180"/>
        <w:ind w:left="0" w:right="0" w:hanging="360"/>
        <w:jc w:val="left"/>
        <w:rPr/>
      </w:pPr>
      <w:r>
        <w:rPr>
          <w:color w:val="000000"/>
        </w:rPr>
        <w:t>▪</w:t>
      </w:r>
      <w:r>
        <w:rPr>
          <w:rFonts w:ascii="Times New Roman;serif" w:hAnsi="Times New Roman;serif"/>
          <w:b w:val="false"/>
          <w:color w:val="000000"/>
          <w:sz w:val="20"/>
        </w:rPr>
        <w:t>meeting independently with our internal auditing staff, if any, and independent registered public accounting firm and management;</w:t>
      </w:r>
    </w:p>
    <w:p>
      <w:pPr>
        <w:pStyle w:val="TextBody"/>
        <w:bidi w:val="0"/>
        <w:spacing w:lineRule="auto" w:line="240" w:before="0" w:after="180"/>
        <w:ind w:left="0" w:right="0" w:hanging="360"/>
        <w:jc w:val="left"/>
        <w:rPr/>
      </w:pPr>
      <w:r>
        <w:rPr>
          <w:color w:val="000000"/>
        </w:rPr>
        <w:t>▪</w:t>
      </w:r>
      <w:r>
        <w:rPr>
          <w:rFonts w:ascii="Times New Roman;serif" w:hAnsi="Times New Roman;serif"/>
          <w:b w:val="false"/>
          <w:color w:val="000000"/>
          <w:sz w:val="20"/>
        </w:rPr>
        <w:t>reviewing and approving or ratifying related-person transactions; and</w:t>
      </w:r>
    </w:p>
    <w:p>
      <w:pPr>
        <w:pStyle w:val="TextBody"/>
        <w:bidi w:val="0"/>
        <w:spacing w:lineRule="auto" w:line="240" w:before="0" w:after="180"/>
        <w:ind w:left="0" w:right="0" w:hanging="360"/>
        <w:jc w:val="left"/>
        <w:rPr/>
      </w:pPr>
      <w:r>
        <w:rPr>
          <w:color w:val="000000"/>
        </w:rPr>
        <w:t>▪</w:t>
      </w:r>
      <w:r>
        <w:rPr>
          <w:rFonts w:ascii="Times New Roman;serif" w:hAnsi="Times New Roman;serif"/>
          <w:b w:val="false"/>
          <w:color w:val="000000"/>
          <w:sz w:val="20"/>
        </w:rPr>
        <w:t>preparing the audit committee report required by SEC rules.</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members of our Audit Committee are Glenn Tongue, Van Simmons and Matthew Turner, each of whom meets the requirements for financial literacy under the Nasdaq rules. Glenn Tongue serves as the chairman of the committee. We undertook a review of the independence of the directors named above and have determined that each of the members of the Audit Committee meets the independence requirements of Rule 10A-3 under the Securities Exchange Act of 1934, as amended (the "Exchange Act"), and the applicable Nasdaq rules, and that Glenn Tongue is an “audit committee financial expert” as defined in Item 407(d)(5) of Regulation S-K and has the requisite financial sophistication as defined under the applicable Nasdaq rules.</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Audit Committee met four times during the fiscal year ended December 31, 2025.</w:t>
      </w:r>
    </w:p>
    <w:p>
      <w:pPr>
        <w:pStyle w:val="TextBody"/>
        <w:bidi w:val="0"/>
        <w:spacing w:before="0" w:after="0"/>
        <w:ind w:left="0" w:right="0" w:firstLine="351"/>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Our Board adopted a written charter for the Audit Committee, which is available on our website.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60" w:type="dxa"/>
        <w:jc w:val="left"/>
        <w:tblInd w:w="0" w:type="dxa"/>
        <w:tblLayout w:type="fixed"/>
        <w:tblCellMar>
          <w:top w:w="28" w:type="dxa"/>
          <w:left w:w="28" w:type="dxa"/>
          <w:bottom w:w="28" w:type="dxa"/>
          <w:right w:w="28" w:type="dxa"/>
        </w:tblCellMar>
      </w:tblPr>
      <w:tblGrid>
        <w:gridCol w:w="979"/>
        <w:gridCol w:w="861"/>
        <w:gridCol w:w="1220"/>
      </w:tblGrid>
      <w:tr>
        <w:trPr/>
        <w:tc>
          <w:tcPr>
            <w:tcW w:w="97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COMPENSATION COMMITTEE</w:t>
            </w:r>
          </w:p>
        </w:tc>
      </w:tr>
    </w:tbl>
    <w:p>
      <w:pPr>
        <w:pStyle w:val="TextBody"/>
        <w:bidi w:val="0"/>
        <w:spacing w:before="0" w:after="0"/>
        <w:jc w:val="left"/>
        <w:rPr/>
      </w:pPr>
      <w:r>
        <w:rPr/>
      </w:r>
    </w:p>
    <w:p>
      <w:pPr>
        <w:pStyle w:val="TextBody"/>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The Compensation Committee’s responsibilities include:</w:t>
      </w:r>
    </w:p>
    <w:p>
      <w:pPr>
        <w:pStyle w:val="TextBody"/>
        <w:bidi w:val="0"/>
        <w:spacing w:lineRule="auto" w:line="240" w:before="0" w:after="180"/>
        <w:ind w:left="0" w:right="0" w:hanging="360"/>
        <w:jc w:val="left"/>
        <w:rPr/>
      </w:pPr>
      <w:r>
        <w:rPr>
          <w:color w:val="000000"/>
        </w:rPr>
        <w:t>▪</w:t>
      </w:r>
      <w:r>
        <w:rPr>
          <w:rFonts w:ascii="Times New Roman;serif" w:hAnsi="Times New Roman;serif"/>
          <w:b w:val="false"/>
          <w:color w:val="000000"/>
          <w:sz w:val="20"/>
        </w:rPr>
        <w:t>reviewing and approving the compensation of our Chief Executive Officer and other executive officers and, in the case of our Chief Executive Officer, recommending for approval by the Board the compensation of our Chief Executive Officer;</w:t>
      </w:r>
    </w:p>
    <w:p>
      <w:pPr>
        <w:pStyle w:val="TextBody"/>
        <w:bidi w:val="0"/>
        <w:spacing w:lineRule="auto" w:line="240" w:before="0" w:after="180"/>
        <w:ind w:left="0" w:right="0" w:hanging="360"/>
        <w:jc w:val="left"/>
        <w:rPr/>
      </w:pPr>
      <w:r>
        <w:rPr>
          <w:color w:val="000000"/>
        </w:rPr>
        <w:t>▪</w:t>
      </w:r>
      <w:r>
        <w:rPr>
          <w:rFonts w:ascii="Times New Roman;serif" w:hAnsi="Times New Roman;serif"/>
          <w:b w:val="false"/>
          <w:color w:val="000000"/>
          <w:sz w:val="20"/>
        </w:rPr>
        <w:t>developing and administering our equity incentive plans;</w:t>
      </w:r>
    </w:p>
    <w:p>
      <w:pPr>
        <w:pStyle w:val="TextBody"/>
        <w:bidi w:val="0"/>
        <w:spacing w:lineRule="auto" w:line="240" w:before="0" w:after="180"/>
        <w:ind w:left="0" w:right="0" w:hanging="360"/>
        <w:jc w:val="left"/>
        <w:rPr/>
      </w:pPr>
      <w:r>
        <w:rPr>
          <w:color w:val="000000"/>
        </w:rPr>
        <w:t>▪</w:t>
      </w:r>
      <w:r>
        <w:rPr>
          <w:rFonts w:ascii="Times New Roman;serif" w:hAnsi="Times New Roman;serif"/>
          <w:b w:val="false"/>
          <w:color w:val="000000"/>
          <w:sz w:val="20"/>
        </w:rPr>
        <w:t>reviewing and making recommendations to our Board with respect to director compensation;</w:t>
      </w:r>
    </w:p>
    <w:p>
      <w:pPr>
        <w:pStyle w:val="TextBody"/>
        <w:bidi w:val="0"/>
        <w:spacing w:lineRule="auto" w:line="240" w:before="0" w:after="180"/>
        <w:ind w:left="0" w:right="0" w:hanging="360"/>
        <w:jc w:val="left"/>
        <w:rPr/>
      </w:pPr>
      <w:r>
        <w:rPr>
          <w:color w:val="000000"/>
        </w:rPr>
        <w:t>▪</w:t>
      </w:r>
      <w:r>
        <w:rPr>
          <w:rFonts w:ascii="Times New Roman;serif" w:hAnsi="Times New Roman;serif"/>
          <w:b w:val="false"/>
          <w:color w:val="000000"/>
          <w:sz w:val="20"/>
        </w:rPr>
        <w:t>reviewing and discussing annually with management, and recommending to our Board, our “Compensation Discussion and Analysis,” to the extent required; and</w:t>
      </w:r>
    </w:p>
    <w:p>
      <w:pPr>
        <w:pStyle w:val="TextBody"/>
        <w:bidi w:val="0"/>
        <w:spacing w:lineRule="auto" w:line="240" w:before="0" w:after="180"/>
        <w:ind w:left="0" w:right="0" w:hanging="360"/>
        <w:jc w:val="left"/>
        <w:rPr/>
      </w:pPr>
      <w:r>
        <w:rPr>
          <w:color w:val="000000"/>
        </w:rPr>
        <w:t>▪</w:t>
      </w:r>
      <w:r>
        <w:rPr>
          <w:rFonts w:ascii="Times New Roman;serif" w:hAnsi="Times New Roman;serif"/>
          <w:b w:val="false"/>
          <w:color w:val="000000"/>
          <w:sz w:val="20"/>
        </w:rPr>
        <w:t>preparing the annual compensation committee report required by SEC rules, to the extent required.</w:t>
      </w:r>
    </w:p>
    <w:p>
      <w:pPr>
        <w:pStyle w:val="TextBody"/>
        <w:bidi w:val="0"/>
        <w:spacing w:before="0" w:after="2"/>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7"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The members of our Compensation Committee are Glenn Tongue, Van Simmons, Matthew Smith, and Matthew Turner. Glenn Tongue serves as the chairman of the committee. We undertook a review of the independence of the directors named above and have determined that each of the members of the Compensation Committee is “independent” as defined under the applicable Nasdaq rules. We undertook a review and determined that Glenn Tongue, Van Simmons, Matthew Smith, and Matthew Turner are “non-employee directors” as defined in Rule 16b-3 promulgated under the Exchange Act.</w:t>
      </w:r>
    </w:p>
    <w:p>
      <w:pPr>
        <w:pStyle w:val="TextBody"/>
        <w:bidi w:val="0"/>
        <w:spacing w:lineRule="auto" w:line="240" w:before="0" w:after="2"/>
        <w:jc w:val="left"/>
        <w:rPr>
          <w:rFonts w:ascii="Times New Roman;serif" w:hAnsi="Times New Roman;serif"/>
          <w:b w:val="false"/>
          <w:color w:val="000000"/>
          <w:sz w:val="20"/>
        </w:rPr>
      </w:pPr>
      <w:r>
        <w:rPr>
          <w:rFonts w:ascii="Times New Roman;serif" w:hAnsi="Times New Roman;serif"/>
          <w:b w:val="false"/>
          <w:color w:val="000000"/>
          <w:sz w:val="20"/>
        </w:rPr>
        <w:t>The Compensation Committee met eleven times during the fiscal year ended December 31, 2025.</w:t>
      </w:r>
    </w:p>
    <w:p>
      <w:pPr>
        <w:pStyle w:val="TextBody"/>
        <w:bidi w:val="0"/>
        <w:spacing w:before="0" w:after="2"/>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Our Board adopted a written charter for the Compensation Committee, which is available on our website.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925" w:type="dxa"/>
        <w:jc w:val="left"/>
        <w:tblInd w:w="0" w:type="dxa"/>
        <w:tblLayout w:type="fixed"/>
        <w:tblCellMar>
          <w:top w:w="28" w:type="dxa"/>
          <w:left w:w="28" w:type="dxa"/>
          <w:bottom w:w="28" w:type="dxa"/>
          <w:right w:w="28" w:type="dxa"/>
        </w:tblCellMar>
      </w:tblPr>
      <w:tblGrid>
        <w:gridCol w:w="1897"/>
        <w:gridCol w:w="1667"/>
        <w:gridCol w:w="2361"/>
      </w:tblGrid>
      <w:tr>
        <w:trPr/>
        <w:tc>
          <w:tcPr>
            <w:tcW w:w="1897"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NOMINATING AND CORPORATE GOVERNANCE COMMITTEE</w:t>
            </w:r>
          </w:p>
        </w:tc>
      </w:tr>
    </w:tbl>
    <w:p>
      <w:pPr>
        <w:pStyle w:val="TextBody"/>
        <w:bidi w:val="0"/>
        <w:spacing w:before="0" w:after="0"/>
        <w:jc w:val="left"/>
        <w:rPr/>
      </w:pPr>
      <w:r>
        <w:rPr/>
      </w:r>
    </w:p>
    <w:p>
      <w:pPr>
        <w:pStyle w:val="TextBody"/>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The Nominating and Corporate Governance Committee’s responsibilities include:</w:t>
      </w:r>
    </w:p>
    <w:p>
      <w:pPr>
        <w:pStyle w:val="TextBody"/>
        <w:bidi w:val="0"/>
        <w:spacing w:lineRule="auto" w:line="240" w:before="0" w:after="180"/>
        <w:ind w:left="0" w:right="0" w:hanging="360"/>
        <w:jc w:val="left"/>
        <w:rPr/>
      </w:pPr>
      <w:r>
        <w:rPr>
          <w:color w:val="000000"/>
        </w:rPr>
        <w:t>•</w:t>
      </w:r>
      <w:r>
        <w:rPr>
          <w:rFonts w:ascii="Times New Roman;serif" w:hAnsi="Times New Roman;serif"/>
          <w:b w:val="false"/>
          <w:color w:val="000000"/>
          <w:sz w:val="20"/>
        </w:rPr>
        <w:t>identifying individuals qualified to become members of our Board;</w:t>
      </w:r>
    </w:p>
    <w:p>
      <w:pPr>
        <w:pStyle w:val="TextBody"/>
        <w:bidi w:val="0"/>
        <w:spacing w:lineRule="auto" w:line="240" w:before="0" w:after="180"/>
        <w:ind w:left="0" w:right="0" w:hanging="360"/>
        <w:jc w:val="left"/>
        <w:rPr/>
      </w:pPr>
      <w:r>
        <w:rPr>
          <w:color w:val="000000"/>
        </w:rPr>
        <w:t>•</w:t>
      </w:r>
      <w:r>
        <w:rPr>
          <w:rFonts w:ascii="Times New Roman;serif" w:hAnsi="Times New Roman;serif"/>
          <w:b w:val="false"/>
          <w:color w:val="000000"/>
          <w:sz w:val="20"/>
        </w:rPr>
        <w:t>recommending to our Board the persons to be nominated for election as directors and to each Board committee;</w:t>
      </w:r>
    </w:p>
    <w:p>
      <w:pPr>
        <w:pStyle w:val="TextBody"/>
        <w:bidi w:val="0"/>
        <w:spacing w:lineRule="auto" w:line="240" w:before="0" w:after="180"/>
        <w:ind w:left="0" w:right="0" w:hanging="360"/>
        <w:jc w:val="left"/>
        <w:rPr/>
      </w:pPr>
      <w:r>
        <w:rPr>
          <w:color w:val="000000"/>
        </w:rPr>
        <w:t>•</w:t>
      </w:r>
      <w:r>
        <w:rPr>
          <w:rFonts w:ascii="Times New Roman;serif" w:hAnsi="Times New Roman;serif"/>
          <w:b w:val="false"/>
          <w:color w:val="000000"/>
          <w:sz w:val="20"/>
        </w:rPr>
        <w:t>reviewing and recommending to our Board’s corporate governance principles, procedures, and practices, and reviewing and recommending to our Board proposed changes to our corporate governance principles, procedures, and practices from time to time; and</w:t>
      </w:r>
    </w:p>
    <w:p>
      <w:pPr>
        <w:pStyle w:val="TextBody"/>
        <w:bidi w:val="0"/>
        <w:spacing w:lineRule="auto" w:line="240" w:before="0" w:after="180"/>
        <w:ind w:left="0" w:right="0" w:hanging="360"/>
        <w:jc w:val="left"/>
        <w:rPr/>
      </w:pPr>
      <w:r>
        <w:rPr>
          <w:color w:val="000000"/>
        </w:rPr>
        <w:t>•</w:t>
      </w:r>
      <w:r>
        <w:rPr>
          <w:rFonts w:ascii="Times New Roman;serif" w:hAnsi="Times New Roman;serif"/>
          <w:b w:val="false"/>
          <w:color w:val="000000"/>
          <w:sz w:val="20"/>
        </w:rPr>
        <w:t>reviewing and making recommendations to our Board with respect to the composition, size and needs of our Board.</w:t>
      </w:r>
    </w:p>
    <w:p>
      <w:pPr>
        <w:pStyle w:val="TextBody"/>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The members of our Nominating and Corporate Governance Committee are Matthew Turner, Van Simmons, and Glenn Tongue. Matthew Turner serves as the chairman of the committee. We undertook a review of the independence of the directors named above and have determined that each of the members of the Nominating and Corporate Governance Committee is “independent” as defined under the applicable Nasdaq rules.</w:t>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Nominating and Corporate Governance Committee met four times during the fiscal year ended December 31, 2025.</w:t>
      </w:r>
    </w:p>
    <w:p>
      <w:pPr>
        <w:pStyle w:val="TextBody"/>
        <w:bidi w:val="0"/>
        <w:spacing w:before="0" w:after="2"/>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Our Board adopted a written charter for the Nominating and Corporate Governance Committee, which is available on our website.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955" w:type="dxa"/>
        <w:jc w:val="left"/>
        <w:tblInd w:w="0" w:type="dxa"/>
        <w:tblLayout w:type="fixed"/>
        <w:tblCellMar>
          <w:top w:w="28" w:type="dxa"/>
          <w:left w:w="28" w:type="dxa"/>
          <w:bottom w:w="28" w:type="dxa"/>
          <w:right w:w="28" w:type="dxa"/>
        </w:tblCellMar>
      </w:tblPr>
      <w:tblGrid>
        <w:gridCol w:w="946"/>
        <w:gridCol w:w="831"/>
        <w:gridCol w:w="1178"/>
      </w:tblGrid>
      <w:tr>
        <w:trPr/>
        <w:tc>
          <w:tcPr>
            <w:tcW w:w="9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36"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EXECUTIVE COMPENSATION</w:t>
            </w:r>
          </w:p>
        </w:tc>
      </w:tr>
    </w:tbl>
    <w:p>
      <w:pPr>
        <w:pStyle w:val="TextBody"/>
        <w:bidi w:val="0"/>
        <w:spacing w:before="0" w:after="2"/>
        <w:jc w:val="left"/>
        <w:rPr/>
      </w:pPr>
      <w:r>
        <w:rPr/>
      </w:r>
    </w:p>
    <w:p>
      <w:pPr>
        <w:pStyle w:val="TextBody"/>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MarketWise, Inc. is a leading multi-brand digital subscription services platform that provides premium financial research, software, education, and tools for self-directed investors. With more than 25 years of operating history, the Company is comprised of 8 primary customer-facing brands offering more than 100 products and serving a community of more than 2 million active free and paid subscribers. MarketWise’s products are a trusted source for high-value financial research, education, actionable investment ideas, and investment software. The Company is 100% digital and direct-to-customer, offering its research across a variety of platforms, including mobile, desktop, and tablet devices. MarketWise helps millions of self-directed investors around the world make more informed decisions by delivering independent, insightful, and in-depth content together with powerful analytical tools.</w:t>
      </w:r>
    </w:p>
    <w:p>
      <w:pPr>
        <w:pStyle w:val="TextBody"/>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2025 Performance Highlights</w:t>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FY 2025 was a positive inflection point for the Company following the challenging periods of post-pandemic normalization in 2021 through 2023, and the significant restructuring and subscriber optimization efforts of 2024.</w:t>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In 2025, following our strategic reset process, we redoubled our commitment to serving self-directed investors by delivering high-quality, independent research and software tools with a focus on acquiring higher quality customers, increasing subscriber retention efforts, and driving increased life-time subscriber value. We also advanced our product portfolio through cross-selling and targeted upgrades, higher pricing on certain offerings, the integration of enhanced analytical capabilities, and an overall improvement in user experience. Underpinning each of these priorities was a vigilant focus on efficiency and cost reduction. We will continue to focus on cost management in an aggressive yet strategic manner that can enhance margins over time without impeding growth objectives. </w:t>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these strategic initiatives, FY 2025 marked our strongest year of Billings growth since becoming a public company. Full-year Billings increased 13% year-over-year to $271.2 million, exceeding our original guidance of approximately $250 million, with fourth-quarter Billings increasing 42% year-over-year. We generated significant improvements in cash generation, with cash from operating activities reaching $46.0 million for the full year—a $68.1 million improvement compared to 2024—also beating guidance. The combination of our 2025 Billings growth of 13% and cash flow margin of 16% totaled 29%, which was a solid performance relative to many of our peers. Finally, our paid subscriber count, which had been in decline for years, began to stabilize in the second half of 2025. </w:t>
      </w:r>
    </w:p>
    <w:p>
      <w:pPr>
        <w:pStyle w:val="TextBody"/>
        <w:bidi w:val="0"/>
        <w:spacing w:before="0" w:after="2"/>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8"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committed to a prudent capital allocation framework and being excellent stewards of our shareholders capital. During 2025, we returned substantial capital to shareholders, paying total dividends of $1.90 per Class A share (representing an approximate 13% cash yield calculated using our closing stock price of $14.56 on December 31, 2025), and repurchasing 209,726 shares for approximately $3.4 million in the aggregate under our share repurchase program. </w:t>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Finally, the financial results above also translated to a meaningful increase in share price and total shareholder return (TSR), delivering a 51% total return to shareholders in FY 2025 as illustrated in our Pay versus Performance table below.</w:t>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During 2025, as a result of our disciplined execution and commitment to our customers, we delivered measurable progress toward sustainable, high-margin growth and enhanced shareholder returns. These results are reflected in the performance of our executive compensation programs. Amidst these dynamics, we continue to evolve our compensation programs to attract and retain an executive and leadership team that will reinforce our commitment to delivering products that serve our subscribers and increase value for our shareholders.</w:t>
      </w:r>
    </w:p>
    <w:p>
      <w:pPr>
        <w:pStyle w:val="TextBody"/>
        <w:bidi w:val="0"/>
        <w:spacing w:before="225"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524" w:type="dxa"/>
        <w:jc w:val="left"/>
        <w:tblInd w:w="0" w:type="dxa"/>
        <w:tblLayout w:type="fixed"/>
        <w:tblCellMar>
          <w:top w:w="28" w:type="dxa"/>
          <w:left w:w="28" w:type="dxa"/>
          <w:bottom w:w="28" w:type="dxa"/>
          <w:right w:w="28" w:type="dxa"/>
        </w:tblCellMar>
      </w:tblPr>
      <w:tblGrid>
        <w:gridCol w:w="1128"/>
        <w:gridCol w:w="991"/>
        <w:gridCol w:w="1405"/>
      </w:tblGrid>
      <w:tr>
        <w:trPr/>
        <w:tc>
          <w:tcPr>
            <w:tcW w:w="112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SUMMARY COMPENSATION TABLE</w:t>
            </w:r>
          </w:p>
        </w:tc>
      </w:tr>
    </w:tbl>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2025, our “named executive officers” and their positions were as follows: </w:t>
      </w:r>
    </w:p>
    <w:p>
      <w:pPr>
        <w:pStyle w:val="TextBody"/>
        <w:bidi w:val="0"/>
        <w:spacing w:before="0" w:after="2"/>
        <w:jc w:val="left"/>
        <w:rPr/>
      </w:pPr>
      <w:r>
        <w:rPr/>
      </w:r>
    </w:p>
    <w:p>
      <w:pPr>
        <w:pStyle w:val="TextBody"/>
        <w:bidi w:val="0"/>
        <w:spacing w:lineRule="auto" w:line="240" w:before="0" w:after="2"/>
        <w:ind w:left="0" w:right="0" w:hanging="360"/>
        <w:jc w:val="left"/>
        <w:rPr/>
      </w:pPr>
      <w:r>
        <w:rPr>
          <w:color w:val="000000"/>
        </w:rPr>
        <w:t>▪</w:t>
      </w:r>
      <w:r>
        <w:rPr>
          <w:rFonts w:ascii="Times New Roman;serif" w:hAnsi="Times New Roman;serif"/>
          <w:b w:val="false"/>
          <w:color w:val="000000"/>
          <w:sz w:val="20"/>
        </w:rPr>
        <w:t>Dr. David Eifrig, Chief Executive Officer</w:t>
      </w:r>
    </w:p>
    <w:p>
      <w:pPr>
        <w:pStyle w:val="TextBody"/>
        <w:bidi w:val="0"/>
        <w:spacing w:before="0" w:after="2"/>
        <w:jc w:val="left"/>
        <w:rPr/>
      </w:pPr>
      <w:r>
        <w:rPr/>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Erik Mickels, Chief Operating and Financial Officer; and</w:t>
      </w:r>
    </w:p>
    <w:p>
      <w:pPr>
        <w:pStyle w:val="TextBody"/>
        <w:bidi w:val="0"/>
        <w:spacing w:before="0" w:after="2"/>
        <w:jc w:val="left"/>
        <w:rPr/>
      </w:pPr>
      <w:r>
        <w:rPr/>
      </w:r>
    </w:p>
    <w:p>
      <w:pPr>
        <w:pStyle w:val="TextBody"/>
        <w:bidi w:val="0"/>
        <w:spacing w:lineRule="auto" w:line="240" w:before="0" w:after="2"/>
        <w:ind w:left="0" w:right="0" w:hanging="360"/>
        <w:jc w:val="left"/>
        <w:rPr/>
      </w:pPr>
      <w:r>
        <w:rPr>
          <w:color w:val="000000"/>
        </w:rPr>
        <w:t>▪</w:t>
      </w:r>
      <w:r>
        <w:rPr>
          <w:rFonts w:ascii="Times New Roman;serif" w:hAnsi="Times New Roman;serif"/>
          <w:b w:val="false"/>
          <w:color w:val="000000"/>
          <w:sz w:val="20"/>
        </w:rPr>
        <w:t>Marco Galsim, Chief Information Officer</w:t>
      </w:r>
    </w:p>
    <w:p>
      <w:pPr>
        <w:pStyle w:val="TextBody"/>
        <w:bidi w:val="0"/>
        <w:spacing w:before="0" w:after="2"/>
        <w:jc w:val="left"/>
        <w:rPr/>
      </w:pPr>
      <w:r>
        <w:rPr/>
      </w:r>
    </w:p>
    <w:p>
      <w:pPr>
        <w:pStyle w:val="TextBody"/>
        <w:bidi w:val="0"/>
        <w:spacing w:lineRule="auto" w:line="240" w:before="0" w:after="2"/>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concerning the compensation of our named executive officers during the fiscal years ended December 31, 2025 and 2024:</w:t>
      </w:r>
    </w:p>
    <w:tbl>
      <w:tblPr>
        <w:tblW w:w="15061" w:type="dxa"/>
        <w:jc w:val="left"/>
        <w:tblInd w:w="0" w:type="dxa"/>
        <w:tblLayout w:type="fixed"/>
        <w:tblCellMar>
          <w:top w:w="28" w:type="dxa"/>
          <w:left w:w="28" w:type="dxa"/>
          <w:bottom w:w="28" w:type="dxa"/>
          <w:right w:w="28" w:type="dxa"/>
        </w:tblCellMar>
      </w:tblPr>
      <w:tblGrid>
        <w:gridCol w:w="564"/>
        <w:gridCol w:w="258"/>
        <w:gridCol w:w="259"/>
        <w:gridCol w:w="109"/>
        <w:gridCol w:w="109"/>
        <w:gridCol w:w="109"/>
        <w:gridCol w:w="174"/>
        <w:gridCol w:w="174"/>
        <w:gridCol w:w="178"/>
        <w:gridCol w:w="109"/>
        <w:gridCol w:w="109"/>
        <w:gridCol w:w="109"/>
        <w:gridCol w:w="488"/>
        <w:gridCol w:w="488"/>
        <w:gridCol w:w="201"/>
        <w:gridCol w:w="109"/>
        <w:gridCol w:w="109"/>
        <w:gridCol w:w="109"/>
        <w:gridCol w:w="413"/>
        <w:gridCol w:w="413"/>
        <w:gridCol w:w="109"/>
        <w:gridCol w:w="109"/>
        <w:gridCol w:w="109"/>
        <w:gridCol w:w="109"/>
        <w:gridCol w:w="109"/>
        <w:gridCol w:w="109"/>
        <w:gridCol w:w="109"/>
        <w:gridCol w:w="489"/>
        <w:gridCol w:w="487"/>
        <w:gridCol w:w="241"/>
        <w:gridCol w:w="109"/>
        <w:gridCol w:w="109"/>
        <w:gridCol w:w="109"/>
        <w:gridCol w:w="109"/>
        <w:gridCol w:w="109"/>
        <w:gridCol w:w="109"/>
        <w:gridCol w:w="240"/>
        <w:gridCol w:w="240"/>
        <w:gridCol w:w="241"/>
        <w:gridCol w:w="109"/>
        <w:gridCol w:w="109"/>
        <w:gridCol w:w="109"/>
        <w:gridCol w:w="562"/>
        <w:gridCol w:w="414"/>
        <w:gridCol w:w="205"/>
        <w:gridCol w:w="205"/>
        <w:gridCol w:w="205"/>
        <w:gridCol w:w="206"/>
        <w:gridCol w:w="109"/>
        <w:gridCol w:w="109"/>
        <w:gridCol w:w="109"/>
        <w:gridCol w:w="410"/>
        <w:gridCol w:w="410"/>
        <w:gridCol w:w="411"/>
        <w:gridCol w:w="109"/>
        <w:gridCol w:w="109"/>
        <w:gridCol w:w="109"/>
        <w:gridCol w:w="412"/>
        <w:gridCol w:w="414"/>
        <w:gridCol w:w="205"/>
        <w:gridCol w:w="205"/>
        <w:gridCol w:w="205"/>
        <w:gridCol w:w="206"/>
        <w:gridCol w:w="327"/>
        <w:gridCol w:w="976"/>
        <w:gridCol w:w="156"/>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Salary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Bonus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Stock Awards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Option Awards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Non-Equity Incentive Plan Compensation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Nonqualified Deferred Compensation Earnings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All Other Compensation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David Eifrig, 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909,677 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994,133 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1,914,310 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289,124 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1,799,474 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Erik Mickels, Chief Operating and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3,010,733 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1,466,250 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233,121 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3,199,636 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Marco Galsim, Chief Information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525,000 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681,733 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584,749 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1,201,232 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40" w:before="0" w:after="2"/>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(1)Amount includes Dr. Eifrig's incentive bonus of $994,133 as further described in “2025 and 2024 Bonuses &amp; Non-Equity Incentive Plan Compensation."</w:t>
      </w:r>
    </w:p>
    <w:p>
      <w:pPr>
        <w:pStyle w:val="TextBody"/>
        <w:bidi w:val="0"/>
        <w:spacing w:lineRule="auto" w:line="240" w:before="0" w:after="2"/>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(2)Amount reflects the full grant-date fair value of RSUs granted during 2024 in accordance with ASC Topic 718, rather than the amounts paid to or realized by the named individual. Assumptions used in calculating these amounts are described in Note 10 to our audited financial statements included in our Annual Report on Form 10-K for the year ended December 31, 2025.</w:t>
      </w:r>
    </w:p>
    <w:p>
      <w:pPr>
        <w:pStyle w:val="TextBody"/>
        <w:bidi w:val="0"/>
        <w:spacing w:lineRule="auto" w:line="300" w:before="0" w:after="2"/>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(3)Dr. Eifrig earned variable compensation during 2024 related to his role as an editor at Stansberry &amp; Associates Investment Research, LLC before his appointment as Interim Chief Executive Officer of the Company on August 10, 2024.</w:t>
      </w:r>
    </w:p>
    <w:p>
      <w:pPr>
        <w:pStyle w:val="TextBody"/>
        <w:bidi w:val="0"/>
        <w:spacing w:lineRule="auto" w:line="240" w:before="0" w:after="2"/>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(4)Amount reflects Mr. Mickels's longevity bonus totaling $233 as further described in “2025 and 2024 Bonuses &amp; Non-Equity Incentive Plan Compensation".</w:t>
      </w:r>
    </w:p>
    <w:p>
      <w:pPr>
        <w:pStyle w:val="TextBody"/>
        <w:bidi w:val="0"/>
        <w:spacing w:before="0" w:after="2"/>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9"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40" w:before="0" w:after="2"/>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(5)Amount reflects Mr. Mickels's incentive bonus of $2,000,000. Of this amount, $1,250,000 was paid in cash and the remainder was substituted for an award of 43,911 restricted stock units that will vest over 4 years subject to Mr. Mickels's continued employment, as further described in “2025 and 2024 Bonuses &amp; Non-Equity Incentive Plan Compensation". </w:t>
      </w:r>
    </w:p>
    <w:p>
      <w:pPr>
        <w:pStyle w:val="TextBody"/>
        <w:bidi w:val="0"/>
        <w:spacing w:lineRule="auto" w:line="300" w:before="0" w:after="2"/>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(6)Amount includes Mr. Mickels’s cash incentive bonus and longevity bonus totaling $500,265 as further described in “2025 and 2024 Bonuses &amp; Non-Equity Incentive Plan Compensation".</w:t>
      </w:r>
    </w:p>
    <w:p>
      <w:pPr>
        <w:pStyle w:val="TextBody"/>
        <w:bidi w:val="0"/>
        <w:spacing w:lineRule="auto" w:line="240" w:before="0" w:after="2"/>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(7)Amount includes Mr. Mickels’s pro rata relocation bonus of $200,548 attributable to 2024, as further described in “2025 and 2024 Bonuses &amp; Non-Equity Incentive Plan Compensation" and Mr. Mickels's temporary housing reimbursement of $32,573.</w:t>
      </w:r>
    </w:p>
    <w:p>
      <w:pPr>
        <w:pStyle w:val="TextBody"/>
        <w:bidi w:val="0"/>
        <w:spacing w:lineRule="auto" w:line="240" w:before="0" w:after="2"/>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(8)Amount includes Mr. Galsim’s discretionary bonus of $145,000 attributable to 2025, as further described in “2025 and 2024 Bonuses &amp; Non-Equity Incentive Plan Compensation" and standard employee longevity award of $1,233 attributable to 2025.</w:t>
      </w:r>
    </w:p>
    <w:p>
      <w:pPr>
        <w:pStyle w:val="TextBody"/>
        <w:bidi w:val="0"/>
        <w:spacing w:lineRule="auto" w:line="240" w:before="0" w:after="2"/>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(9)Amount includes Mr. Galsim’s discretionary bonus of $130,000 attributable to 2024, as further described in “2025 and 2024 Bonuses &amp; Non-Equity Incentive Plan Compensation" and standard employee longevity award of $1,133 attributable to 2024.</w:t>
      </w:r>
    </w:p>
    <w:p>
      <w:pPr>
        <w:pStyle w:val="TextBody"/>
        <w:bidi w:val="0"/>
        <w:spacing w:lineRule="auto" w:line="300" w:before="0" w:after="2"/>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(10)Amount represents 401(k) company matching contribution.</w:t>
      </w:r>
    </w:p>
    <w:p>
      <w:pPr>
        <w:pStyle w:val="TextBody"/>
        <w:bidi w:val="0"/>
        <w:spacing w:lineRule="auto" w:line="300" w:before="0" w:after="2"/>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(11)Amount represents 401(k) company matching contribution that was inadvertently omitted from the Summary Compensation Table in the Definitive Proxy Statement on Schedule 14A filed in 2024.</w:t>
      </w:r>
    </w:p>
    <w:p>
      <w:pPr>
        <w:pStyle w:val="TextBody"/>
        <w:bidi w:val="0"/>
        <w:spacing w:before="0" w:after="2"/>
        <w:jc w:val="left"/>
        <w:rPr/>
      </w:pPr>
      <w:r>
        <w:rPr/>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 xml:space="preserve">2025 and 2024 Salaries </w:t>
      </w:r>
    </w:p>
    <w:p>
      <w:pPr>
        <w:pStyle w:val="TextBody"/>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The named executive officers receive a base salary to compensate them for services rendered to us. The base salary payable to each named executive officer is intended to provide a fixed component of compensation reflecting each executive’s skill set, experience, role, and responsibilities.</w:t>
      </w:r>
    </w:p>
    <w:p>
      <w:pPr>
        <w:pStyle w:val="TextBody"/>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10, 2024, the Board appointed Dr. Eifrig to serve as Interim Chief Executive Officer. Dr. Eifrig's annual base salary was $1,000,000 immediately before he was appointed Interim Chief Executive Officer, and Dr. Eifrig continued to receive an annual base salary of $1,000,000 after becoming Interim Chief Executive Officer. </w:t>
      </w:r>
    </w:p>
    <w:p>
      <w:pPr>
        <w:pStyle w:val="TextBody"/>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May 23, 2025, the Board appointed Dr. Eifrig to serve as Chief Executive Officer. Dr. Eifrig’s annual base salary is $850,000, with guaranteed minimum base salary payments of $1.275 million in the event of termination without Cause (as defined in the Severance Plan) prior to the 18-month anniversary of his appointment. </w:t>
      </w:r>
    </w:p>
    <w:p>
      <w:pPr>
        <w:pStyle w:val="TextBody"/>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May 13, 2024, Mr. Mickels's annual base salary increased from $500,000 to $1,000,000, effective retroactively as of January 1, 2024. </w:t>
      </w:r>
    </w:p>
    <w:p>
      <w:pPr>
        <w:pStyle w:val="TextBody"/>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On July 31, 2025, the Board appointed Erik Mickels, then Chief Financial Officer of the Company, to the role of Chief Operating and Financial Officer. There were no changes to Mr. Mickels’s compensation in connection with his appointment as Chief Operating and Financial Officer of the Company.</w:t>
      </w:r>
    </w:p>
    <w:p>
      <w:pPr>
        <w:pStyle w:val="TextBody"/>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May 13, 2024, Mr. Galsim's annual base salary increased from $425,000 to $525,000, effective as of July 1, 2024. </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 xml:space="preserve">2025 and 2024 Bonuses and Non-Equity Incentive Plan Compensation </w:t>
      </w:r>
    </w:p>
    <w:p>
      <w:pPr>
        <w:pStyle w:val="TextBody"/>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In 2025 and 2024, the named executive officers were all eligible to receive annual executive bonus payments and/or non-equity incentive plan compensation from us. These payments were determined by us based on our overall performance for the year and/or each individual’s performance. Compensation actions taken in 2025 reflected both the Company's regular annual compensation program and certain leadership-transition and role-change decisions. In particular, our Board considered Dr. Eifrig's appointment as CEO, Mr. Mickels's expanded responsibilities, and the Company's evolving operating needs in determining certain 2025 cash and equity compensation outcomes.</w:t>
      </w:r>
    </w:p>
    <w:p>
      <w:pPr>
        <w:pStyle w:val="TextBody"/>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Dr. Eifrig earned non-equity incentive plan compensation of $994,133 based on the cash net income key performance metric criteria established by the Company for fiscal year 2025, as set forth in his employment agreement and further described in "Employment Agreements" under "Executive Compensation Arrangements". Dr. Eifrig earned non-equity incentive plan compensation totaling $289,124 during 2024 related to his role as an editor at Stansberry &amp; Associates Investment Research, LLC.</w:t>
      </w:r>
    </w:p>
    <w:p>
      <w:pPr>
        <w:pStyle w:val="TextBody"/>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Mr. Mickels earned non-equity incentive plan compensation of $2,000,000 as the Company's cash net income exceeded the cash net income performance metric criteria established by the Company for fiscal year 2025, the structure of which is further described in "Employment Agreements" under "Executive Compensation Arrangements." Of this amount, $1,250,000 was paid in cash and the remainder was substituted for an award of 43,911 restricted stock units that will vest over 4 years subject to Mr. Mickels's continued employment, which RSU award was approved at the discretion of the Compensation Committee on January 23, 2026. Mr. Mickels also received a longevity bonus of $233 for 2025, and a cash incentive bonus of $500,000, a longevity bonus of $265, and a relocation bonus of $200,548 for 2024.</w:t>
      </w:r>
    </w:p>
    <w:p>
      <w:pPr>
        <w:pStyle w:val="TextBody"/>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Mr. Galsim received a discretionary executive bonus of $145,000 and a longevity bonus of $1,233 for 2025. He received a discretionary executive bonus of $130,000 and a longevity bonus of $1,133 for 2024.</w:t>
      </w:r>
    </w:p>
    <w:p>
      <w:pPr>
        <w:pStyle w:val="TextBody"/>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The annual bonuses awarded to each named executive officer for 2025 are set forth above in the “Summary Compensation Table” in the columns entitled “Bonus” and “Non-Equity Incentive Plan Compensation.”</w:t>
      </w:r>
    </w:p>
    <w:p>
      <w:pPr>
        <w:pStyle w:val="TextBody"/>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Equity Compensation</w:t>
      </w:r>
    </w:p>
    <w:p>
      <w:pPr>
        <w:pStyle w:val="TextBody"/>
        <w:bidi w:val="0"/>
        <w:spacing w:before="0" w:after="2"/>
        <w:jc w:val="left"/>
        <w:rPr/>
      </w:pPr>
      <w:r>
        <w:rPr/>
      </w:r>
    </w:p>
    <w:p>
      <w:pPr>
        <w:pStyle w:val="TextBody"/>
        <w:bidi w:val="0"/>
        <w:spacing w:lineRule="auto" w:line="240" w:before="0" w:after="2"/>
        <w:jc w:val="left"/>
        <w:rPr>
          <w:rFonts w:ascii="Times New Roman;serif" w:hAnsi="Times New Roman;serif"/>
          <w:b w:val="false"/>
          <w:color w:val="000000"/>
          <w:sz w:val="20"/>
        </w:rPr>
      </w:pPr>
      <w:r>
        <w:rPr>
          <w:rFonts w:ascii="Times New Roman;serif" w:hAnsi="Times New Roman;serif"/>
          <w:b w:val="false"/>
          <w:color w:val="000000"/>
          <w:sz w:val="20"/>
        </w:rPr>
        <w:t>We can award equity incentive compensation to our employees, consultants and non-employee directors pursuant to the MarketWise, Inc. 2021 Plan in the form of stock options, which may be either incentive stock options or non-qualified stock options, stock appreciation rights, restricted stock, restricted stock units and other stock or cash-based awards. We grant RSUs to provide a stable, retentive form of equity that directly aligns our executives’ interests with those of our stockholders through long</w:t>
        <w:noBreakHyphen/>
        <w:t>term share ownership, regardless of short</w:t>
        <w:noBreakHyphen/>
        <w:t>term stock price volatility. We do not grant RSUs every year; instead, the Compensation Committee uses them selectively in years when it believes additional emphasis on executive retention and long</w:t>
        <w:noBreakHyphen/>
        <w:t>term stock ownership is warranted.</w:t>
      </w:r>
    </w:p>
    <w:p>
      <w:pPr>
        <w:pStyle w:val="TextBody"/>
        <w:bidi w:val="0"/>
        <w:spacing w:before="0" w:after="2"/>
        <w:jc w:val="left"/>
        <w:rPr/>
      </w:pPr>
      <w:r>
        <w:rPr/>
      </w:r>
    </w:p>
    <w:p>
      <w:pPr>
        <w:pStyle w:val="TextBody"/>
        <w:bidi w:val="0"/>
        <w:spacing w:lineRule="auto" w:line="240" w:before="0" w:after="2"/>
        <w:jc w:val="left"/>
        <w:rPr>
          <w:rFonts w:ascii="Times New Roman;serif" w:hAnsi="Times New Roman;serif"/>
          <w:b w:val="false"/>
          <w:color w:val="000000"/>
          <w:sz w:val="20"/>
        </w:rPr>
      </w:pPr>
      <w:r>
        <w:rPr>
          <w:rFonts w:ascii="Times New Roman;serif" w:hAnsi="Times New Roman;serif"/>
          <w:b w:val="false"/>
          <w:color w:val="000000"/>
          <w:sz w:val="20"/>
        </w:rPr>
        <w:t>Dr. Eifrig received grants under the 2021 Plan of 32,894 RSUs on July 1, 2024.</w:t>
      </w:r>
    </w:p>
    <w:p>
      <w:pPr>
        <w:pStyle w:val="TextBody"/>
        <w:bidi w:val="0"/>
        <w:spacing w:before="0" w:after="2"/>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0"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2"/>
        <w:jc w:val="left"/>
        <w:rPr/>
      </w:pPr>
      <w:r>
        <w:rPr/>
      </w:r>
    </w:p>
    <w:p>
      <w:pPr>
        <w:pStyle w:val="TextBody"/>
        <w:bidi w:val="0"/>
        <w:spacing w:lineRule="auto" w:line="24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Mr. Mickels received grants under the 2021 Plan of 32,894 RSUs on July 1, 2024 and 18,750 RSUs on March 15, 2024. </w:t>
      </w:r>
    </w:p>
    <w:p>
      <w:pPr>
        <w:pStyle w:val="TextBody"/>
        <w:bidi w:val="0"/>
        <w:spacing w:before="0" w:after="2"/>
        <w:jc w:val="left"/>
        <w:rPr/>
      </w:pPr>
      <w:r>
        <w:rPr/>
      </w:r>
    </w:p>
    <w:p>
      <w:pPr>
        <w:pStyle w:val="TextBody"/>
        <w:bidi w:val="0"/>
        <w:spacing w:lineRule="auto" w:line="240" w:before="0" w:after="2"/>
        <w:jc w:val="left"/>
        <w:rPr>
          <w:rFonts w:ascii="Times New Roman;serif" w:hAnsi="Times New Roman;serif"/>
          <w:b w:val="false"/>
          <w:color w:val="000000"/>
          <w:sz w:val="20"/>
        </w:rPr>
      </w:pPr>
      <w:r>
        <w:rPr>
          <w:rFonts w:ascii="Times New Roman;serif" w:hAnsi="Times New Roman;serif"/>
          <w:b w:val="false"/>
          <w:color w:val="000000"/>
          <w:sz w:val="20"/>
        </w:rPr>
        <w:t>Mr. Galsim received grants under the 2021 Plan of 17,269 RSUs on July 1, 2024 and 5,000 RSUs on March 15, 2024.</w:t>
      </w:r>
    </w:p>
    <w:p>
      <w:pPr>
        <w:pStyle w:val="TextBody"/>
        <w:bidi w:val="0"/>
        <w:spacing w:before="0" w:after="2"/>
        <w:jc w:val="left"/>
        <w:rPr/>
      </w:pPr>
      <w:r>
        <w:rPr/>
      </w:r>
    </w:p>
    <w:p>
      <w:pPr>
        <w:pStyle w:val="TextBody"/>
        <w:bidi w:val="0"/>
        <w:spacing w:lineRule="auto" w:line="300" w:before="0" w:after="2"/>
        <w:jc w:val="left"/>
        <w:rPr/>
      </w:pPr>
      <w:r>
        <w:rPr>
          <w:rFonts w:ascii="Times New Roman;serif" w:hAnsi="Times New Roman;serif"/>
          <w:b/>
          <w:color w:val="000000"/>
          <w:sz w:val="20"/>
        </w:rPr>
        <w:t>Other Elements of Compensation</w:t>
      </w:r>
      <w:r>
        <w:rPr>
          <w:color w:val="000000"/>
        </w:rPr>
        <w:t xml:space="preserve"> </w:t>
      </w:r>
    </w:p>
    <w:p>
      <w:pPr>
        <w:pStyle w:val="TextBody"/>
        <w:bidi w:val="0"/>
        <w:spacing w:before="0" w:after="2"/>
        <w:jc w:val="left"/>
        <w:rPr/>
      </w:pPr>
      <w:r>
        <w:rPr/>
      </w:r>
    </w:p>
    <w:p>
      <w:pPr>
        <w:pStyle w:val="TextBody"/>
        <w:bidi w:val="0"/>
        <w:spacing w:lineRule="auto" w:line="240" w:before="0" w:after="2"/>
        <w:jc w:val="left"/>
        <w:rPr/>
      </w:pPr>
      <w:r>
        <w:rPr>
          <w:rFonts w:ascii="Times New Roman;serif" w:hAnsi="Times New Roman;serif"/>
          <w:b w:val="false"/>
          <w:i/>
          <w:color w:val="000000"/>
          <w:sz w:val="20"/>
        </w:rPr>
        <w:t>Health/Welfare Plans.</w:t>
      </w:r>
      <w:r>
        <w:rPr>
          <w:color w:val="000000"/>
        </w:rPr>
        <w:t xml:space="preserve"> </w:t>
      </w:r>
      <w:r>
        <w:rPr>
          <w:rFonts w:ascii="Times New Roman;serif" w:hAnsi="Times New Roman;serif"/>
          <w:b w:val="false"/>
          <w:color w:val="000000"/>
          <w:sz w:val="20"/>
        </w:rPr>
        <w:t xml:space="preserve">All of our full-time employees, including our named executive officers, are eligible to participate in our health and welfare plans, including: </w:t>
      </w:r>
    </w:p>
    <w:p>
      <w:pPr>
        <w:pStyle w:val="TextBody"/>
        <w:bidi w:val="0"/>
        <w:spacing w:before="0" w:after="2"/>
        <w:jc w:val="left"/>
        <w:rPr/>
      </w:pPr>
      <w:r>
        <w:rPr/>
      </w:r>
    </w:p>
    <w:p>
      <w:pPr>
        <w:pStyle w:val="TextBody"/>
        <w:bidi w:val="0"/>
        <w:spacing w:lineRule="auto" w:line="240" w:before="0" w:after="180"/>
        <w:ind w:left="0" w:right="0" w:hanging="360"/>
        <w:jc w:val="left"/>
        <w:rPr/>
      </w:pPr>
      <w:r>
        <w:rPr>
          <w:color w:val="000000"/>
        </w:rPr>
        <w:t>▪</w:t>
      </w:r>
      <w:r>
        <w:rPr>
          <w:rFonts w:ascii="Times New Roman;serif" w:hAnsi="Times New Roman;serif"/>
          <w:b w:val="false"/>
          <w:color w:val="000000"/>
          <w:sz w:val="20"/>
        </w:rPr>
        <w:t>medical, dental, and vision benefits;</w:t>
      </w:r>
    </w:p>
    <w:p>
      <w:pPr>
        <w:pStyle w:val="TextBody"/>
        <w:bidi w:val="0"/>
        <w:spacing w:lineRule="auto" w:line="240" w:before="0" w:after="180"/>
        <w:ind w:left="0" w:right="0" w:hanging="360"/>
        <w:jc w:val="left"/>
        <w:rPr/>
      </w:pPr>
      <w:r>
        <w:rPr>
          <w:color w:val="000000"/>
        </w:rPr>
        <w:t>▪</w:t>
      </w:r>
      <w:r>
        <w:rPr>
          <w:rFonts w:ascii="Times New Roman;serif" w:hAnsi="Times New Roman;serif"/>
          <w:b w:val="false"/>
          <w:color w:val="000000"/>
          <w:sz w:val="20"/>
        </w:rPr>
        <w:t xml:space="preserve">health savings accounts; </w:t>
      </w:r>
    </w:p>
    <w:p>
      <w:pPr>
        <w:pStyle w:val="TextBody"/>
        <w:bidi w:val="0"/>
        <w:spacing w:lineRule="auto" w:line="240" w:before="0" w:after="180"/>
        <w:ind w:left="0" w:right="0" w:hanging="360"/>
        <w:jc w:val="left"/>
        <w:rPr/>
      </w:pPr>
      <w:r>
        <w:rPr>
          <w:color w:val="000000"/>
        </w:rPr>
        <w:t>▪</w:t>
      </w:r>
      <w:r>
        <w:rPr>
          <w:rFonts w:ascii="Times New Roman;serif" w:hAnsi="Times New Roman;serif"/>
          <w:b w:val="false"/>
          <w:color w:val="000000"/>
          <w:sz w:val="20"/>
        </w:rPr>
        <w:t xml:space="preserve">medical and dependent care flexible spending accounts; </w:t>
      </w:r>
    </w:p>
    <w:p>
      <w:pPr>
        <w:pStyle w:val="TextBody"/>
        <w:bidi w:val="0"/>
        <w:spacing w:lineRule="auto" w:line="240" w:before="0" w:after="180"/>
        <w:ind w:left="0" w:right="0" w:hanging="360"/>
        <w:jc w:val="left"/>
        <w:rPr/>
      </w:pPr>
      <w:r>
        <w:rPr>
          <w:color w:val="000000"/>
        </w:rPr>
        <w:t>▪</w:t>
      </w:r>
      <w:r>
        <w:rPr>
          <w:rFonts w:ascii="Times New Roman;serif" w:hAnsi="Times New Roman;serif"/>
          <w:b w:val="false"/>
          <w:color w:val="000000"/>
          <w:sz w:val="20"/>
        </w:rPr>
        <w:t xml:space="preserve">short-term and long-term disability insurance; and </w:t>
      </w:r>
    </w:p>
    <w:p>
      <w:pPr>
        <w:pStyle w:val="TextBody"/>
        <w:bidi w:val="0"/>
        <w:spacing w:lineRule="auto" w:line="240" w:before="0" w:after="180"/>
        <w:ind w:left="0" w:right="0" w:hanging="360"/>
        <w:jc w:val="left"/>
        <w:rPr/>
      </w:pPr>
      <w:r>
        <w:rPr>
          <w:color w:val="000000"/>
        </w:rPr>
        <w:t>▪</w:t>
      </w:r>
      <w:r>
        <w:rPr>
          <w:rFonts w:ascii="Times New Roman;serif" w:hAnsi="Times New Roman;serif"/>
          <w:b w:val="false"/>
          <w:color w:val="000000"/>
          <w:sz w:val="20"/>
        </w:rPr>
        <w:t>life insurance.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the benefits described above are necessary and appropriate to provide a competitive compensation package to its named executive officers. The Company does not subsidize the aforementioned employee benefits for Dr. Eifrig.</w:t>
      </w:r>
    </w:p>
    <w:p>
      <w:pPr>
        <w:pStyle w:val="TextBody"/>
        <w:bidi w:val="0"/>
        <w:spacing w:before="0" w:after="2"/>
        <w:jc w:val="left"/>
        <w:rPr/>
      </w:pPr>
      <w:r>
        <w:rPr/>
      </w:r>
    </w:p>
    <w:p>
      <w:pPr>
        <w:pStyle w:val="TextBody"/>
        <w:bidi w:val="0"/>
        <w:spacing w:lineRule="auto" w:line="240" w:before="0" w:after="2"/>
        <w:jc w:val="left"/>
        <w:rPr/>
      </w:pPr>
      <w:r>
        <w:rPr>
          <w:rFonts w:ascii="Times New Roman;serif" w:hAnsi="Times New Roman;serif"/>
          <w:b w:val="false"/>
          <w:i/>
          <w:color w:val="000000"/>
          <w:sz w:val="20"/>
        </w:rPr>
        <w:t xml:space="preserve">No Tax Gross-Ups. </w:t>
      </w:r>
      <w:r>
        <w:rPr>
          <w:rFonts w:ascii="Times New Roman;serif" w:hAnsi="Times New Roman;serif"/>
          <w:b w:val="false"/>
          <w:color w:val="000000"/>
          <w:sz w:val="20"/>
        </w:rPr>
        <w:t>We do not make gross-up payments to cover our named executive officers’ personal income taxes that may pertain to any of the compensation or perquisites paid or provided by us.</w:t>
      </w:r>
    </w:p>
    <w:p>
      <w:pPr>
        <w:pStyle w:val="TextBody"/>
        <w:bidi w:val="0"/>
        <w:spacing w:before="0" w:after="2"/>
        <w:jc w:val="left"/>
        <w:rPr/>
      </w:pPr>
      <w:r>
        <w:rPr/>
      </w:r>
    </w:p>
    <w:p>
      <w:pPr>
        <w:pStyle w:val="TextBody"/>
        <w:bidi w:val="0"/>
        <w:spacing w:lineRule="auto" w:line="240" w:before="0" w:after="2"/>
        <w:jc w:val="left"/>
        <w:rPr>
          <w:rFonts w:ascii="Times New Roman;serif" w:hAnsi="Times New Roman;serif"/>
          <w:b w:val="false"/>
          <w:i/>
          <w:color w:val="000000"/>
          <w:sz w:val="20"/>
        </w:rPr>
      </w:pPr>
      <w:r>
        <w:rPr>
          <w:rFonts w:ascii="Times New Roman;serif" w:hAnsi="Times New Roman;serif"/>
          <w:b w:val="false"/>
          <w:i/>
          <w:color w:val="000000"/>
          <w:sz w:val="20"/>
        </w:rPr>
        <w:t>Retirement Plans</w:t>
      </w:r>
    </w:p>
    <w:p>
      <w:pPr>
        <w:pStyle w:val="TextBody"/>
        <w:bidi w:val="0"/>
        <w:spacing w:before="0" w:after="2"/>
        <w:jc w:val="left"/>
        <w:rPr/>
      </w:pPr>
      <w:r>
        <w:rPr/>
      </w:r>
    </w:p>
    <w:p>
      <w:pPr>
        <w:pStyle w:val="TextBody"/>
        <w:bidi w:val="0"/>
        <w:spacing w:lineRule="auto" w:line="240" w:before="0" w:after="2"/>
        <w:jc w:val="left"/>
        <w:rPr>
          <w:rFonts w:ascii="Times New Roman;serif" w:hAnsi="Times New Roman;serif"/>
          <w:b w:val="false"/>
          <w:color w:val="000000"/>
          <w:sz w:val="20"/>
        </w:rPr>
      </w:pPr>
      <w:r>
        <w:rPr>
          <w:rFonts w:ascii="Times New Roman;serif" w:hAnsi="Times New Roman;serif"/>
          <w:b w:val="false"/>
          <w:color w:val="000000"/>
          <w:sz w:val="20"/>
        </w:rPr>
        <w:t>We maintain a 401(k) retirement savings plan for our employees, including our named executive officers, who satisfy certain eligibility requirements. Our named executive officers are eligible to participate in the 401(k) plan on the same terms as other employees. The U.S. Internal Revenue Code of 1986, as amended (the “Code”) allows eligible employees to defer a portion of their compensation, within prescribed limits, on a pre-tax basis through contributions to the 401(k) plan. Currently, we match up to 50% of the first 6% of the employee contributions made by participants in the 401(k) plan, which matching contributions fully vest over a period of five years. The named executive officers were eligible to receive company matching contributions for 2025, the amounts of which are set forth in the column entitled “All Other Compensation” in the Summary Compensation Table above. We believe that providing a vehicle for tax-deferred retirement savings through our 401(k) plan and making matching contributions adds to the overall desirability of our executive compensation package and further incentivizes employees, including the named executive officers, in accordance with our compensation policies.</w:t>
      </w:r>
    </w:p>
    <w:p>
      <w:pPr>
        <w:pStyle w:val="TextBody"/>
        <w:bidi w:val="0"/>
        <w:spacing w:before="0" w:after="2"/>
        <w:jc w:val="left"/>
        <w:rPr/>
      </w:pPr>
      <w:r>
        <w:rPr/>
      </w:r>
    </w:p>
    <w:p>
      <w:pPr>
        <w:pStyle w:val="TextBody"/>
        <w:bidi w:val="0"/>
        <w:spacing w:lineRule="auto" w:line="240" w:before="0" w:after="2"/>
        <w:jc w:val="left"/>
        <w:rPr>
          <w:rFonts w:ascii="Times New Roman;serif" w:hAnsi="Times New Roman;serif"/>
          <w:b/>
          <w:color w:val="000000"/>
          <w:sz w:val="20"/>
        </w:rPr>
      </w:pPr>
      <w:r>
        <w:rPr>
          <w:rFonts w:ascii="Times New Roman;serif" w:hAnsi="Times New Roman;serif"/>
          <w:b/>
          <w:color w:val="000000"/>
          <w:sz w:val="20"/>
        </w:rPr>
        <w:t xml:space="preserve">Executive Severance Plan </w:t>
      </w:r>
    </w:p>
    <w:p>
      <w:pPr>
        <w:pStyle w:val="TextBody"/>
        <w:bidi w:val="0"/>
        <w:spacing w:before="0" w:after="2"/>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adopted the MarketWise, Inc. Executive Severance Plan on December 16, 2022 (the “Severance Plan”). Mr. Mickels and Mr. Galsim participated in the Severance Plan in 2025. Dr. Eifrig is also eligible to participate in limited parts of the Company’s Executive Severance Plan as set forth in his employment agreement and further described in this section below as well as in "Employment Agreements" under "Executive Compensation Arrangements".</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Pursuant to the Severance Plan, in the event of the termination of a participant’s employment by the Company without Cause or the participant’s resignation for Good Reason (each as defined in the Severance Plan) other than during the period beginning on the date that is three months prior to the consummation of a change in control and ending on the twenty-four (24)-month anniversary of such change in control (the “Change in Control Protection Period”), the participant will be entitled to receive (i) a lump-sum cash payment equal to</w:t>
      </w:r>
      <w:r>
        <w:rPr>
          <w:color w:val="000000"/>
        </w:rPr>
        <w:t xml:space="preserve"> </w:t>
      </w:r>
      <w:r>
        <w:rPr>
          <w:rFonts w:ascii="Times New Roman;serif" w:hAnsi="Times New Roman;serif"/>
          <w:b w:val="false"/>
          <w:color w:val="000000"/>
          <w:sz w:val="20"/>
        </w:rPr>
        <w:t>the product of the participant’s severance multiplier (1.25 for Mr. Mickels and Mr. Galsim) times the participant's base salary, (ii) the participant's target annual cash bonus for the year of termination, prorated based on the time participant was employed during the year in which termination occurs, (iii) healthcare continuation coverage or reimbursement of premiums for the Benefit Continuation Period (as defined in the Severance Plan) following termination, and (iv) continued vesting of outstanding time-based equity awards.</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In the event such qualifying termination occurs during the Change in Control Protection Period, the participant will instead be entitled to (i) a lump-sum cash payment equal to</w:t>
      </w:r>
      <w:r>
        <w:rPr>
          <w:color w:val="000000"/>
        </w:rPr>
        <w:t xml:space="preserve"> </w:t>
      </w:r>
      <w:r>
        <w:rPr>
          <w:rFonts w:ascii="Times New Roman;serif" w:hAnsi="Times New Roman;serif"/>
          <w:b w:val="false"/>
          <w:color w:val="000000"/>
          <w:sz w:val="20"/>
        </w:rPr>
        <w:t>the product of the participant’s change in control severance multiplier (1.5 for Mr. Mickels and Mr. Galsim) times the participant's base salary, (ii) a lump-sum cash payment equal to the product of the participant’s target annual bonus for the year in which termination occurs times the participant’s change in control severance multiplier (1.5 for Mr. Mickels and Mr. Galsim), (iii) healthcare continuation coverage or reimbursement of premiums for the Benefit Continuation Period, and (iv) accelerated vesting of outstanding time-based equity awards.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Severance Plan also provides that, in the event of the termination of a participant’s employment due to death or Disability (as defined in the Severance Plan), the participant will be entitled to receive (i) healthcare continuation coverage or reimbursement of premiums for the Benefit Continuation Period following termination, and (ii) acceleration of vesting of outstanding time-based equity awards. </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The benefits payable under the Severance Plan are subject to the participant's execution and non-revocation of a release of claims and the participant’s continued compliance with applicable restrictive covenants, including post-termination non-competition and non-solicitation covenants for the participant’s severance period (18</w:t>
      </w:r>
      <w:r>
        <w:rPr>
          <w:color w:val="000000"/>
        </w:rPr>
        <w:t xml:space="preserve"> </w:t>
      </w:r>
      <w:r>
        <w:rPr>
          <w:rFonts w:ascii="Times New Roman;serif" w:hAnsi="Times New Roman;serif"/>
          <w:b w:val="false"/>
          <w:color w:val="000000"/>
          <w:sz w:val="20"/>
        </w:rPr>
        <w:t>months for Mr. Mickels and Mr. Galsim) and perpetual confidentiality covenants.</w:t>
      </w:r>
    </w:p>
    <w:p>
      <w:pPr>
        <w:pStyle w:val="TextBody"/>
        <w:bidi w:val="0"/>
        <w:spacing w:before="0" w:after="0"/>
        <w:jc w:val="left"/>
        <w:rPr/>
      </w:pPr>
      <w:r>
        <w:rPr/>
      </w:r>
    </w:p>
    <w:p>
      <w:pPr>
        <w:pStyle w:val="TextBody"/>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Dr. Eifrig is also eligible to participate in limited parts of the Severance Plan, specifically regarding severance benefits in the event of a change in control, death, or disability. In the event of the termination of Dr. Eifrig’s employment without Cause or resignation for Good </w:t>
      </w:r>
    </w:p>
    <w:p>
      <w:pPr>
        <w:pStyle w:val="TextBody"/>
        <w:bidi w:val="0"/>
        <w:spacing w:before="0" w:after="2"/>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1"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Reason (each as defined in the Severance Plan) during the Change in Control Protection Period (as defined in the Severance Plan), Dr. Eifrig will be entitled to receive (i) a lump sum cash payment equal to 2 times his base salary, (ii) a lump sum cash payment equal to 2 times his Target Cash Bonus (as defined in the Severance Plan), (iii) healthcare continuation coverage for 18 months following termination, and (iv) accelerated vesting of outstanding time-based equity awards, in each case, subject to Dr. Eifrig’s execution and non-revocation of a release of claims and Dr. Eifrig’s continued compliance with applicable restrictive covenants, including 18-month post-termination non-competition and non-solicitation covenants and perpetual confidentiality covenants. Dr. Eifrig is not eligible for benefits under the Severance Plan in the event of the termination of Dr. Eifrig’s employment without Cause or resignation for Good Reason (each as defined in the Severance Plan) other than during the Change in Control Protection Period (as defined in the Severance Plan); provided, however, that in the event of the termination of Dr. Eifrig’s employment due to death or Disability (as defined in the Severance Plan), Dr. Eifrig is eligible to receive (i) healthcare continuation coverage or reimbursement of premiums for 18 months following termination, and (ii) acceleration of vesting of outstanding time-based equity awards.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630" w:type="dxa"/>
        <w:jc w:val="left"/>
        <w:tblInd w:w="0" w:type="dxa"/>
        <w:tblLayout w:type="fixed"/>
        <w:tblCellMar>
          <w:top w:w="28" w:type="dxa"/>
          <w:left w:w="28" w:type="dxa"/>
          <w:bottom w:w="28" w:type="dxa"/>
          <w:right w:w="28" w:type="dxa"/>
        </w:tblCellMar>
      </w:tblPr>
      <w:tblGrid>
        <w:gridCol w:w="1162"/>
        <w:gridCol w:w="1021"/>
        <w:gridCol w:w="1447"/>
      </w:tblGrid>
      <w:tr>
        <w:trPr/>
        <w:tc>
          <w:tcPr>
            <w:tcW w:w="116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PAY VERSUS PERFORMANCE TABLE</w:t>
            </w:r>
          </w:p>
        </w:tc>
      </w:tr>
    </w:tbl>
    <w:p>
      <w:pPr>
        <w:pStyle w:val="TextBody"/>
        <w:bidi w:val="0"/>
        <w:spacing w:before="0" w:after="2"/>
        <w:jc w:val="left"/>
        <w:rPr/>
      </w:pPr>
      <w:r>
        <w:rPr/>
      </w:r>
    </w:p>
    <w:p>
      <w:pPr>
        <w:pStyle w:val="TextBody"/>
        <w:bidi w:val="0"/>
        <w:spacing w:lineRule="auto" w:line="240" w:before="0" w:after="2"/>
        <w:jc w:val="left"/>
        <w:rPr>
          <w:rFonts w:ascii="Times New Roman;serif" w:hAnsi="Times New Roman;serif"/>
          <w:b w:val="false"/>
          <w:color w:val="000000"/>
          <w:sz w:val="20"/>
        </w:rPr>
      </w:pPr>
      <w:r>
        <w:rPr>
          <w:rFonts w:ascii="Times New Roman;serif" w:hAnsi="Times New Roman;serif"/>
          <w:b w:val="false"/>
          <w:color w:val="000000"/>
          <w:sz w:val="20"/>
        </w:rPr>
        <w:t>In accordance with rules adopted by the Securities and Exchange Commission pursuant to the Dodd-Frank Wall Street Reform and Consumer Protection Act of 2010, we provide the following disclosure regarding executive compensation for our principal executive officer (“PEO”) and our NEOs other than our PEO (“Non-PEO NEOs”) and Company performance for the fiscal years listed below. The Compensation Committee did not consider the pay versus performance disclosure below in making its pay decisions for any of the years shown.</w:t>
      </w:r>
    </w:p>
    <w:tbl>
      <w:tblPr>
        <w:tblW w:w="12940" w:type="dxa"/>
        <w:jc w:val="left"/>
        <w:tblInd w:w="0" w:type="dxa"/>
        <w:tblLayout w:type="fixed"/>
        <w:tblCellMar>
          <w:top w:w="28" w:type="dxa"/>
          <w:left w:w="28" w:type="dxa"/>
          <w:bottom w:w="28" w:type="dxa"/>
          <w:right w:w="28" w:type="dxa"/>
        </w:tblCellMar>
      </w:tblPr>
      <w:tblGrid>
        <w:gridCol w:w="195"/>
        <w:gridCol w:w="172"/>
        <w:gridCol w:w="174"/>
        <w:gridCol w:w="109"/>
        <w:gridCol w:w="109"/>
        <w:gridCol w:w="109"/>
        <w:gridCol w:w="211"/>
        <w:gridCol w:w="976"/>
        <w:gridCol w:w="109"/>
        <w:gridCol w:w="109"/>
        <w:gridCol w:w="109"/>
        <w:gridCol w:w="109"/>
        <w:gridCol w:w="211"/>
        <w:gridCol w:w="976"/>
        <w:gridCol w:w="109"/>
        <w:gridCol w:w="109"/>
        <w:gridCol w:w="109"/>
        <w:gridCol w:w="109"/>
        <w:gridCol w:w="249"/>
        <w:gridCol w:w="852"/>
        <w:gridCol w:w="130"/>
        <w:gridCol w:w="109"/>
        <w:gridCol w:w="109"/>
        <w:gridCol w:w="109"/>
        <w:gridCol w:w="249"/>
        <w:gridCol w:w="852"/>
        <w:gridCol w:w="130"/>
        <w:gridCol w:w="109"/>
        <w:gridCol w:w="109"/>
        <w:gridCol w:w="109"/>
        <w:gridCol w:w="211"/>
        <w:gridCol w:w="976"/>
        <w:gridCol w:w="109"/>
        <w:gridCol w:w="109"/>
        <w:gridCol w:w="109"/>
        <w:gridCol w:w="109"/>
        <w:gridCol w:w="211"/>
        <w:gridCol w:w="976"/>
        <w:gridCol w:w="109"/>
        <w:gridCol w:w="109"/>
        <w:gridCol w:w="109"/>
        <w:gridCol w:w="109"/>
        <w:gridCol w:w="236"/>
        <w:gridCol w:w="691"/>
        <w:gridCol w:w="124"/>
        <w:gridCol w:w="109"/>
        <w:gridCol w:w="109"/>
        <w:gridCol w:w="109"/>
        <w:gridCol w:w="211"/>
        <w:gridCol w:w="721"/>
        <w:gridCol w:w="154"/>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Summary Compensation Table Total for PEO 1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Compensation Actually Paid to PEO 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Summary Compensation Table Total for PEO 2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Compensation Actually Paid to PEO 2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Summary Compensation Table Total for Non-PEO NEOs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Compensation Actually Paid to Non-PEO NEOs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Value of Initial Fixed $100 Investment Based on Total Shareholder Return (7)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Net Income </w:t>
              <w:br/>
              <w:t>(in thousands) (8)</w:t>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240" w:before="0" w:after="2"/>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(1)Represents Dr. Eifrig's total compensation in the applicable year, as reported in the "Total" column of the Summary Compensation Table. Dr. Eifrig became our interim PEO in August 2024 and was appointed PEO in May 2025. </w:t>
      </w:r>
    </w:p>
    <w:p>
      <w:pPr>
        <w:pStyle w:val="TextBody"/>
        <w:bidi w:val="0"/>
        <w:spacing w:lineRule="auto" w:line="240" w:before="0" w:after="2"/>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(2)Represents Dr. Eifrig's “compensation actually paid” in the applicable year, as computed in accordance with Item 402(v) of Regulation S-K. The amounts do not reflect the actual compensation earned by or paid to Dr. Eifrig during the applicable year. In accordance with the requirements of Item 402(v) of Regulation S-K, the following adjustments were made to Dr. Eifrig's total compensation for each year to determine the "compensation actually paid":</w:t>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195"/>
        <w:gridCol w:w="172"/>
        <w:gridCol w:w="174"/>
        <w:gridCol w:w="109"/>
        <w:gridCol w:w="109"/>
        <w:gridCol w:w="109"/>
        <w:gridCol w:w="337"/>
        <w:gridCol w:w="1562"/>
        <w:gridCol w:w="174"/>
        <w:gridCol w:w="109"/>
        <w:gridCol w:w="109"/>
        <w:gridCol w:w="109"/>
        <w:gridCol w:w="362"/>
        <w:gridCol w:w="1505"/>
        <w:gridCol w:w="187"/>
        <w:gridCol w:w="109"/>
        <w:gridCol w:w="109"/>
        <w:gridCol w:w="109"/>
        <w:gridCol w:w="345"/>
        <w:gridCol w:w="1353"/>
        <w:gridCol w:w="178"/>
        <w:gridCol w:w="109"/>
        <w:gridCol w:w="109"/>
        <w:gridCol w:w="109"/>
        <w:gridCol w:w="321"/>
        <w:gridCol w:w="1488"/>
        <w:gridCol w:w="166"/>
        <w:gridCol w:w="109"/>
        <w:gridCol w:w="109"/>
        <w:gridCol w:w="160"/>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Summary Compensation Table Total for PEO 1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Reported Value of Equity Awards for PEO 1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Plus: Equity Award Adjustments to PEO 1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Equals: Compensation Actually Paid to PEO 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1,914,310 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160,192 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2,074,502 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1,799,474 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373,347 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1,422,821 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240" w:before="0" w:after="2"/>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A.Represents the amount reported in the “Stock Awards” column in the Summary Compensation Table for the applicable year. </w:t>
      </w:r>
    </w:p>
    <w:p>
      <w:pPr>
        <w:pStyle w:val="TextBody"/>
        <w:bidi w:val="0"/>
        <w:spacing w:lineRule="auto" w:line="240" w:before="0" w:after="2"/>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B.The pay versus performance equity award adjustments reflect the aggregated sum of the following values for the respective years:</w:t>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195"/>
        <w:gridCol w:w="172"/>
        <w:gridCol w:w="174"/>
        <w:gridCol w:w="109"/>
        <w:gridCol w:w="109"/>
        <w:gridCol w:w="109"/>
        <w:gridCol w:w="239"/>
        <w:gridCol w:w="938"/>
        <w:gridCol w:w="123"/>
        <w:gridCol w:w="109"/>
        <w:gridCol w:w="109"/>
        <w:gridCol w:w="109"/>
        <w:gridCol w:w="284"/>
        <w:gridCol w:w="971"/>
        <w:gridCol w:w="147"/>
        <w:gridCol w:w="109"/>
        <w:gridCol w:w="109"/>
        <w:gridCol w:w="109"/>
        <w:gridCol w:w="341"/>
        <w:gridCol w:w="656"/>
        <w:gridCol w:w="178"/>
        <w:gridCol w:w="109"/>
        <w:gridCol w:w="109"/>
        <w:gridCol w:w="109"/>
        <w:gridCol w:w="455"/>
        <w:gridCol w:w="1556"/>
        <w:gridCol w:w="235"/>
        <w:gridCol w:w="109"/>
        <w:gridCol w:w="109"/>
        <w:gridCol w:w="109"/>
        <w:gridCol w:w="109"/>
        <w:gridCol w:w="109"/>
        <w:gridCol w:w="109"/>
        <w:gridCol w:w="109"/>
        <w:gridCol w:w="258"/>
        <w:gridCol w:w="1013"/>
        <w:gridCol w:w="199"/>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 Fair Value</w:t>
              <w:br/>
              <w:t>of Equity Awards</w:t>
              <w:br/>
              <w:t>Granted During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over Year</w:t>
              <w:br/>
              <w:t>Change in Fair Value</w:t>
              <w:br/>
              <w:t>of Outstanding and Unvested Equity</w:t>
              <w:b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as of</w:t>
              <w:br/>
              <w:t>Vesting Date of Equity</w:t>
              <w:br/>
              <w:t>Awards Granted and Vested in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over Year Change in Fair Value of Equity Awards Granted in Prior Years that Vested in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Equity Award Adjustments</w:t>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90,543 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69,649 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160,192 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373,347 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373,347 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240" w:before="0" w:after="2"/>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(3)Represents F. Porter Stansberry's total compensation in the applicable year, as reported in the "Total" column of the Summary Compensation Table of the Company's Definitive Proxy Statement on Schedule 14A filed on April 30, 2025. F. Porter Stansberry resigned from the position of PEO in August 2024. </w:t>
      </w:r>
    </w:p>
    <w:p>
      <w:pPr>
        <w:pStyle w:val="TextBody"/>
        <w:bidi w:val="0"/>
        <w:spacing w:lineRule="auto" w:line="240" w:before="0" w:after="2"/>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(4)Represents Mr. Stansberry's “compensation actually paid” in the applicable year, as computed in accordance with Item 402(v) of Regulation S-K. The amount does not reflect the actual compensation earned by or paid to Mr. Stansberry in 2024. There were no adjustments that were required to be made to Mr. Stansberry's total compensation in 2024 to determine the "compensation actually paid" under Item 402(v) of Regulation S-K. </w:t>
      </w:r>
    </w:p>
    <w:p>
      <w:pPr>
        <w:pStyle w:val="TextBody"/>
        <w:bidi w:val="0"/>
        <w:spacing w:lineRule="auto" w:line="240" w:before="0" w:after="2"/>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(5)Represents the average total compensation of our non-PEO NEOs as a group in the applicable year, as reported in the “Total” column of the Summary Compensation Table. The non-PEO NEOs included for purposes of calculating the average total compensation amounts in each applicable year were Mr. Mickels and Mr. Galsim.</w:t>
      </w:r>
    </w:p>
    <w:p>
      <w:pPr>
        <w:pStyle w:val="TextBody"/>
        <w:bidi w:val="0"/>
        <w:spacing w:before="0" w:after="2"/>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2"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40" w:before="0" w:after="2"/>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(6)Represents the average amount of “compensation actually paid” to our non-PEO NEOs as a group, as computed in accordance with Item 402(v) of Regulation S-K. The amounts do not reflect the actual average amount of compensation earned by or paid to the non-PEO NEOs as a group during the applicable year. In accordance with the requirements of Item 402(v) of Regulation S-K, the following adjustments were made to average total compensation for the non-PEO NEOs as a group for each applicable year to determine the "compensation actually paid":</w:t>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195"/>
        <w:gridCol w:w="172"/>
        <w:gridCol w:w="174"/>
        <w:gridCol w:w="109"/>
        <w:gridCol w:w="109"/>
        <w:gridCol w:w="109"/>
        <w:gridCol w:w="325"/>
        <w:gridCol w:w="1506"/>
        <w:gridCol w:w="168"/>
        <w:gridCol w:w="109"/>
        <w:gridCol w:w="109"/>
        <w:gridCol w:w="109"/>
        <w:gridCol w:w="331"/>
        <w:gridCol w:w="1603"/>
        <w:gridCol w:w="171"/>
        <w:gridCol w:w="109"/>
        <w:gridCol w:w="109"/>
        <w:gridCol w:w="109"/>
        <w:gridCol w:w="335"/>
        <w:gridCol w:w="1383"/>
        <w:gridCol w:w="173"/>
        <w:gridCol w:w="109"/>
        <w:gridCol w:w="109"/>
        <w:gridCol w:w="109"/>
        <w:gridCol w:w="323"/>
        <w:gridCol w:w="1494"/>
        <w:gridCol w:w="166"/>
        <w:gridCol w:w="109"/>
        <w:gridCol w:w="109"/>
        <w:gridCol w:w="160"/>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Summary Compensation Table Total for Non-PEO 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Average Reported Value of Equity Awards for Non-PEO NEOs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Plus: Average Equity Award Adjustments for Non-PEO NEOs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Equals: Average Compensation Actually Paid to Non-PEO NEOs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1,846,233 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184,479 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2,030,712 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2,200,434 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(1,025,500)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(103,095)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1,071,839 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240" w:before="0" w:after="2"/>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A.Represents the amount reported in the “Stock Awards” column in the Summary Compensation Table for the applicable year. </w:t>
      </w:r>
    </w:p>
    <w:p>
      <w:pPr>
        <w:pStyle w:val="TextBody"/>
        <w:bidi w:val="0"/>
        <w:spacing w:lineRule="auto" w:line="240" w:before="0" w:after="2"/>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B.The pay versus performance equity award adjustments reflect the aggregated sum of the following values for the respective years:</w: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195"/>
        <w:gridCol w:w="172"/>
        <w:gridCol w:w="174"/>
        <w:gridCol w:w="109"/>
        <w:gridCol w:w="109"/>
        <w:gridCol w:w="109"/>
        <w:gridCol w:w="238"/>
        <w:gridCol w:w="934"/>
        <w:gridCol w:w="123"/>
        <w:gridCol w:w="109"/>
        <w:gridCol w:w="109"/>
        <w:gridCol w:w="109"/>
        <w:gridCol w:w="260"/>
        <w:gridCol w:w="1063"/>
        <w:gridCol w:w="134"/>
        <w:gridCol w:w="109"/>
        <w:gridCol w:w="109"/>
        <w:gridCol w:w="109"/>
        <w:gridCol w:w="337"/>
        <w:gridCol w:w="647"/>
        <w:gridCol w:w="176"/>
        <w:gridCol w:w="109"/>
        <w:gridCol w:w="109"/>
        <w:gridCol w:w="109"/>
        <w:gridCol w:w="428"/>
        <w:gridCol w:w="1564"/>
        <w:gridCol w:w="221"/>
        <w:gridCol w:w="109"/>
        <w:gridCol w:w="109"/>
        <w:gridCol w:w="109"/>
        <w:gridCol w:w="109"/>
        <w:gridCol w:w="109"/>
        <w:gridCol w:w="109"/>
        <w:gridCol w:w="109"/>
        <w:gridCol w:w="252"/>
        <w:gridCol w:w="1027"/>
        <w:gridCol w:w="189"/>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 Fair Value</w:t>
              <w:br/>
              <w:t>of Equity Awards</w:t>
              <w:br/>
              <w:t>Granted During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over Year</w:t>
              <w:br/>
              <w:t>Change in Fair Value</w:t>
              <w:br/>
              <w:t>of Outstanding and Unvested Equity</w:t>
              <w:b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as of</w:t>
              <w:br/>
              <w:t>Vesting Date of Equity</w:t>
              <w:br/>
              <w:t>Awards Granted and Vested in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over Year Change in Fair Value of Equity Awards Granted in Prior Years that Vested in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Equity Award Adjustments</w:t>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122,455 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62,024 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184,479 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419,456 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(477,036)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(45,515)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(103,095)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240" w:before="0" w:after="2"/>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(7)Cumulative total shareholder return is calculated assuming an initial investment of $100 in our Class A common stock as of December 31, 2023 and calculating the value of such investment at the end of each year shown in the table, assuming the reinvestment of any dividends as of the dividend payment date.</w:t>
      </w:r>
    </w:p>
    <w:p>
      <w:pPr>
        <w:pStyle w:val="TextBody"/>
        <w:bidi w:val="0"/>
        <w:spacing w:lineRule="auto" w:line="240" w:before="0" w:after="2"/>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(8)Represents the amount of net income (loss) reflected in our audited financial statements for the applicable year.</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following chart sets forth the relationship between Compensation Actually Paid to our PEOs, the average of Compensation Actually Paid to our Non-PEO NEOs, and the cumulative TSR over the two most recently completed fiscal years for the Company.</w:t>
      </w:r>
    </w:p>
    <w:p>
      <w:pPr>
        <w:pStyle w:val="TextBody"/>
        <w:bidi w:val="0"/>
        <w:spacing w:before="0" w:after="2"/>
        <w:jc w:val="left"/>
        <w:rPr/>
      </w:pPr>
      <w:r>
        <w:rPr/>
      </w:r>
    </w:p>
    <w:p>
      <w:pPr>
        <w:pStyle w:val="TextBody"/>
        <w:bidi w:val="0"/>
        <w:spacing w:before="0" w:after="2"/>
        <w:jc w:val="center"/>
        <w:rPr/>
      </w:pPr>
      <w:r>
        <w:rPr/>
        <w:drawing>
          <wp:inline distT="0" distB="0" distL="0" distR="0">
            <wp:extent cx="6505575" cy="3657600"/>
            <wp:effectExtent l="0" t="0" r="0" b="0"/>
            <wp:docPr id="3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6" descr=""/>
                    <pic:cNvPicPr>
                      <a:picLocks noChangeAspect="1" noChangeArrowheads="1"/>
                    </pic:cNvPicPr>
                  </pic:nvPicPr>
                  <pic:blipFill>
                    <a:blip r:embed="rId7"/>
                    <a:stretch>
                      <a:fillRect/>
                    </a:stretch>
                  </pic:blipFill>
                  <pic:spPr bwMode="auto">
                    <a:xfrm>
                      <a:off x="0" y="0"/>
                      <a:ext cx="6505575" cy="3657600"/>
                    </a:xfrm>
                    <a:prstGeom prst="rect">
                      <a:avLst/>
                    </a:prstGeom>
                  </pic:spPr>
                </pic:pic>
              </a:graphicData>
            </a:graphic>
          </wp:inline>
        </w:drawing>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following chart sets forth the relationship between Compensation Actually Paid to our PEOs, the average of Compensation Actually Paid to our Non-PEO NEOs, and our net income during the two most recently completed fiscal years.</w:t>
      </w:r>
    </w:p>
    <w:p>
      <w:pPr>
        <w:pStyle w:val="TextBody"/>
        <w:bidi w:val="0"/>
        <w:spacing w:before="0" w:after="2"/>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2"/>
        <w:jc w:val="left"/>
        <w:rPr/>
      </w:pPr>
      <w:r>
        <w:rPr/>
      </w:r>
    </w:p>
    <w:p>
      <w:pPr>
        <w:pStyle w:val="TextBody"/>
        <w:bidi w:val="0"/>
        <w:spacing w:before="0" w:after="2"/>
        <w:jc w:val="center"/>
        <w:rPr/>
      </w:pPr>
      <w:r>
        <w:rPr/>
        <w:drawing>
          <wp:inline distT="0" distB="0" distL="0" distR="0">
            <wp:extent cx="6448425" cy="3667125"/>
            <wp:effectExtent l="0" t="0" r="0" b="0"/>
            <wp:docPr id="3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7" descr=""/>
                    <pic:cNvPicPr>
                      <a:picLocks noChangeAspect="1" noChangeArrowheads="1"/>
                    </pic:cNvPicPr>
                  </pic:nvPicPr>
                  <pic:blipFill>
                    <a:blip r:embed="rId8"/>
                    <a:stretch>
                      <a:fillRect/>
                    </a:stretch>
                  </pic:blipFill>
                  <pic:spPr bwMode="auto">
                    <a:xfrm>
                      <a:off x="0" y="0"/>
                      <a:ext cx="6448425" cy="3667125"/>
                    </a:xfrm>
                    <a:prstGeom prst="rect">
                      <a:avLst/>
                    </a:prstGeom>
                  </pic:spPr>
                </pic:pic>
              </a:graphicData>
            </a:graphic>
          </wp:inline>
        </w:drawing>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399" w:type="dxa"/>
        <w:jc w:val="left"/>
        <w:tblInd w:w="0" w:type="dxa"/>
        <w:tblLayout w:type="fixed"/>
        <w:tblCellMar>
          <w:top w:w="28" w:type="dxa"/>
          <w:left w:w="28" w:type="dxa"/>
          <w:bottom w:w="28" w:type="dxa"/>
          <w:right w:w="28" w:type="dxa"/>
        </w:tblCellMar>
      </w:tblPr>
      <w:tblGrid>
        <w:gridCol w:w="1727"/>
        <w:gridCol w:w="1520"/>
        <w:gridCol w:w="2152"/>
      </w:tblGrid>
      <w:tr>
        <w:trPr/>
        <w:tc>
          <w:tcPr>
            <w:tcW w:w="1727"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EQUITY AWARDS AT FISCAL YEAR-END</w:t>
            </w:r>
          </w:p>
        </w:tc>
      </w:tr>
    </w:tbl>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number of shares underlying outstanding equity incentive plan awards for each named executive officer as of December 31, 2025. </w:t>
      </w:r>
    </w:p>
    <w:tbl>
      <w:tblPr>
        <w:tblW w:w="11714" w:type="dxa"/>
        <w:jc w:val="left"/>
        <w:tblInd w:w="0" w:type="dxa"/>
        <w:tblLayout w:type="fixed"/>
        <w:tblCellMar>
          <w:top w:w="28" w:type="dxa"/>
          <w:left w:w="28" w:type="dxa"/>
          <w:bottom w:w="28" w:type="dxa"/>
          <w:right w:w="28" w:type="dxa"/>
        </w:tblCellMar>
      </w:tblPr>
      <w:tblGrid>
        <w:gridCol w:w="388"/>
        <w:gridCol w:w="195"/>
        <w:gridCol w:w="198"/>
        <w:gridCol w:w="109"/>
        <w:gridCol w:w="109"/>
        <w:gridCol w:w="109"/>
        <w:gridCol w:w="190"/>
        <w:gridCol w:w="190"/>
        <w:gridCol w:w="191"/>
        <w:gridCol w:w="109"/>
        <w:gridCol w:w="109"/>
        <w:gridCol w:w="109"/>
        <w:gridCol w:w="410"/>
        <w:gridCol w:w="410"/>
        <w:gridCol w:w="411"/>
        <w:gridCol w:w="109"/>
        <w:gridCol w:w="109"/>
        <w:gridCol w:w="109"/>
        <w:gridCol w:w="109"/>
        <w:gridCol w:w="109"/>
        <w:gridCol w:w="109"/>
        <w:gridCol w:w="475"/>
        <w:gridCol w:w="475"/>
        <w:gridCol w:w="476"/>
        <w:gridCol w:w="109"/>
        <w:gridCol w:w="109"/>
        <w:gridCol w:w="109"/>
        <w:gridCol w:w="109"/>
        <w:gridCol w:w="109"/>
        <w:gridCol w:w="109"/>
        <w:gridCol w:w="109"/>
        <w:gridCol w:w="109"/>
        <w:gridCol w:w="259"/>
        <w:gridCol w:w="259"/>
        <w:gridCol w:w="263"/>
        <w:gridCol w:w="109"/>
        <w:gridCol w:w="109"/>
        <w:gridCol w:w="109"/>
        <w:gridCol w:w="310"/>
        <w:gridCol w:w="310"/>
        <w:gridCol w:w="311"/>
        <w:gridCol w:w="109"/>
        <w:gridCol w:w="109"/>
        <w:gridCol w:w="109"/>
        <w:gridCol w:w="471"/>
        <w:gridCol w:w="250"/>
        <w:gridCol w:w="251"/>
        <w:gridCol w:w="109"/>
        <w:gridCol w:w="109"/>
        <w:gridCol w:w="109"/>
        <w:gridCol w:w="109"/>
        <w:gridCol w:w="109"/>
        <w:gridCol w:w="109"/>
        <w:gridCol w:w="601"/>
        <w:gridCol w:w="225"/>
        <w:gridCol w:w="226"/>
        <w:gridCol w:w="109"/>
        <w:gridCol w:w="109"/>
        <w:gridCol w:w="109"/>
        <w:gridCol w:w="154"/>
      </w:tblGrid>
      <w:tr>
        <w:trPr/>
        <w:tc>
          <w:tcPr>
            <w:tcW w:w="38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 Awards</w:t>
            </w:r>
          </w:p>
        </w:tc>
        <w:tc>
          <w:tcPr>
            <w:tcW w:w="1860" w:type="dxa"/>
            <w:gridSpan w:val="10"/>
            <w:tcBorders/>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Grant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Securities Underlying Unexercised Options (#) 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Securities Underlying Unexercised Options (#) Unexercisable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Option </w:t>
              <w:br/>
              <w:t xml:space="preserve">Exercise </w:t>
              <w:br/>
              <w:t>Price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 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Number of Shares </w:t>
              <w:br/>
              <w:t xml:space="preserve">or Units of Stock </w:t>
              <w:br/>
              <w:t>That Have Not Vested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Market Value of Shares </w:t>
              <w:br/>
              <w:t xml:space="preserve">or Units of Stock That </w:t>
              <w:br/>
              <w:t>Have Not Vested ($) (7)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David Eifrig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370,558 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Erik Mickels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370,558 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Erik Mickels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3/15/2024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211,211 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Erik Mickels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93,875 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Marco Galsim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194,539 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Marco Galsim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3/15/2024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Marco Galsim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3/15/2023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Marco Galsim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12/16/2022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Marco Galsim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9/27/2021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2,361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9/27/2031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RSUs vest in equal annual installments on each of the first four anniversaries of the vesting commencement date of July 1, 2024, subject to continued employment through the applicable vesting dates.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RSUs vest in equal annual installments on each of the first four anniversaries of the vesting commencement date of March 15, 2024, subject to continued employment through the applicable vesting dates.</w:t>
      </w:r>
    </w:p>
    <w:p>
      <w:pPr>
        <w:pStyle w:val="TextBody"/>
        <w:bidi w:val="0"/>
        <w:spacing w:lineRule="auto" w:line="300" w:before="0" w:after="2"/>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initial equity grant was 25,000 RSUs, 50% of which vested upon Mr. Mickels’s relocation to the Baltimore, Maryland area where the Company is headquartered. The remaining RSUs vest in equal installments on March 15, 2025, and March 15, 2026, subject to Mr. Mickels's continued employment through the applicable vesting dates.</w:t>
      </w:r>
    </w:p>
    <w:p>
      <w:pPr>
        <w:pStyle w:val="TextBody"/>
        <w:bidi w:val="0"/>
        <w:spacing w:lineRule="auto" w:line="300" w:before="0" w:after="2"/>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RSUs vest in equal annual installments on each of the first four anniversaries of the vesting commencement date of March 15, 2023, subject to continued employment through the applicable vesting dates.</w:t>
      </w:r>
    </w:p>
    <w:p>
      <w:pPr>
        <w:pStyle w:val="TextBody"/>
        <w:bidi w:val="0"/>
        <w:spacing w:lineRule="auto" w:line="300" w:before="0" w:after="2"/>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RSUs vest in equal annual installments on each of the first four anniversaries of the vesting commencement date of March 15, 2022, subject to continued employment through the applicable vesting dates.</w:t>
      </w:r>
    </w:p>
    <w:p>
      <w:pPr>
        <w:pStyle w:val="TextBody"/>
        <w:bidi w:val="0"/>
        <w:spacing w:before="0" w:after="2"/>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(6)The stock appreciation rights vest in equal annual installments on each of the first four anniversaries of July 21, 2021, subject to continued employment through the applicable vesting dates.</w:t>
      </w:r>
    </w:p>
    <w:p>
      <w:pPr>
        <w:pStyle w:val="TextBody"/>
        <w:bidi w:val="0"/>
        <w:spacing w:lineRule="auto" w:line="300" w:before="0" w:after="2"/>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(7)These amounts represent the value of unvested stock awards based on the closing price of our stock on December 31, 2025, or $15.02.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650" w:type="dxa"/>
        <w:jc w:val="left"/>
        <w:tblInd w:w="0" w:type="dxa"/>
        <w:tblLayout w:type="fixed"/>
        <w:tblCellMar>
          <w:top w:w="28" w:type="dxa"/>
          <w:left w:w="28" w:type="dxa"/>
          <w:bottom w:w="28" w:type="dxa"/>
          <w:right w:w="28" w:type="dxa"/>
        </w:tblCellMar>
      </w:tblPr>
      <w:tblGrid>
        <w:gridCol w:w="1488"/>
        <w:gridCol w:w="1308"/>
        <w:gridCol w:w="1854"/>
      </w:tblGrid>
      <w:tr>
        <w:trPr/>
        <w:tc>
          <w:tcPr>
            <w:tcW w:w="148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EXECUTIVE COMPENSATION ARRANGEMENTS</w:t>
            </w:r>
          </w:p>
        </w:tc>
      </w:tr>
    </w:tbl>
    <w:p>
      <w:pPr>
        <w:pStyle w:val="TextBody"/>
        <w:bidi w:val="0"/>
        <w:spacing w:lineRule="auto" w:line="264" w:before="200" w:after="283"/>
        <w:jc w:val="left"/>
        <w:rPr>
          <w:rFonts w:ascii="Times New Roman;serif" w:hAnsi="Times New Roman;serif"/>
          <w:b/>
          <w:color w:val="000000"/>
          <w:sz w:val="20"/>
        </w:rPr>
      </w:pPr>
      <w:r>
        <w:rPr>
          <w:rFonts w:ascii="Times New Roman;serif" w:hAnsi="Times New Roman;serif"/>
          <w:b/>
          <w:color w:val="000000"/>
          <w:sz w:val="20"/>
        </w:rPr>
        <w:t>Employment Agreements</w:t>
      </w:r>
    </w:p>
    <w:p>
      <w:pPr>
        <w:pStyle w:val="TextBody"/>
        <w:bidi w:val="0"/>
        <w:spacing w:lineRule="auto" w:line="264" w:before="200" w:after="283"/>
        <w:jc w:val="left"/>
        <w:rPr>
          <w:rFonts w:ascii="Times New Roman;serif" w:hAnsi="Times New Roman;serif"/>
          <w:b/>
          <w:i/>
          <w:color w:val="000000"/>
          <w:sz w:val="20"/>
        </w:rPr>
      </w:pPr>
      <w:r>
        <w:rPr>
          <w:rFonts w:ascii="Times New Roman;serif" w:hAnsi="Times New Roman;serif"/>
          <w:b/>
          <w:i/>
          <w:color w:val="000000"/>
          <w:sz w:val="20"/>
        </w:rPr>
        <w:t>Dr. David Eifrig</w:t>
      </w:r>
    </w:p>
    <w:p>
      <w:pPr>
        <w:pStyle w:val="TextBody"/>
        <w:bidi w:val="0"/>
        <w:spacing w:before="0" w:after="2"/>
        <w:jc w:val="left"/>
        <w:rPr/>
      </w:pPr>
      <w:r>
        <w:rPr/>
      </w:r>
    </w:p>
    <w:p>
      <w:pPr>
        <w:pStyle w:val="TextBody"/>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10, 2024, the Company's Board appointed Dr. Eifrig to serve as Interim Chief Executive Officer. Dr. Eifrig's annual base salary was $1,000,000 immediately before he was appointed Interim Chief Executive Officer, and Dr. Eifrig continued to receive an annual base salary of $1,000,000 after becoming Interim Chief Executive Officer. </w:t>
      </w:r>
    </w:p>
    <w:p>
      <w:pPr>
        <w:pStyle w:val="TextBody"/>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On May 23, 2025, the Board appointed Dr. Eifrig to serve as Chief Executive Officer. The Compensation Committee of the Company’s Board approved a letter agreement (the “Letter Agreement”) setting forth Dr. Eifrig’s compensation. Under the Letter Agreement, Dr. Eifrig’s annual base salary is $850,000, with guaranteed minimum base salary payments of $1.275 million in the event of termination without Cause (as defined in the Severance Plan) prior to the 18-month anniversary of his appointment. Dr. Eifrig is also eligible to receive an annual bonus in an amount equal to 5% of the Company’s Net Income (as defined in the Letter Agreement) that exceeds $20 million dollars. The Committee may award Dr. Eifrig long-term incentive compensation that vests over multiple years (e.g., restricted stock units with a 4-year vesting schedule) in lieu of cash to the extent his annual Bonus exceeds $1 million. If the Company’s Net Income (as defined in the Letter Agreement) is $20 million or less, the Committee may award Dr. Eifrig a discretionary bonus. Dr. Eifrig’s Bonus structure will be reviewed and may be adjusted annually by the Committee.</w:t>
      </w:r>
    </w:p>
    <w:p>
      <w:pPr>
        <w:pStyle w:val="TextBody"/>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his appointment, Dr. Eifrig is also eligible to participate in limited parts of the Company’s Executive Severance Plan adopted on December 16, 2022 (“Severance Plan”), specifically regarding severance benefits in the event of a change in control, death, or disability. In the event of the termination of Dr. Eifrig’s employment without Cause or resignation for Good Reason (each as defined in the Severance Plan) during the Change in Control Protection Period (as defined in the Severance Plan), Dr. Eifrig will be entitled to receive (i) a lump sum cash payment equal to 2 times his base salary, (ii) a lump sum cash payment equal to 2 times his Target Cash Bonus (as defined in the Severance Plan), (iii) healthcare continuation coverage for 18 months following termination, and (iv) accelerated vesting of outstanding time-based equity awards, in each case, subject to Dr. Eifrig’s execution and non-revocation of a release of claims and Dr. Eifrig’s continued compliance with applicable restrictive covenants, including 18-month post-termination non-competition and non-solicitation covenants and perpetual confidentiality covenants. Dr. Eifrig is not eligible for benefits under the Severance Plan in the event of the termination of Dr. Eifrig’s employment without Cause or resignation for Good Reason (each as defined in the Severance Plan) other than during the Change in Control Protection Period (as defined in the Severance Plan); provided, however, that in the event of the termination of Dr. Eifrig’s employment due to death or Disability (as defined in the Severance Plan), Dr. Eifrig is eligible to receive (i) healthcare continuation coverage or reimbursement of premiums for 18 months following termination, and (ii) acceleration of vesting of outstanding time-based equity awards.</w:t>
      </w:r>
    </w:p>
    <w:p>
      <w:pPr>
        <w:pStyle w:val="TextBody"/>
        <w:bidi w:val="0"/>
        <w:spacing w:lineRule="auto" w:line="264" w:before="200" w:after="283"/>
        <w:jc w:val="left"/>
        <w:rPr>
          <w:rFonts w:ascii="Times New Roman;serif" w:hAnsi="Times New Roman;serif"/>
          <w:b/>
          <w:i/>
          <w:color w:val="000000"/>
          <w:sz w:val="20"/>
        </w:rPr>
      </w:pPr>
      <w:r>
        <w:rPr>
          <w:rFonts w:ascii="Times New Roman;serif" w:hAnsi="Times New Roman;serif"/>
          <w:b/>
          <w:i/>
          <w:color w:val="000000"/>
          <w:sz w:val="20"/>
        </w:rPr>
        <w:t>Erik Mickels</w:t>
      </w:r>
    </w:p>
    <w:p>
      <w:pPr>
        <w:pStyle w:val="TextBody"/>
        <w:bidi w:val="0"/>
        <w:spacing w:lineRule="auto" w:line="264" w:before="200" w:after="283"/>
        <w:jc w:val="left"/>
        <w:rPr>
          <w:rFonts w:ascii="Times New Roman;serif" w:hAnsi="Times New Roman;serif"/>
          <w:b w:val="false"/>
          <w:color w:val="000000"/>
          <w:sz w:val="20"/>
        </w:rPr>
      </w:pPr>
      <w:r>
        <w:rPr>
          <w:rFonts w:ascii="Times New Roman;serif" w:hAnsi="Times New Roman;serif"/>
          <w:b w:val="false"/>
          <w:color w:val="000000"/>
          <w:sz w:val="20"/>
        </w:rPr>
        <w:t>On July 6, 2023, Mr. Mickels entered into a letter agreement memorializing his engagement as Chief Financial Officer (the “Mickels Letter Agreement”). Under the Mickels Letter Agreement, Mr. Mickels’s annual base salary was set at $500,000, and Mr. Mickels was eligible for an initial equity grant of 500,000 restricted stock units, 50% of which would vest upon Mr. Mickels's relocation to the Baltimore, Maryland area where the Company is headquartered, provided that such relocation occurred prior to December 31, 2023, and the remaining restricted stock units would vest in equal installments on March 15, 2025, and March 15, 2026, subject to Mr. Mickels's continued employment through the applicable vesting dates. If, within four years of the Effective Date, the price of the Company’s Class A common stock reached a minimum of $120 per share and such minimum price was maintained for twenty consecutive trading days (the "Share Price Milestone"), Mr. Mickels would be entitled to receive, on March 15 following the year in which the milestone was achieved, an additional grant of 100,000 restricted stock units, which would vest in four equal installments over a four-year period. For the 2023 performance year, Mr. Mickels would receive an annual cash incentive bonus of no less than $500,000. For the 2024 performance year, Mr. Mickels would receive (i) if the Company’s net income for the period was greater than $90 million, a cash incentive bonus of no less than $600,000; or (ii) if the Company’s net income for the period was less than $90 million, a cash incentive bonus of no less than $500,000. Following the 2024 performance year, Mr. Mickels would be eligible to receive a discretionary annual cash bonus. Mr. Mickels would also be eligible to receive an annual award of restricted stock units with a target economic value of $750,000 dollars ("Annual Equity Award"), subject to the collective discretion of our Chief Executive Officer and Board of Directors and the vesting requirements set forth in the applicable award agreement. In addition, the Mickels Letter Agreement provided for a relocation bonus of $300,000 in connection with Mr. Mickels’s relocation to the Baltimore, Maryland area, which bonus would be earned over the twelve-month period following the payment date. The relocation bonus would be subject to repayment on a pro rata basis in the event Mr. Mickels’s employment with the Company terminates for any reason during such twelve-month period. Mr. Mickels was also entitled to up to six months of temporary housing reimbursement at a rate of up to $10,000 per month.</w:t>
      </w:r>
    </w:p>
    <w:p>
      <w:pPr>
        <w:pStyle w:val="TextBody"/>
        <w:bidi w:val="0"/>
        <w:spacing w:lineRule="auto" w:line="264"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May 13, 2024, Mr. Mickels’s base salary was increased to $1,000,000 retroactively as of January 1, 2024. </w:t>
      </w:r>
    </w:p>
    <w:p>
      <w:pPr>
        <w:pStyle w:val="TextBody"/>
        <w:bidi w:val="0"/>
        <w:spacing w:lineRule="auto" w:line="264"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Mr. Mickels is eligible to receive an annual bonus equal to 100% of his base salary, based on the achievement of certain key performance metrics established by the Company; provided that, depending on the results of the Company, Mr. Mickels's annual bonus may be higher or lower. If the Company achieves superior key performance metrics, then Mr. Mickels is eligible to receive an annual bonus up to 200% of his base salary; provided further that, if the Company does not achieve annual target key performance metrics but only achieves threshold key </w:t>
      </w:r>
    </w:p>
    <w:p>
      <w:pPr>
        <w:pStyle w:val="TextBody"/>
        <w:bidi w:val="0"/>
        <w:spacing w:before="0" w:after="2"/>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64" w:before="200" w:after="283"/>
        <w:jc w:val="left"/>
        <w:rPr>
          <w:rFonts w:ascii="Times New Roman;serif" w:hAnsi="Times New Roman;serif"/>
          <w:b w:val="false"/>
          <w:color w:val="000000"/>
          <w:sz w:val="20"/>
        </w:rPr>
      </w:pPr>
      <w:r>
        <w:rPr>
          <w:rFonts w:ascii="Times New Roman;serif" w:hAnsi="Times New Roman;serif"/>
          <w:b w:val="false"/>
          <w:color w:val="000000"/>
          <w:sz w:val="20"/>
        </w:rPr>
        <w:t>performance metrics, then Mr. Mickels is eligible to receive an annual bonus of at least 50% of his base salary. If threshold key performance metrics are not achieved, then Mr. Mickels will not receive an annual bonus for such year. The Company may pay Mr. Mickels's annual bonus in any combination of cash or restricted stock units pursuant to the terms and conditions of the MarketWise 2021 Incentive Award Plan, as approved by the Board (or its applicable committee). Mr. Mickels’s annual bonus structure described above is in lieu of any future equity awards (including the award for achieving the Share Price Milestone and the Annual Equity Award with a target economic value of $750,000) and future cash incentive bonuses (including the guaranteed cash bonus of $500,000) under Mr. Mickels's Letter Agreement.</w:t>
      </w:r>
    </w:p>
    <w:p>
      <w:pPr>
        <w:pStyle w:val="TextBody"/>
        <w:bidi w:val="0"/>
        <w:spacing w:lineRule="auto" w:line="264"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Mr. Mickels is eligible to participate in the Severance Plan, pursuant to which, in the event of the termination of Mr. Mickels’s employment by the Company without Cause or Mr. Mickels’s resignation for Good Reason (each as defined in the Severance Plan), Mr. Mickels will be entitled to receive (i) a lump-sum cash payment equal to 1.25 times his base salary (1.5 times his base salary if such termination occurs during the Change in Control Protection Period (as defined in the Severance Plan)), (ii) a pro-rated portion of his Target Cash Bonus (as defined in the Severance Plan) for the year of termination (1.5 times his Target Cash Bonus if such termination occurs during the Change in Control Protection Period), (iii) healthcare continuation coverage or reimbursement of premiums for 18 months following termination, and (iv) continued vesting of outstanding time-based equity awards (or acceleration of vesting of outstanding time-based equity awards if such termination occurs during the Change in Control Protection Period), in each case, subject to Mr. Mickels’s execution and non-revocation of a release of claims and Mr. Mickels’s continued compliance with applicable restrictive covenants, including 18 month post-termination non-competition and non-solicitation covenants and perpetual confidentiality covenants. The Severance Plan also provides that, in the event of the termination of Mr. Mickels’s employment due to death or Disability (as defined in the Severance Plan), Mr. Mickels will be entitled to receive (i) healthcare continuation coverage or reimbursement of premiums for 18 months following termination, and (ii) acceleration of vesting of outstanding time-based equity awards. </w:t>
      </w:r>
    </w:p>
    <w:p>
      <w:pPr>
        <w:pStyle w:val="TextBody"/>
        <w:bidi w:val="0"/>
        <w:spacing w:lineRule="auto" w:line="264" w:before="200" w:after="283"/>
        <w:jc w:val="left"/>
        <w:rPr>
          <w:rFonts w:ascii="Times New Roman;serif" w:hAnsi="Times New Roman;serif"/>
          <w:b/>
          <w:i/>
          <w:color w:val="000000"/>
          <w:sz w:val="20"/>
        </w:rPr>
      </w:pPr>
      <w:r>
        <w:rPr>
          <w:rFonts w:ascii="Times New Roman;serif" w:hAnsi="Times New Roman;serif"/>
          <w:b/>
          <w:i/>
          <w:color w:val="000000"/>
          <w:sz w:val="20"/>
        </w:rPr>
        <w:t xml:space="preserve">Marco Galsim </w:t>
      </w:r>
    </w:p>
    <w:p>
      <w:pPr>
        <w:pStyle w:val="TextBody"/>
        <w:bidi w:val="0"/>
        <w:spacing w:lineRule="auto" w:line="264"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January 10, 2023, the Company and Mr. Galsim entered into a letter agreement (the “Galsim Employment Agreement”), that governed the terms of his continued employment as Chief Information Officer with the Company. Under the Galsim Employment Agreement, Mr. Galsim’s base salary was $425,000, and he was eligible to receive an annual discretionary incentive bonus, payable in cash and/or equity, based on individual and Company performance for each year, beginning in 2023. </w:t>
      </w:r>
    </w:p>
    <w:p>
      <w:pPr>
        <w:pStyle w:val="TextBody"/>
        <w:bidi w:val="0"/>
        <w:spacing w:lineRule="auto" w:line="264"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May 13, 2024, Mr. Galsim’s base salary was increased to $525,000 effective as of July 1, 2024. </w:t>
      </w:r>
    </w:p>
    <w:p>
      <w:pPr>
        <w:pStyle w:val="TextBody"/>
        <w:bidi w:val="0"/>
        <w:spacing w:lineRule="auto" w:line="264" w:before="200" w:after="283"/>
        <w:jc w:val="left"/>
        <w:rPr>
          <w:rFonts w:ascii="Times New Roman;serif" w:hAnsi="Times New Roman;serif"/>
          <w:b w:val="false"/>
          <w:color w:val="000000"/>
          <w:sz w:val="20"/>
        </w:rPr>
      </w:pPr>
      <w:r>
        <w:rPr>
          <w:rFonts w:ascii="Times New Roman;serif" w:hAnsi="Times New Roman;serif"/>
          <w:b w:val="false"/>
          <w:color w:val="000000"/>
          <w:sz w:val="20"/>
        </w:rPr>
        <w:t>Mr. Galsim is eligible to receive an annual bonus equal to 100% of his base salary, based on the achievement of key performance metrics established by the Company; provided that, depending on the results of the Company, Mr. Galsim's annual bonus may be higher or lower. If the Company achieves superior key performance metrics, then Mr. Galsim is eligible to receive an annual bonus up to 200% of his base salary; provided further that, if the Company does not achieve annual target key performance metrics but only achieves threshold key performance metrics, then Mr. Galsim is eligible to receive an annual bonus of at least 50% of his base salary. If threshold key performance metrics are not achieved, then Mr. Galsim will not receive an annual bonus for such year. The Company may pay the annual bonus in any combination of cash or restricted stock units pursuant to the terms and conditions of the MarketWise 2021 Incentive Award Plan, as approved by the Board (or its applicable committee). Mr. Galsim’s annual bonus structure described above is in lieu of any future equity awards and future cash incentive bonuses under the Galsim Employment Agreement.</w:t>
      </w:r>
    </w:p>
    <w:p>
      <w:pPr>
        <w:pStyle w:val="TextBody"/>
        <w:bidi w:val="0"/>
        <w:spacing w:lineRule="auto" w:line="264"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Mr. Galsim is eligible to participate in the Severance Plan, pursuant to which, in the event of the termination of Mr. Galsim’s employment by the Company without Cause or Mr. Galsim’s resignation for Good Reason (each as defined in the Severance Plan), Mr. Galsim will be entitled to receive (i) a lump-sum cash payment equal to 1.25 times his base salary (1.5 times his base salary if such termination occurs during the Change in Control Protection Period (as defined in the Severance Plan)), (ii) a pro-rated portion of his Target Cash Bonus (as defined in the Severance Plan) for the year of termination (1.5 times his Target Cash Bonus if such termination occurs during the Change in Control Protection Period), (iii) healthcare continuation coverage or reimbursement of premiums for 18 months following termination, and (iv) continued vesting of outstanding time-based equity awards (or acceleration of vesting of outstanding time-based equity awards if such termination occurs during the Change in Control Protection Period), in each case, subject to Mr. Galsim’s execution and non-revocation of a release of claims and Mr. Galsim’s continued compliance with applicable restrictive covenants, including 18 month post-termination non-competition and non-solicitation covenants and perpetual confidentiality covenants. The Severance Plan also provides that, in the event of the termination of Mr. Galsim’s employment due to death or Disability (as defined in the Severance Plan), Mr. Galsim will be entitled to receive (i) healthcare continuation coverage or reimbursement of premiums for 18 months following termination, and (ii) acceleration of vesting of outstanding time-based equity awards. </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34" w:type="dxa"/>
        <w:jc w:val="left"/>
        <w:tblInd w:w="0" w:type="dxa"/>
        <w:tblLayout w:type="fixed"/>
        <w:tblCellMar>
          <w:top w:w="28" w:type="dxa"/>
          <w:left w:w="28" w:type="dxa"/>
          <w:bottom w:w="28" w:type="dxa"/>
          <w:right w:w="28" w:type="dxa"/>
        </w:tblCellMar>
      </w:tblPr>
      <w:tblGrid>
        <w:gridCol w:w="907"/>
        <w:gridCol w:w="797"/>
        <w:gridCol w:w="1130"/>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3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DIRECTOR COMPENSATION</w:t>
            </w:r>
          </w:p>
        </w:tc>
      </w:tr>
    </w:tbl>
    <w:p>
      <w:pPr>
        <w:pStyle w:val="TextBody"/>
        <w:bidi w:val="0"/>
        <w:spacing w:before="0" w:after="0"/>
        <w:jc w:val="left"/>
        <w:rPr/>
      </w:pPr>
      <w:r>
        <w:rPr/>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approved and implemented a compensation program for our non-employee directors that consists of annual retainer fees and long-term equity awards. Each non-employee director will receive an annual director fee of $60,000, as well as an additional annual fee of $15,000 for service as the Lead Independent Director, an additional annual fee of $30,000 for service as Non-Employee Chairman of the Board, an additional annual fee of $20,000 for service as the chair of our Audit Committee, an additional fee of $15,000 for service as the chair of our Compensation Committee, an additional fee of $12,000 for service as the chair of our Nominating and Corporate Governance committee, an additional annual fee of $9,000 (excluding the chair) for service on our Audit Committee, an additional annual fee of $6,000 </w:t>
      </w:r>
    </w:p>
    <w:p>
      <w:pPr>
        <w:pStyle w:val="TextBody"/>
        <w:bidi w:val="0"/>
        <w:spacing w:before="0" w:after="2"/>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(excluding the chair) for service on our Compensation Committee, and an additional annual fee of $5,000 (excluding the chair) for service on our Nominating and Corporate Governance Committee, each earned on a quarterly basis. </w:t>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Each non-employee director who serves on the Board as of the date of the annual meeting will receive an annual RSU award with a grant date value of $125,000 (except for the lead independent director and chairman, who will receive $135,000), with prorated awards made to directors who are initially appointed or elected to the Board on a date other than the date of an annual meeting. Annual and initial awards will vest in full on the earlier of (i) the date immediately preceding the date of our annual stockholder meeting immediately following the date of grant and (ii) the first anniversary of the grant date. In addition, each director will be reimbursed for out-of-pocket expenses in connection with their services. </w:t>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Employee directors, including Dr. David Eifrig and Michael Palmer, do not receive any additional compensation for services provided as a director.</w:t>
      </w:r>
    </w:p>
    <w:p>
      <w:pPr>
        <w:pStyle w:val="TextBody"/>
        <w:bidi w:val="0"/>
        <w:spacing w:lineRule="auto" w:line="240" w:before="0" w:after="2"/>
        <w:jc w:val="left"/>
        <w:rPr>
          <w:rFonts w:ascii="Times New Roman;serif" w:hAnsi="Times New Roman;serif"/>
          <w:b w:val="false"/>
          <w:color w:val="000000"/>
          <w:sz w:val="20"/>
        </w:rPr>
      </w:pPr>
      <w:r>
        <w:rPr>
          <w:rFonts w:ascii="Times New Roman;serif" w:hAnsi="Times New Roman;serif"/>
          <w:b w:val="false"/>
          <w:color w:val="000000"/>
          <w:sz w:val="20"/>
        </w:rPr>
        <w:t>The following table contains information concerning the compensation of our non-employee directors for the fiscal year ended December 31, 2025:</w:t>
      </w:r>
    </w:p>
    <w:p>
      <w:pPr>
        <w:pStyle w:val="TextBody"/>
        <w:bidi w:val="0"/>
        <w:spacing w:before="0" w:after="2"/>
        <w:jc w:val="left"/>
        <w:rPr/>
      </w:pPr>
      <w:r>
        <w:rPr/>
      </w:r>
    </w:p>
    <w:tbl>
      <w:tblPr>
        <w:tblW w:w="5837" w:type="dxa"/>
        <w:jc w:val="left"/>
        <w:tblInd w:w="0" w:type="dxa"/>
        <w:tblLayout w:type="fixed"/>
        <w:tblCellMar>
          <w:top w:w="28" w:type="dxa"/>
          <w:left w:w="28" w:type="dxa"/>
          <w:bottom w:w="28" w:type="dxa"/>
          <w:right w:w="28" w:type="dxa"/>
        </w:tblCellMar>
      </w:tblPr>
      <w:tblGrid>
        <w:gridCol w:w="614"/>
        <w:gridCol w:w="536"/>
        <w:gridCol w:w="545"/>
        <w:gridCol w:w="109"/>
        <w:gridCol w:w="109"/>
        <w:gridCol w:w="109"/>
        <w:gridCol w:w="364"/>
        <w:gridCol w:w="364"/>
        <w:gridCol w:w="366"/>
        <w:gridCol w:w="109"/>
        <w:gridCol w:w="109"/>
        <w:gridCol w:w="109"/>
        <w:gridCol w:w="109"/>
        <w:gridCol w:w="109"/>
        <w:gridCol w:w="109"/>
        <w:gridCol w:w="304"/>
        <w:gridCol w:w="304"/>
        <w:gridCol w:w="306"/>
        <w:gridCol w:w="109"/>
        <w:gridCol w:w="109"/>
        <w:gridCol w:w="109"/>
        <w:gridCol w:w="240"/>
        <w:gridCol w:w="240"/>
        <w:gridCol w:w="346"/>
      </w:tblGrid>
      <w:tr>
        <w:trPr/>
        <w:tc>
          <w:tcPr>
            <w:tcW w:w="61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Fees Earned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or Paid </w:t>
            </w:r>
          </w:p>
          <w:p>
            <w:pPr>
              <w:pStyle w:val="TableContents"/>
              <w:bidi w:val="0"/>
              <w:spacing w:lineRule="auto" w:line="240" w:before="0" w:after="0"/>
              <w:jc w:val="center"/>
              <w:rPr/>
            </w:pPr>
            <w:r>
              <w:rPr>
                <w:rFonts w:ascii="Times New Roman;serif" w:hAnsi="Times New Roman;serif"/>
                <w:b/>
                <w:color w:val="000000"/>
                <w:sz w:val="18"/>
              </w:rPr>
              <w:t xml:space="preserve">in Cash </w:t>
            </w:r>
            <w:r>
              <w:rPr>
                <w:rFonts w:ascii="Times New Roman;serif" w:hAnsi="Times New Roman;serif"/>
                <w:b w:val="false"/>
                <w:color w:val="000000"/>
                <w:sz w:val="12"/>
              </w:rPr>
              <w:t>(1)</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Stock </w:t>
            </w:r>
          </w:p>
          <w:p>
            <w:pPr>
              <w:pStyle w:val="TableContents"/>
              <w:bidi w:val="0"/>
              <w:spacing w:lineRule="auto" w:line="240" w:before="0" w:after="0"/>
              <w:jc w:val="center"/>
              <w:rPr/>
            </w:pPr>
            <w:r>
              <w:rPr>
                <w:rFonts w:ascii="Times New Roman;serif" w:hAnsi="Times New Roman;serif"/>
                <w:b/>
                <w:color w:val="000000"/>
                <w:sz w:val="18"/>
              </w:rPr>
              <w:t xml:space="preserve">Awards </w:t>
            </w:r>
            <w:r>
              <w:rPr>
                <w:rFonts w:ascii="Times New Roman;serif" w:hAnsi="Times New Roman;serif"/>
                <w:b w:val="false"/>
                <w:color w:val="000000"/>
                <w:sz w:val="12"/>
              </w:rPr>
              <w:t>(2)</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 Simmons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214,000</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Smith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66,000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191,000</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Glenn Tongue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241,000</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Turner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246,000</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 Porter Stansberry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185,000</w:t>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40" w:before="0" w:after="2"/>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(1)Amounts reflect the cash retainer fees earned by our directors in fiscal year 2025.</w:t>
      </w:r>
    </w:p>
    <w:p>
      <w:pPr>
        <w:pStyle w:val="TextBody"/>
        <w:bidi w:val="0"/>
        <w:spacing w:lineRule="auto" w:line="300" w:before="0" w:after="2"/>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(2)Amounts reflect the full grant-date fair value of RSUs granted in fiscal year 2025, determined in accordance with FASB ASC Topic 718. We provide information regarding the assumptions used to calculate the value of stock awards in Note 10 to our audited financial statements included in our Annual Report on Form 10-K for the year ended December 31, 2025. Amounts do not include RSUs that were forfeited as of December 31, 2024.</w:t>
      </w:r>
    </w:p>
    <w:p>
      <w:pPr>
        <w:pStyle w:val="TextBody"/>
        <w:bidi w:val="0"/>
        <w:spacing w:lineRule="auto" w:line="300" w:before="0" w:after="2"/>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(3)Amounts include compensation related to service on a special committee of the Board.</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table below shows the aggregate numbers of unvested stock awards held as of December 31, 2025 by each non-employee director who served during fiscal year 2025.</w:t>
      </w:r>
    </w:p>
    <w:tbl>
      <w:tblPr>
        <w:tblW w:w="7152" w:type="dxa"/>
        <w:jc w:val="left"/>
        <w:tblInd w:w="0" w:type="dxa"/>
        <w:tblLayout w:type="fixed"/>
        <w:tblCellMar>
          <w:top w:w="28" w:type="dxa"/>
          <w:left w:w="28" w:type="dxa"/>
          <w:bottom w:w="28" w:type="dxa"/>
          <w:right w:w="28" w:type="dxa"/>
        </w:tblCellMar>
      </w:tblPr>
      <w:tblGrid>
        <w:gridCol w:w="614"/>
        <w:gridCol w:w="536"/>
        <w:gridCol w:w="545"/>
        <w:gridCol w:w="109"/>
        <w:gridCol w:w="109"/>
        <w:gridCol w:w="109"/>
        <w:gridCol w:w="1499"/>
        <w:gridCol w:w="1499"/>
        <w:gridCol w:w="2132"/>
      </w:tblGrid>
      <w:tr>
        <w:trPr/>
        <w:tc>
          <w:tcPr>
            <w:tcW w:w="61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Unvested Restricted Stock Units Outstanding at Fiscal Year End</w:t>
              <w:br/>
              <w:t>(#)</w:t>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 Simmons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6,775</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Smith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6,775</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Glenn Tongue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7,317</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Turner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7,317</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 Porter Stansberry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6,775</w:t>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30"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754" w:type="dxa"/>
        <w:jc w:val="left"/>
        <w:tblInd w:w="0" w:type="dxa"/>
        <w:tblLayout w:type="fixed"/>
        <w:tblCellMar>
          <w:top w:w="28" w:type="dxa"/>
          <w:left w:w="28" w:type="dxa"/>
          <w:bottom w:w="28" w:type="dxa"/>
          <w:right w:w="28" w:type="dxa"/>
        </w:tblCellMar>
      </w:tblPr>
      <w:tblGrid>
        <w:gridCol w:w="2483"/>
        <w:gridCol w:w="2181"/>
        <w:gridCol w:w="3090"/>
      </w:tblGrid>
      <w:tr>
        <w:trPr/>
        <w:tc>
          <w:tcPr>
            <w:tcW w:w="2483"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3090" w:type="dxa"/>
            <w:tcBorders/>
            <w:vAlign w:val="center"/>
          </w:tcPr>
          <w:p>
            <w:pPr>
              <w:pStyle w:val="TableContents"/>
              <w:bidi w:val="0"/>
              <w:spacing w:before="0" w:after="283"/>
              <w:jc w:val="left"/>
              <w:rPr>
                <w:sz w:val="4"/>
                <w:szCs w:val="4"/>
              </w:rPr>
            </w:pPr>
            <w:r>
              <w:rPr>
                <w:sz w:val="4"/>
                <w:szCs w:val="4"/>
              </w:rPr>
            </w:r>
          </w:p>
        </w:tc>
      </w:tr>
      <w:tr>
        <w:trPr/>
        <w:tc>
          <w:tcPr>
            <w:tcW w:w="7754" w:type="dxa"/>
            <w:gridSpan w:val="3"/>
            <w:tcBorders>
              <w:top w:val="single" w:sz="3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SECURITY OWNERSHIP OF CERTAIN BENEFICIAL OWNERS AND MANAGEMENT</w:t>
            </w:r>
          </w:p>
        </w:tc>
      </w:tr>
    </w:tbl>
    <w:p>
      <w:pPr>
        <w:pStyle w:val="TextBody"/>
        <w:bidi w:val="0"/>
        <w:spacing w:before="0" w:after="0"/>
        <w:jc w:val="left"/>
        <w:rPr/>
      </w:pPr>
      <w:r>
        <w:rPr/>
      </w:r>
    </w:p>
    <w:p>
      <w:pPr>
        <w:pStyle w:val="TextBody"/>
        <w:bidi w:val="0"/>
        <w:spacing w:lineRule="auto" w:line="271"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information regarding the beneficial ownership of shares of our common stock by: </w:t>
      </w:r>
    </w:p>
    <w:p>
      <w:pPr>
        <w:pStyle w:val="TextBody"/>
        <w:bidi w:val="0"/>
        <w:spacing w:lineRule="auto" w:line="240" w:before="200" w:after="283"/>
        <w:ind w:left="0" w:right="0" w:hanging="360"/>
        <w:jc w:val="left"/>
        <w:rPr/>
      </w:pPr>
      <w:r>
        <w:rPr>
          <w:color w:val="000000"/>
        </w:rPr>
        <w:t>▪</w:t>
      </w:r>
      <w:r>
        <w:rPr>
          <w:rFonts w:ascii="Times New Roman;serif" w:hAnsi="Times New Roman;serif"/>
          <w:b w:val="false"/>
          <w:color w:val="000000"/>
          <w:sz w:val="20"/>
        </w:rPr>
        <w:t xml:space="preserve">each person who is known to us to be the beneficial owner of more than 5% of our common stock; </w:t>
      </w:r>
    </w:p>
    <w:p>
      <w:pPr>
        <w:pStyle w:val="TextBody"/>
        <w:bidi w:val="0"/>
        <w:spacing w:lineRule="auto" w:line="240" w:before="200" w:after="283"/>
        <w:ind w:left="0" w:right="0" w:hanging="360"/>
        <w:jc w:val="left"/>
        <w:rPr/>
      </w:pPr>
      <w:r>
        <w:rPr>
          <w:color w:val="000000"/>
        </w:rPr>
        <w:t>▪</w:t>
      </w:r>
      <w:r>
        <w:rPr>
          <w:rFonts w:ascii="Times New Roman;serif" w:hAnsi="Times New Roman;serif"/>
          <w:b w:val="false"/>
          <w:color w:val="000000"/>
          <w:sz w:val="20"/>
        </w:rPr>
        <w:t>each of our named executive officers and directors; and</w:t>
      </w:r>
    </w:p>
    <w:p>
      <w:pPr>
        <w:pStyle w:val="TextBody"/>
        <w:bidi w:val="0"/>
        <w:spacing w:lineRule="auto" w:line="240" w:before="200" w:after="283"/>
        <w:ind w:left="0" w:right="0" w:hanging="360"/>
        <w:jc w:val="left"/>
        <w:rPr/>
      </w:pPr>
      <w:r>
        <w:rPr>
          <w:color w:val="000000"/>
        </w:rPr>
        <w:t>▪</w:t>
      </w:r>
      <w:r>
        <w:rPr>
          <w:rFonts w:ascii="Times New Roman;serif" w:hAnsi="Times New Roman;serif"/>
          <w:b w:val="false"/>
          <w:color w:val="000000"/>
          <w:sz w:val="20"/>
        </w:rPr>
        <w:t>all of our executive officers and directors as a group.</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The percentage of beneficial ownership and voting power of shares of our common stock set forth below is based on 2,637,037 shares of Class A common stock outstanding and 13,512,641 shares of Class B common stock outstanding as of April 6, 2026. As of April 6, 2026, we had 4 holders of record of our Class A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 As of April 6, 2026, we had 20 holders of record of our Class B common stock.</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Each common unit issued by MarketWise, LLC (each, a "MarketWise Unit"), other than MarketWise Units held by us, is redeemable from time to time at each holder’s option for, at our election (determined solely by our independent directors, within the meaning of the rules of the Nasdaq, who are disinterested), newly issued shares of our Class A common stock on a one-for-one basis or a cash payment equal to a </w:t>
      </w:r>
    </w:p>
    <w:p>
      <w:pPr>
        <w:pStyle w:val="TextBody"/>
        <w:bidi w:val="0"/>
        <w:spacing w:before="0" w:after="2"/>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volume weighted average market price of one share of Class A common stock for each MarketWise Unit redeemed, in each case, in accordance with the terms of the Third Amended and Restated Limited Liability Company Operating Agreement of MarketWise, LLC (the “MarketWise Operating Agreement”); provided that, at our election (determined solely by our independent directors, within the meaning of the rules of the Nasdaq, who are disinterested), we may effect a direct exchange by MarketWise, Inc. of such Class A common stock or such cash, as applicable, for such MarketWise Unit. The members of MarketWise, LLC ("MarketWise Members") may exercise such redemption rights for as long as their MarketWise Units remain outstanding. The MarketWise Members hold all of the issued and outstanding shares of our Class B common stock. The shares of Class B common stock have no economic rights, but each share entitles the holder to one vote on all matters on which stockholders of MarketWise, Inc. are entitled to vote generally. Upon redemption of any MarketWise Unit the corresponding share of Class B common stock will be terminated. See “Certain Relationships and Related Party Transactions—MarketWise Operating Agreement” and “Description of Capital Stock.”</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Unless otherwise indicated, we believe that all persons named in the table below have sole voting and investment power with respect to the voting securities beneficially owned by them. Unless otherwise noted, the business address of each of those listed in the table below is 1125 N. Charles St., Baltimore, Maryland 21201. </w:t>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1254"/>
        <w:gridCol w:w="994"/>
        <w:gridCol w:w="998"/>
        <w:gridCol w:w="266"/>
        <w:gridCol w:w="266"/>
        <w:gridCol w:w="249"/>
        <w:gridCol w:w="166"/>
        <w:gridCol w:w="166"/>
        <w:gridCol w:w="166"/>
        <w:gridCol w:w="297"/>
        <w:gridCol w:w="223"/>
        <w:gridCol w:w="414"/>
        <w:gridCol w:w="109"/>
        <w:gridCol w:w="109"/>
        <w:gridCol w:w="109"/>
        <w:gridCol w:w="309"/>
        <w:gridCol w:w="309"/>
        <w:gridCol w:w="313"/>
        <w:gridCol w:w="160"/>
        <w:gridCol w:w="160"/>
        <w:gridCol w:w="160"/>
        <w:gridCol w:w="255"/>
        <w:gridCol w:w="256"/>
        <w:gridCol w:w="399"/>
        <w:gridCol w:w="109"/>
        <w:gridCol w:w="109"/>
        <w:gridCol w:w="109"/>
        <w:gridCol w:w="367"/>
        <w:gridCol w:w="292"/>
        <w:gridCol w:w="731"/>
        <w:gridCol w:w="109"/>
        <w:gridCol w:w="109"/>
        <w:gridCol w:w="163"/>
      </w:tblGrid>
      <w:tr>
        <w:trPr/>
        <w:tc>
          <w:tcPr>
            <w:tcW w:w="125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Class A Common Stock Owned</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 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Combined Voting Power</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of Beneficial Owner</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5% Stockholders (other than Directors and Named Executive Officers)</w:t>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Affiliates of Monument &amp; Cathedral, LLC</w:t>
            </w:r>
            <w:r>
              <w:rPr>
                <w:rFonts w:ascii="Times New Roman;serif" w:hAnsi="Times New Roman;serif"/>
                <w:b w:val="false"/>
                <w:color w:val="000000"/>
                <w:sz w:val="13"/>
              </w:rPr>
              <w:t>(2)</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6,983,620</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Stephen Sjuggerud</w:t>
            </w:r>
            <w:r>
              <w:rPr>
                <w:rFonts w:ascii="Times New Roman;serif" w:hAnsi="Times New Roman;serif"/>
                <w:b w:val="false"/>
                <w:color w:val="000000"/>
                <w:sz w:val="13"/>
              </w:rPr>
              <w:t>(3)</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972,213</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Mark Arnold</w:t>
            </w:r>
            <w:r>
              <w:rPr>
                <w:rFonts w:ascii="Times New Roman;serif" w:hAnsi="Times New Roman;serif"/>
                <w:b w:val="false"/>
                <w:color w:val="000000"/>
                <w:sz w:val="13"/>
              </w:rPr>
              <w:t>(3) (4)</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520,867</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Douglas Casey</w:t>
            </w:r>
            <w:r>
              <w:rPr>
                <w:rFonts w:ascii="Times New Roman;serif" w:hAnsi="Times New Roman;serif"/>
                <w:b w:val="false"/>
                <w:color w:val="000000"/>
                <w:sz w:val="13"/>
              </w:rPr>
              <w:t>(3)</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245,399</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Jared Kelly</w:t>
            </w:r>
            <w:r>
              <w:rPr>
                <w:rFonts w:ascii="Times New Roman;serif" w:hAnsi="Times New Roman;serif"/>
                <w:b w:val="false"/>
                <w:color w:val="000000"/>
                <w:sz w:val="13"/>
              </w:rPr>
              <w:t>(3)</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143,317</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Barclays PLC</w:t>
            </w:r>
            <w:r>
              <w:rPr>
                <w:rFonts w:ascii="Times New Roman;serif" w:hAnsi="Times New Roman;serif"/>
                <w:b w:val="false"/>
                <w:color w:val="000000"/>
                <w:sz w:val="13"/>
              </w:rPr>
              <w:t>(6)</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148,961</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Pinkney Partners, LP</w:t>
            </w:r>
            <w:r>
              <w:rPr>
                <w:rFonts w:ascii="Times New Roman;serif" w:hAnsi="Times New Roman;serif"/>
                <w:b w:val="false"/>
                <w:color w:val="000000"/>
                <w:sz w:val="13"/>
              </w:rPr>
              <w:t>(7)</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135,000</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Directors and Named Executive Officers</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 Porter Stansberry</w:t>
            </w:r>
            <w:r>
              <w:rPr>
                <w:rFonts w:ascii="Times New Roman;serif" w:hAnsi="Times New Roman;serif"/>
                <w:b w:val="false"/>
                <w:color w:val="000000"/>
                <w:sz w:val="13"/>
              </w:rPr>
              <w:t>(8)</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250,381</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2,837,659</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Michael Palmer</w:t>
            </w:r>
            <w:r>
              <w:rPr>
                <w:rFonts w:ascii="Times New Roman;serif" w:hAnsi="Times New Roman;serif"/>
                <w:b w:val="false"/>
                <w:color w:val="000000"/>
                <w:sz w:val="13"/>
              </w:rPr>
              <w:t>(3)</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4,307</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1,296,284</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Dr. David Eifrig</w:t>
            </w:r>
            <w:r>
              <w:rPr>
                <w:rFonts w:ascii="Times New Roman;serif" w:hAnsi="Times New Roman;serif"/>
                <w:b w:val="false"/>
                <w:color w:val="000000"/>
                <w:sz w:val="13"/>
              </w:rPr>
              <w:t>(3) (5)</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8,223</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324,071</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Erik Mickels</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Marco Galsim</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15,775</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Matthew Turner</w:t>
            </w:r>
            <w:r>
              <w:rPr>
                <w:rFonts w:ascii="Times New Roman;serif" w:hAnsi="Times New Roman;serif"/>
                <w:b w:val="false"/>
                <w:color w:val="000000"/>
                <w:sz w:val="13"/>
              </w:rPr>
              <w:t>(9)</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15,502</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19,012</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Glenn Tongue</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21,308</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 Simmons</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18,160</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Matthew Smith</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14,960</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directors and executive officers as a group (10 individuals)</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359,571</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4,477,026</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*Less than one percent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(1)For the purpose of calculating the Class A Common Stock beneficially owned by each stockholder, the total number of shares of Class A Common Stock outstanding does not include the shares of Class A Common Stock issuable upon conversion of LLC Units and forfeiture of a corresponding number of shares of Class B Common Stock.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(2)Represents shares held of record 85% by Monument &amp; Cathedral, LLC and 15% by certain former equityholders of Monument &amp; Cathedral, LLC who have entered into a voting proxy with respect to their shares in favor of Monument &amp; Cathedral, LLC. Monument &amp; Cathedral, LLC has voting power over 100% of such shares and dispositive power with respect to 85% of such shares. Monument &amp; Cathedral, LLC’s sole manager is Cobblestone Publishing, Inc. (“Cobblestone”). The bylaws of Cobblestone provide the president of Cobblestone with sole voting and dispositive control of the shares held directly or indirectly by Cobblestone. As the current president of Cobblestone, Erica Nolan has voting and dispositive control over the shares owned by Monument &amp; Cathedral, LLC. The business address for each such stockholder is 14 W. Mount Vernon Place, Baltimore, Maryland 21201.</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(3)In accordance with Rule 13d-3 under the Exchange Act, this stockholder would be deemed to beneficially own more than five percent of the Class A Common Stock as result of such stockholder’s ownership of LLC Units.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(4)Mark Arnold controls Jama 2021, LLC. Therefore, Mark Arnold may be deemed to be the beneficial owner of the securities held by Jama 2021, LLC.</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(5)Represents 324,071 Class B shares held by Charleston Ivy, LLC. Dr. Eifrig maintains voting and investment discretion over such securities.</w:t>
      </w:r>
    </w:p>
    <w:p>
      <w:pPr>
        <w:pStyle w:val="TextBody"/>
        <w:bidi w:val="0"/>
        <w:spacing w:lineRule="auto" w:line="288"/>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(6)Based on a Schedule 13-G filed on August 12, 2025 with the SEC by Barclays PLC, which is the Company’s best available information relating to Barclays PLC's ownership of Company common stock. The principal place of business of each reporting person is 1 Churchill Place PLC, London - E14 5HP</w:t>
      </w:r>
    </w:p>
    <w:p>
      <w:pPr>
        <w:pStyle w:val="TextBody"/>
        <w:bidi w:val="0"/>
        <w:spacing w:before="0" w:after="2"/>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(7)Based on a Schedule 13-G filed on March 27, 2026 with the SEC by Pinkney Partners, L.P., which is the Company’s best available information relating to Pinkney Partners, L.P.'s ownership of Company common stock. The principal place of business of each reporting person is 201 Main Street, Suite 3200, Fort Worth, TX, 76102</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(8)Frank Porter Stansberry controls Stokes Holding, LLC. Therefore, Frank Porter Stansberry may be deemed to be the beneficial owner of the securities held by Stokes Holding, LLC.</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(9)Mr. Turner has granted an irrevocable voting proxy with respect to his shares to Monument and Cathedral, LLC. For more information, see footnote 2.</w:t>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509" w:type="dxa"/>
        <w:jc w:val="left"/>
        <w:tblInd w:w="0" w:type="dxa"/>
        <w:tblLayout w:type="fixed"/>
        <w:tblCellMar>
          <w:top w:w="28" w:type="dxa"/>
          <w:left w:w="28" w:type="dxa"/>
          <w:bottom w:w="28" w:type="dxa"/>
          <w:right w:w="28" w:type="dxa"/>
        </w:tblCellMar>
      </w:tblPr>
      <w:tblGrid>
        <w:gridCol w:w="2083"/>
        <w:gridCol w:w="1831"/>
        <w:gridCol w:w="2595"/>
      </w:tblGrid>
      <w:tr>
        <w:trPr/>
        <w:tc>
          <w:tcPr>
            <w:tcW w:w="2083"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top w:val="single" w:sz="36"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CERTAIN RELATIONSHIPS AND RELATED PERSON TRANSACTIONS</w:t>
            </w:r>
          </w:p>
        </w:tc>
      </w:tr>
    </w:tbl>
    <w:p>
      <w:pPr>
        <w:pStyle w:val="TextBody"/>
        <w:bidi w:val="0"/>
        <w:spacing w:lineRule="auto" w:line="240" w:before="200" w:after="283"/>
        <w:jc w:val="left"/>
        <w:rPr>
          <w:rFonts w:ascii="Times New Roman;serif" w:hAnsi="Times New Roman;serif"/>
          <w:b/>
          <w:color w:val="000000"/>
          <w:sz w:val="20"/>
        </w:rPr>
      </w:pPr>
      <w:r>
        <w:rPr>
          <w:rFonts w:ascii="Times New Roman;serif" w:hAnsi="Times New Roman;serif"/>
          <w:b/>
          <w:color w:val="000000"/>
          <w:sz w:val="20"/>
        </w:rPr>
        <w:t>Earnout</w:t>
      </w:r>
    </w:p>
    <w:p>
      <w:pPr>
        <w:pStyle w:val="TextBody"/>
        <w:bidi w:val="0"/>
        <w:spacing w:lineRule="auto" w:line="240" w:before="200" w:after="283"/>
        <w:jc w:val="left"/>
        <w:rPr>
          <w:rFonts w:ascii="Times New Roman;serif" w:hAnsi="Times New Roman;serif"/>
          <w:b/>
          <w:i/>
          <w:color w:val="000000"/>
          <w:sz w:val="20"/>
        </w:rPr>
      </w:pPr>
      <w:r>
        <w:rPr>
          <w:rFonts w:ascii="Times New Roman;serif" w:hAnsi="Times New Roman;serif"/>
          <w:b/>
          <w:i/>
          <w:color w:val="000000"/>
          <w:sz w:val="20"/>
        </w:rPr>
        <w:t>Management Members Earnout Shares</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Business Combination Agreement, dated as of March 1, 2021, by and among Ascendant Digital Acquisition Corp., MarketWise, LLC, all of the members of MarketWise, LLC, and Shareholder Representative Services LLC, (as amended, the “Transaction Agreement” Capitalized terms used but not defined in this section shall have their respective meanings given to them in the Transaction Agreement), prior to the expiration of the Earnout Period we may allocate up to 100,000 Management Members Earnout Shares in the aggregate to the Management Members, such members and amounts to be determined by us. On September 30, 2021, we allocated 100,000 Management Members Earnout Shares in accordance with the Transaction Agreement, and in connection with that allocation, we issued to Continental Stock Transfer &amp; Trust Company (the “Escrow Agent”), the aggregate number of allocated Management Members Earnout Shares, to be held on behalf of the applicable Management Members in an escrow account (the “Escrow Account”) established pursuant to the escrow agreement entered into at the closing of the Transactions (the “Escrow Agreement”). The Management Members Earnout Shares will be released and delivered as follows (subject to the terms and conditions of the Transaction Agreement and the Escrow Agreement): (i) 50% of the Management Members Earnout Shares that have been allocated to any Management Member as of the occurrence of Triggering Event I (as defined below) will be released from the Escrow Account to such Management Member upon the occurrence of Triggering Event I; (ii) the remaining Management Members Earnout Shares held in the Escrow Account will be released from the Escrow Account upon the occurrence of Triggering Event II (as defined below) and distributed to the Management Member to whom such Management Member Earnout Shares have been allocated; and (iii) if the conditions set forth in (i) or (ii) above have not been satisfied within the Earnout Period, any Management Members Earnout Shares remaining in the Escrow Account will be automatically released to us for cancellation.</w:t>
      </w:r>
    </w:p>
    <w:p>
      <w:pPr>
        <w:pStyle w:val="TextBody"/>
        <w:bidi w:val="0"/>
        <w:spacing w:lineRule="auto" w:line="240" w:before="200" w:after="283"/>
        <w:jc w:val="left"/>
        <w:rPr>
          <w:color w:val="000000"/>
        </w:rPr>
      </w:pPr>
      <w:r>
        <w:rPr>
          <w:color w:val="000000"/>
        </w:rPr>
        <w:t>“</w:t>
      </w:r>
      <w:r>
        <w:rPr>
          <w:rFonts w:ascii="Times New Roman;serif" w:hAnsi="Times New Roman;serif"/>
          <w:b w:val="false"/>
          <w:color w:val="000000"/>
          <w:sz w:val="20"/>
        </w:rPr>
        <w:t>Triggering Event I” is defined in the Transaction Agreement as (i) the date on which the daily volume-weighted average price per share of Class A common stock for a period of at least 20 trading days out of 30 consecutive trading days ending on the trading day immediately prior to the date of determination (as adjusted for stock splits, stock dividends, reorganizations, recapitalizations, and the like) is equal to or greater than $240.00 or (ii) if we consummate a transaction (not including the Transactions) that results in our stockholders having the right to exchange their shares for cash, securities, or other property having a value equaling or exceeding $240.00 per share (for any non-cash proceeds, as determined based on the agreed valuation set forth in the applicable definitive agreements for such transaction or, in the absence of such valuation, as determined in good faith by our Board), in either case of (i) and (ii), within the Earnout Period.</w:t>
      </w:r>
    </w:p>
    <w:p>
      <w:pPr>
        <w:pStyle w:val="TextBody"/>
        <w:bidi w:val="0"/>
        <w:spacing w:lineRule="auto" w:line="240" w:before="200" w:after="283"/>
        <w:jc w:val="left"/>
        <w:rPr>
          <w:color w:val="000000"/>
        </w:rPr>
      </w:pPr>
      <w:r>
        <w:rPr>
          <w:color w:val="000000"/>
        </w:rPr>
        <w:t>“</w:t>
      </w:r>
      <w:r>
        <w:rPr>
          <w:rFonts w:ascii="Times New Roman;serif" w:hAnsi="Times New Roman;serif"/>
          <w:b w:val="false"/>
          <w:color w:val="000000"/>
          <w:sz w:val="20"/>
        </w:rPr>
        <w:t>Triggering Event II” is defined in the Transaction Agreement as (i) the date on which the daily volume-weighted average price per share of Class A common stock for a period of at least 20 trading days out of 30 consecutive trading days ending on the trading day immediately prior to the date of determination (as adjusted for stock splits, stock dividends, reorganizations, recapitalizations, and the like) is equal to or greater than $280.00 or (ii) if we consummate a transaction (not including the Transactions) that results in our stockholders having the right to exchange their shares for cash, securities, or other property having a value equaling or exceeding $280.00 per share (for any non-cash proceeds, as determined based on the agreed valuation set forth in the applicable definitive agreements for such transaction or, in the absence of such valuation, as determined in good faith by our Board), in either case of (i) and (ii), within the Earnout Period.</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conditions set forth in Triggering Event I and Triggering Event II above were not satisfied within the Earnout Period. Pursuant to the Transaction Agreement, Management Members Earnout Shares remaining in the Escrow Account were released and cancelled on September 16, 2025. </w:t>
      </w:r>
    </w:p>
    <w:p>
      <w:pPr>
        <w:pStyle w:val="TextBody"/>
        <w:bidi w:val="0"/>
        <w:spacing w:before="0" w:after="2"/>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40" w:before="200" w:after="283"/>
        <w:jc w:val="left"/>
        <w:rPr>
          <w:rFonts w:ascii="Times New Roman;serif" w:hAnsi="Times New Roman;serif"/>
          <w:b/>
          <w:i/>
          <w:color w:val="000000"/>
          <w:sz w:val="20"/>
        </w:rPr>
      </w:pPr>
      <w:r>
        <w:rPr>
          <w:rFonts w:ascii="Times New Roman;serif" w:hAnsi="Times New Roman;serif"/>
          <w:b/>
          <w:i/>
          <w:color w:val="000000"/>
          <w:sz w:val="20"/>
        </w:rPr>
        <w:t>Sponsor Earnout Shares</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Transaction Agreement, at the closing of the Transactions, the Sponsor delivered to the Escrow Agent 152,250 Sponsor Earnout Shares, which the Escrow Agent placed in the Escrow Account. The Sponsor Earnout Shares will be released and delivered as follows (subject to the terms and conditions of the Transaction Agreement and the Escrow Agreement): (i) upon the occurrence of Triggering Event I, 50% of the Sponsor Earnout Shares will be released from the Escrow Account and distributed to the Sponsor; (ii) upon the occurrence of Triggering Event II, 50% of the Sponsor Earnout Shares will be released from the Escrow Account and distributed to the Sponsor; and (iii) if the conditions set forth in (i) or (ii) above have not been satisfied within the Earnout Period, any Sponsor Earnout Shares remaining in the Escrow Account will be automatically released to us for cancellation. </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The conditions set forth in Triggering Event I and Triggering Event II above were not satisfied within the Earnout Period. Pursuant to the Transaction Agreement, Sponsor Earnout Shares remaining in the Escrow Account were released and cancelled on September 16, 2025.</w:t>
      </w:r>
    </w:p>
    <w:p>
      <w:pPr>
        <w:pStyle w:val="TextBody"/>
        <w:bidi w:val="0"/>
        <w:spacing w:lineRule="auto" w:line="240" w:before="200" w:after="283"/>
        <w:jc w:val="left"/>
        <w:rPr>
          <w:rFonts w:ascii="Times New Roman;serif" w:hAnsi="Times New Roman;serif"/>
          <w:b/>
          <w:color w:val="000000"/>
          <w:sz w:val="20"/>
        </w:rPr>
      </w:pPr>
      <w:r>
        <w:rPr>
          <w:rFonts w:ascii="Times New Roman;serif" w:hAnsi="Times New Roman;serif"/>
          <w:b/>
          <w:color w:val="000000"/>
          <w:sz w:val="20"/>
        </w:rPr>
        <w:t>Registration Rights Agreement</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closing of the Transactions, MarketWise, Inc., the Sponsor, the MarketWise Members, and certain other parties entered into the Registration Rights Agreement, pursuant to which MarketWise, Inc. agreed to register for resale, pursuant to Rule 415 under the Securities Act, certain shares of Class A common stock and other equity securities of MarketWise, Inc. that are held by the parties thereto from time to time. Pursuant to the Registration Rights Agreement, among other things, (i) we agreed to file and maintain registration statements covering the issuance of shares of Class A common stock upon redemption of MarketWise Units and the resale of MarketWise, Inc. securities held by the parties thereto from time to time, (ii) we will provide certain other registration rights for the shares of Class A common stock and certain other MarketWise, Inc. securities held by the MarketWise Members, the Sponsor, and certain other parties, and (iii) the Sponsor, the MarketWise Members, certain other holders, or their respective permitted transferees agreed not to transfer, sell, assign, or otherwise dispose of the shares of Class A common stock or Class B common stock held by such holders or such permitted transferees, as applicable, beginning on the closing of the Transactions and ending, (A)(i) with respect to the Sponsor and MarketWise Members that are members of our management team, on the earlier of (x) July 21, 2022 and (y) the date on which the last reported sale price of our Class A common stock equals or exceeds $12.00 per share (as adjusted for stock splits, stock dividends, reorganizations, recapitalizations, and the like) for any 20 trading days within any 30-trading day period commencing December 18, 2021 and (ii) with respect to the MarketWise Members that are not members of our management team, January 17, 2021, and (B) on the date on which we complete a liquidation, merger, share exchange, or other similar transaction that results in all of our stockholders having the right to exchange their shares of Class A common stock and Class B common stock for cash, securities, or other property, subject to certain exceptions.</w:t>
      </w:r>
    </w:p>
    <w:p>
      <w:pPr>
        <w:pStyle w:val="TextBody"/>
        <w:bidi w:val="0"/>
        <w:spacing w:lineRule="auto" w:line="240" w:before="200" w:after="283"/>
        <w:jc w:val="left"/>
        <w:rPr>
          <w:rFonts w:ascii="Times New Roman;serif" w:hAnsi="Times New Roman;serif"/>
          <w:b/>
          <w:color w:val="000000"/>
          <w:sz w:val="20"/>
        </w:rPr>
      </w:pPr>
      <w:r>
        <w:rPr>
          <w:rFonts w:ascii="Times New Roman;serif" w:hAnsi="Times New Roman;serif"/>
          <w:b/>
          <w:color w:val="000000"/>
          <w:sz w:val="20"/>
        </w:rPr>
        <w:t>Tax Receivable Agreement</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We expect to obtain an increase in our share of the tax basis of the assets of MarketWise, LLC (1) if and when (as described below under “MarketWise Operating Agreement”) the MarketWise Members receive shares of our Class A common stock (or, at our election, cash) in connection with any redemption or exchange of MarketWise Units pursuant to the MarketWise Operating Agreement and (2) in connection with certain distributions (or deemed distributions) by MarketWise, LLC (any such basis increase, the “Basis Adjustments”). The parties intend to treat any such redemption or exchange of MarketWise Units described in clause (1) above as a direct purchase by us of MarketWise Units from the MarketWise Members for U.S. federal income and other applicable tax purposes, regardless of whether such MarketWise Units are surrendered by the MarketWise Members to MarketWise, LLC for redemption or sold to us upon the exercise of our election to acquire such MarketWise Units directly. A Basis Adjustment may have the effect of increasing (for income tax purposes) depreciation and amortization deductions allocable to us and thereby reducing the amounts that we would otherwise pay in the future to various tax authorities. The Basis Adjustments may also decrease gains (or increase losses) on future dispositions of certain assets to the extent tax basis is allocated to those assets.</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consummation of the Transactions, we entered into the Tax Receivable Agreement with the MarketWise Members and MarketWise, LLC. The Tax Receivable Agreement provides for the payment by us to the MarketWise Members of 85% of the amount of tax benefits, if any, that we actually realize, or in some circumstances are deemed to realize, as a result of the transactions described above, including increases in the tax basis of the assets of MarketWise, LLC attributable to payments made under the Tax Receivable Agreement and deductions attributable to imputed interest deemed paid pursuant to the Tax Receivable Agreement. MarketWise, LLC will have in effect an election under Section 754 of the U.S. Internal Revenue Code of 1986, as amended (the “Code”) effective for each taxable year in which a redemption or exchange of MarketWise Units for shares of our Class A common stock or cash occurs. These Tax Receivable Agreement payments are not conditioned upon any continued ownership interest in either MarketWise, LLC or us by the MarketWise Members. The rights of the MarketWise Members under the Tax Receivable Agreement are assignable to transferees, including transferees of the MarketWise Units (other than us or MarketWise, LLC as transferee pursuant to subsequent redemptions or exchanges of the transferred MarketWise Units). We expect to benefit from the remaining 15% of tax benefits, if any, that we may actually realize.</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The actual Basis Adjustments, as well as any amounts paid to the MarketWise Members under the Tax Receivable Agreement, will vary depending on a number of factors, including:</w:t>
      </w:r>
    </w:p>
    <w:p>
      <w:pPr>
        <w:pStyle w:val="TextBody"/>
        <w:bidi w:val="0"/>
        <w:spacing w:lineRule="auto" w:line="240" w:before="200" w:after="283"/>
        <w:ind w:left="0" w:right="0" w:hanging="360"/>
        <w:jc w:val="left"/>
        <w:rPr/>
      </w:pPr>
      <w:r>
        <w:rPr>
          <w:color w:val="000000"/>
        </w:rPr>
        <w:t>•</w:t>
      </w:r>
      <w:r>
        <w:rPr>
          <w:rFonts w:ascii="Times New Roman;serif" w:hAnsi="Times New Roman;serif"/>
          <w:b w:val="false"/>
          <w:i/>
          <w:color w:val="000000"/>
          <w:sz w:val="20"/>
        </w:rPr>
        <w:t>the price of shares of Class A common stock in connection at the time of redemptions or exchanges</w:t>
      </w:r>
      <w:r>
        <w:rPr>
          <w:color w:val="000000"/>
        </w:rPr>
        <w:t>—</w:t>
      </w:r>
      <w:r>
        <w:rPr>
          <w:rFonts w:ascii="Times New Roman;serif" w:hAnsi="Times New Roman;serif"/>
          <w:b w:val="false"/>
          <w:color w:val="000000"/>
          <w:sz w:val="20"/>
        </w:rPr>
        <w:t>the Basis Adjustments, as well as any related increase in any tax deductions, are directly related to the price of shares of Class A common stock at the time of each redemption or exchange;</w:t>
      </w:r>
    </w:p>
    <w:p>
      <w:pPr>
        <w:pStyle w:val="TextBody"/>
        <w:bidi w:val="0"/>
        <w:spacing w:lineRule="auto" w:line="240" w:before="200" w:after="283"/>
        <w:ind w:left="0" w:right="0" w:hanging="360"/>
        <w:jc w:val="left"/>
        <w:rPr/>
      </w:pPr>
      <w:r>
        <w:rPr>
          <w:color w:val="000000"/>
        </w:rPr>
        <w:t>•</w:t>
      </w:r>
      <w:r>
        <w:rPr>
          <w:rFonts w:ascii="Times New Roman;serif" w:hAnsi="Times New Roman;serif"/>
          <w:b w:val="false"/>
          <w:i/>
          <w:color w:val="000000"/>
          <w:sz w:val="20"/>
        </w:rPr>
        <w:t>the timing of any subsequent redemptions or exchanges</w:t>
      </w:r>
      <w:r>
        <w:rPr>
          <w:color w:val="000000"/>
        </w:rPr>
        <w:t>—</w:t>
      </w:r>
      <w:r>
        <w:rPr>
          <w:rFonts w:ascii="Times New Roman;serif" w:hAnsi="Times New Roman;serif"/>
          <w:b w:val="false"/>
          <w:color w:val="000000"/>
          <w:sz w:val="20"/>
        </w:rPr>
        <w:t>for instance, the increase in any tax deductions will vary depending on the fair market value, which may fluctuate over time, of the depreciable or amortizable assets of MarketWise, LLC at the time of each redemption or exchange or distribution (or deemed distribution);</w:t>
      </w:r>
    </w:p>
    <w:p>
      <w:pPr>
        <w:pStyle w:val="TextBody"/>
        <w:bidi w:val="0"/>
        <w:spacing w:lineRule="auto" w:line="240" w:before="200" w:after="283"/>
        <w:ind w:left="0" w:right="0" w:hanging="360"/>
        <w:jc w:val="left"/>
        <w:rPr/>
      </w:pPr>
      <w:r>
        <w:rPr>
          <w:color w:val="000000"/>
        </w:rPr>
        <w:t>•</w:t>
      </w:r>
      <w:r>
        <w:rPr>
          <w:rFonts w:ascii="Times New Roman;serif" w:hAnsi="Times New Roman;serif"/>
          <w:b w:val="false"/>
          <w:i/>
          <w:color w:val="000000"/>
          <w:sz w:val="20"/>
        </w:rPr>
        <w:t>the extent to which such redemptions or exchanges are taxable</w:t>
      </w:r>
      <w:r>
        <w:rPr>
          <w:color w:val="000000"/>
        </w:rPr>
        <w:t>—</w:t>
      </w:r>
      <w:r>
        <w:rPr>
          <w:rFonts w:ascii="Times New Roman;serif" w:hAnsi="Times New Roman;serif"/>
          <w:b w:val="false"/>
          <w:color w:val="000000"/>
          <w:sz w:val="20"/>
        </w:rPr>
        <w:t>if a redemption or exchange is not taxable for any reason, the Basis Adjustments, as well as any related increase in tax deductions, relating to such redemption or exchange will not be available; and</w:t>
      </w:r>
    </w:p>
    <w:p>
      <w:pPr>
        <w:pStyle w:val="TextBody"/>
        <w:bidi w:val="0"/>
        <w:spacing w:before="0" w:after="2"/>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40" w:before="200" w:after="283"/>
        <w:ind w:left="0" w:right="0" w:hanging="360"/>
        <w:jc w:val="left"/>
        <w:rPr/>
      </w:pPr>
      <w:r>
        <w:rPr>
          <w:color w:val="000000"/>
        </w:rPr>
        <w:t>•</w:t>
      </w:r>
      <w:r>
        <w:rPr>
          <w:rFonts w:ascii="Times New Roman;serif" w:hAnsi="Times New Roman;serif"/>
          <w:b w:val="false"/>
          <w:i/>
          <w:color w:val="000000"/>
          <w:sz w:val="20"/>
        </w:rPr>
        <w:t>the amount and timing of our income</w:t>
      </w:r>
      <w:r>
        <w:rPr>
          <w:color w:val="000000"/>
        </w:rPr>
        <w:t>—</w:t>
      </w:r>
      <w:r>
        <w:rPr>
          <w:rFonts w:ascii="Times New Roman;serif" w:hAnsi="Times New Roman;serif"/>
          <w:b w:val="false"/>
          <w:color w:val="000000"/>
          <w:sz w:val="20"/>
        </w:rPr>
        <w:t>the Tax Receivable Agreement generally will require us to pay 85% of the tax benefits as and when those benefits are treated as realized under the terms of the Tax Receivable Agreement. If we do not have taxable income, we generally will not be required (absent a change of control or other circumstances requiring an early termination payment) to make payments under the Tax Receivable Agreement for that taxable year because no tax benefits will have been actually realized. However, any tax benefits that do not result in realized tax benefits in a given taxable year will likely generate tax attributes that may be utilized to generate tax benefits in previous or future taxable years. The utilization of any such tax attributes generally will result in payments under the Tax Receivable Agreement.</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For purposes of the Tax Receivable Agreement, cash savings in income tax will be computed by comparing our actual income tax liability (subject to certain assumptions relating to state and local income taxes) to the amount of such taxes that we would have been required to pay had there been no Basis Adjustments and had the Tax Receivable Agreement not been entered into. The Tax Receivable Agreement generally applies to each of our taxable years, beginning with the 2021 taxable year. There is no maximum term for the Tax Receivable Agreement; however, the Tax Receivable Agreement may be voluntarily terminated by us pursuant to an early termination procedure and shall be terminated upon the occurrence of certain mergers, asset sales, other forms of business combinations, or other changes of control or our material breach of our material obligations under the Tax Receivable Agreement under certain circumstances, and in each case we shall be obligated to pay the MarketWise Members an agreed upon amount equal to the estimated present value of the remaining payments to be made under the agreement (calculated based on certain assumptions, including regarding tax rates and utilization of the Basis Adjustments). However, our ability to make such payment may be subject to various limitations and restrictions, such as restrictions on distributions that would either violate any contract or agreement to which we or MarketWise, LLC are then a party, or any applicable law.</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The payment obligations under the Tax Receivable Agreement are our obligations and not of MarketWise, LLC. Although the actual timing and amount of any payments that may be made under the Tax Receivable Agreement will vary, we expect that the payments that we may be required to make to the MarketWise Members will be substantial. Any payments made by us to the MarketWise Members under the Tax Receivable Agreement will generally reduce the amount of cash that might have otherwise been available to us. To the extent that we are unable to make payments under the Tax Receivable Agreement for any reason, the unpaid amounts will be deferred and will accrue interest until paid. Our failure to make any payment required under the Tax Receivable Agreement (including any accrued and unpaid interest) within 90 calendar days of the date on which the payment is required to be made will constitute a material breach of a material obligation under the Tax Receivable Agreement, which will generally terminate the Tax Receivable Agreement and accelerate payments thereunder, unless the applicable payment is not made because (i) we are prohibited from making such payment under the terms of the Tax Receivable Agreement or the terms governing certain of our indebtedness or (ii) we do not have, and despite using commercially reasonable efforts cannot obtain, sufficient funds to make such payment. In addition, we are obligated to use commercially reasonable efforts to avoid entering into any agreements that could be reasonably anticipated to materially delay the timing of the making of any payments under the Tax Receivable Agreement, which could limit our ability to pursue strategic transactions.</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Decisions made by us in the course of running our business, such as with respect to mergers, asset sales, other forms of business combinations, or other changes in control, may influence the timing and amount of payments that are received by the MarketWise Members under the Tax Receivable Agreement. For example, the earlier disposition of assets following a transaction that results in a Basis Adjustment will generally accelerate payments under the Tax Receivable Agreement and increase the present value of such payments.</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The Tax Receivable Agreement provides that if (i) we materially breach any of our material obligations under the Tax Receivable Agreement, (ii) certain mergers, asset sales, other forms of business combinations, or other changes of control were to occur, or (iii) we elect an early termination of the Tax Receivable Agreement, then our obligations, or our successor’s obligations, under the Tax Receivable Agreement would accelerate and become due and payable, based on certain assumptions, including an assumption that we would have sufficient taxable income to fully utilize all potential future tax benefits that are subject to the Tax Receivable Agreement, and an assumption that, as of the effective date of the acceleration, any MarketWise Member that has MarketWise Units that have not been exchanged is deemed to have exchanged such MarketWise Units for the fair market value of the shares of our Class A common stock or the amount of cash that would be received by such MarketWise Member had such MarketWise Units actually been exchanged on such date, whichever is lower. However, as noted above, our ability to make such payments may be limited by restrictions on distributions that would either violate any contract or agreement to which we or MarketWise, LLC are then a party, or any applicable law.</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As a result of the foregoing, we would be required to make an immediate cash payment equal to the estimated present value (calculated based on a discount rate equal to LIBOR plus 100 basis points) of the anticipated future tax benefits that are the subject of the Tax Receivable Agreement based on certain assumptions, which payment may be made significantly in advance of the actual realization, if any, of those future tax benefits and, therefore, we could be required to make cash payments to the MarketWise Members that are greater than the specified percentage of the actual benefits we ultimately realize in respect of the tax benefits that are subject to the Tax Receivable Agreement. In these situations, our obligations under the Tax Receivable Agreement could have a material adverse effect on our liquidity and could have the effect of delaying, deferring or preventing certain mergers, asset sales, other forms of business combinations, or other changes of control. We cannot assure that we will be able to finance our obligations under the Tax Receivable Agreement or that we will be able to make the immediate cash payment described above to the extent our or MarketWise, LLC’s ability to make such payment is restricted as described above.</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Payments under the Tax Receivable Agreement will be based on the tax reporting positions that we determine, and the IRS or another tax authority may challenge all or part of the Basis Adjustments, as well as other related tax positions we take, and a court could sustain any such challenge. If the outcome of any such challenge to any Basis Adjustments or the deduction of imputed interest deemed paid pursuant to the Tax Receivable Agreement would reasonably be expected to materially affect a recipient’s payments under the Tax Receivable Agreement, then we will not be permitted to settle or to fail to contest such challenge without the consent (not to be unreasonably withheld or delayed) of each MarketWise Member, and any such restrictions will apply for as long as the Tax Receivable Agreement remains in effect. We will not be reimbursed for any cash payments previously made to the MarketWise Members pursuant to the Tax Receivable Agreement if any tax benefits initially claimed by us are subsequently challenged by a taxing authority and ultimately disallowed. Instead, in such circumstances, any excess cash payments made by us to the MarketWise Members will be netted against any future cash payments that we might otherwise be required to make under the terms of the Tax Receivable Agreement. However, we might not determine that we have effectively made an excess cash payment to the MarketWise Members for a number of years following the initial time of such payment. As a result, it is possible that we could make cash payments under the Tax Receivable Agreement that are substantially greater than our actual cash tax savings.</w:t>
      </w:r>
    </w:p>
    <w:p>
      <w:pPr>
        <w:pStyle w:val="TextBody"/>
        <w:bidi w:val="0"/>
        <w:spacing w:before="0" w:after="2"/>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Payments are generally due under the Tax Receivable Agreement within a specified period of time following the filing of our tax return for the taxable year with respect to which the payment obligation arises, although interest on such payments will begin to accrue at a rate of LIBOR plus 100 basis points from the due date (without extensions) of such tax return. Any late payments that may be made under the Tax Receivable Agreement will continue to accrue interest at LIBOR plus 500 basis points until such payments are made, including any late payments that we may subsequently make because we did not have enough available cash to satisfy our payment obligations at the time at which they originally arose or were prohibited from making such payments under the terms governing certain of our indebtedness (although such payments are not considered late payments and therefore would accrue interest at the lower interest if we make such payments promptly after such limitations are removed). Subject to certain exceptions as noted above, our failure to make any payment required under the Tax Receivable Agreement (including any accrued and unpaid interest) within 90 calendar days of the date on which the payment is required to be made will constitute a material breach of a material obligation under the Tax Receivable Agreement under certain circumstances, in which case, the Tax Receivable Agreement will terminate and future payments thereunder will be accelerated, as noted above.</w:t>
      </w:r>
    </w:p>
    <w:p>
      <w:pPr>
        <w:pStyle w:val="TextBody"/>
        <w:bidi w:val="0"/>
        <w:spacing w:lineRule="auto" w:line="240" w:before="200" w:after="283"/>
        <w:jc w:val="left"/>
        <w:rPr>
          <w:rFonts w:ascii="Times New Roman;serif" w:hAnsi="Times New Roman;serif"/>
          <w:b/>
          <w:color w:val="000000"/>
          <w:sz w:val="20"/>
        </w:rPr>
      </w:pPr>
      <w:r>
        <w:rPr>
          <w:rFonts w:ascii="Times New Roman;serif" w:hAnsi="Times New Roman;serif"/>
          <w:b/>
          <w:color w:val="000000"/>
          <w:sz w:val="20"/>
        </w:rPr>
        <w:t>MarketWise Operating Agreement</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consummation of the Transactions, MarketWise, Inc. and the other members of MarketWise, LLC entered into the MarketWise Operating Agreement.</w:t>
      </w:r>
    </w:p>
    <w:p>
      <w:pPr>
        <w:pStyle w:val="TextBody"/>
        <w:bidi w:val="0"/>
        <w:spacing w:lineRule="auto" w:line="240" w:before="200" w:after="283"/>
        <w:jc w:val="left"/>
        <w:rPr/>
      </w:pPr>
      <w:r>
        <w:rPr>
          <w:rFonts w:ascii="Times New Roman;serif" w:hAnsi="Times New Roman;serif"/>
          <w:b/>
          <w:i/>
          <w:color w:val="000000"/>
          <w:sz w:val="20"/>
        </w:rPr>
        <w:t>Appointment as Managing Member.</w:t>
      </w:r>
      <w:r>
        <w:rPr>
          <w:color w:val="000000"/>
        </w:rPr>
        <w:t xml:space="preserve"> </w:t>
      </w:r>
      <w:r>
        <w:rPr>
          <w:rFonts w:ascii="Times New Roman;serif" w:hAnsi="Times New Roman;serif"/>
          <w:b w:val="false"/>
          <w:color w:val="000000"/>
          <w:sz w:val="20"/>
        </w:rPr>
        <w:t>Under the MarketWise Operating Agreement, MarketWise, Inc. is the sole manager of MarketWise, LLC. As the sole manager, MarketWise, Inc. will generally be able to control all of the day-to-day business affairs and decision-making of MarketWise, LLC without the approval of any other member. As such, MarketWise, Inc., through its officers and directors, will be responsible for all operational and administrative decisions of MarketWise, LLC and daily management of MarketWise, LLC’s business. Pursuant to the terms of the MarketWise Operating Agreement, MarketWise, Inc. cannot be removed or replaced as the sole manager of MarketWise, LLC except by its resignation, which may be given at any time by written notice to the other members.</w:t>
      </w:r>
    </w:p>
    <w:p>
      <w:pPr>
        <w:pStyle w:val="TextBody"/>
        <w:bidi w:val="0"/>
        <w:spacing w:lineRule="auto" w:line="240" w:before="200" w:after="283"/>
        <w:jc w:val="left"/>
        <w:rPr/>
      </w:pPr>
      <w:r>
        <w:rPr>
          <w:rFonts w:ascii="Times New Roman;serif" w:hAnsi="Times New Roman;serif"/>
          <w:b/>
          <w:i/>
          <w:color w:val="000000"/>
          <w:sz w:val="20"/>
        </w:rPr>
        <w:t>Compensation; Expenses.</w:t>
      </w:r>
      <w:r>
        <w:rPr>
          <w:color w:val="000000"/>
        </w:rPr>
        <w:t xml:space="preserve"> </w:t>
      </w:r>
      <w:r>
        <w:rPr>
          <w:rFonts w:ascii="Times New Roman;serif" w:hAnsi="Times New Roman;serif"/>
          <w:b w:val="false"/>
          <w:color w:val="000000"/>
          <w:sz w:val="20"/>
        </w:rPr>
        <w:t>MarketWise, Inc. will not be entitled to compensation for its services as the manager of MarketWise, LLC except as expressly provided for in the MarketWise Operating Agreement. MarketWise, Inc. is entitled to reimbursement by MarketWise, LLC for reasonable out-of-pocket expenses incurred on behalf of MarketWise, LLC, including all expenses associated with being a public company and maintaining its corporate existence.</w:t>
      </w:r>
    </w:p>
    <w:p>
      <w:pPr>
        <w:pStyle w:val="TextBody"/>
        <w:bidi w:val="0"/>
        <w:spacing w:lineRule="auto" w:line="240" w:before="200" w:after="283"/>
        <w:jc w:val="left"/>
        <w:rPr/>
      </w:pPr>
      <w:r>
        <w:rPr>
          <w:rFonts w:ascii="Times New Roman;serif" w:hAnsi="Times New Roman;serif"/>
          <w:b/>
          <w:i/>
          <w:color w:val="000000"/>
          <w:sz w:val="20"/>
        </w:rPr>
        <w:t>Distributions.</w:t>
      </w:r>
      <w:r>
        <w:rPr>
          <w:color w:val="000000"/>
        </w:rPr>
        <w:t xml:space="preserve"> </w:t>
      </w:r>
      <w:r>
        <w:rPr>
          <w:rFonts w:ascii="Times New Roman;serif" w:hAnsi="Times New Roman;serif"/>
          <w:b w:val="false"/>
          <w:color w:val="000000"/>
          <w:sz w:val="20"/>
        </w:rPr>
        <w:t>The MarketWise Operating Agreement requires Tax Distributions (as defined therein) to be made by MarketWise, LLC to its members on a pro rata basis, except to the extent such distributions would render MarketWise, LLC insolvent or are otherwise prohibited by law. Tax Distributions will be made on a quarterly basis, to each member of MarketWise, LLC, including MarketWise, Inc., based on such member’s allocable share of the taxable income of MarketWise, LLC and an assumed tax rate that will be determined by MarketWise, Inc., as described below. For this purpose, each member’s allocable share of MarketWise, LLC’s taxable income shall be net of its share of taxable losses of MarketWise, LLC and, with respect to MarketWise, Inc., shall be determined without regard to any increases to the tax basis of our property pursuant to Sections 734(b) or 743(b) of the Code. The assumed tax rate for purposes of determining tax distributions from MarketWise, LLC to its members will be the highest combined federal, state, and local tax rate that may potentially apply to a corporate or individual taxpayer (whichever is higher) resident in Baltimore, Maryland, taking into account certain assumptions and without regard to the actual final tax liability of any such member. The MarketWise Operating Agreement also allows for cash distributions to be made by MarketWise, LLC (subject to MarketWise, Inc.’s sole discretion as the sole manager of MarketWise, LLC) to its members on a pro rata basis out of Distributable Cash (as defined therein). We expect MarketWise, LLC may make distributions out of Distributable Cash periodically and as necessary to enable us to cover MarketWise, Inc.’s operating expenses and other obligations, including tax liability and other obligations under the Tax Receivable Agreement, except to the extent such distributions would render MarketWise, LLC insolvent or are otherwise prohibited by law.</w:t>
      </w:r>
    </w:p>
    <w:p>
      <w:pPr>
        <w:pStyle w:val="TextBody"/>
        <w:bidi w:val="0"/>
        <w:spacing w:lineRule="auto" w:line="240" w:before="200" w:after="283"/>
        <w:jc w:val="left"/>
        <w:rPr/>
      </w:pPr>
      <w:r>
        <w:rPr>
          <w:rFonts w:ascii="Times New Roman;serif" w:hAnsi="Times New Roman;serif"/>
          <w:b/>
          <w:i/>
          <w:color w:val="000000"/>
          <w:sz w:val="20"/>
        </w:rPr>
        <w:t>Transfer Restrictions.</w:t>
      </w:r>
      <w:r>
        <w:rPr>
          <w:color w:val="000000"/>
        </w:rPr>
        <w:t xml:space="preserve"> </w:t>
      </w:r>
      <w:r>
        <w:rPr>
          <w:rFonts w:ascii="Times New Roman;serif" w:hAnsi="Times New Roman;serif"/>
          <w:b w:val="false"/>
          <w:color w:val="000000"/>
          <w:sz w:val="20"/>
        </w:rPr>
        <w:t>The MarketWise Operating Agreement generally does not permit transfers of MarketWise Units by members, except for transfers to permitted transferees, transfers pursuant to the participation right described below, and other limited exceptions. The MarketWise Operating Agreement may impose additional restrictions on transfers (including redemptions described below with respect to each MarketWise Unit) that are necessary or advisable so that MarketWise, LLC is not treated as a “publicly traded partnership” for U.S. federal income tax purposes. In the event of a permitted transfer under the MarketWise Operating Agreement, such transferring member will be required to simultaneously transfer shares of our Class B common stock held by such transferring member to such transferee equal to the number of MarketWise Units that were transferred to such transferee in such permitted transfer.</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The MarketWise Operating Agreement provides that, in the event that a tender offer, share exchange, issuer bid, take-over bid, recapitalization, or similar transaction with respect to our Class A common stock, each of which we refer to as a “PubCo Offer,” is approved by our Board or otherwise effected or to be effected with the consent or approval of our Board, each holder of MarketWise Units (other than MarketWise, Inc. and its subsidiaries) shall be permitted to participate in such PubCo Offer by delivering a participation redemption notice, which shall be effective immediately prior to, and contingent upon, the consummation of such PubCo Offer. If a PubCo Offer is initially proposed by MarketWise, Inc., then MarketWise, Inc. is required to use its reasonable best efforts to enable and permit the holders of such MarketWise Units to participate in such PubCo Offer to the same extent or on an economically equivalent basis as the holders of shares of our Class A common stock and without being required to exchange MarketWise Units or shares of our Class B Common Stock prior to consummation of the PubCo Offer; provided that in no event shall any such holder of MarketWise Units be entitled to receive aggregate consideration for each such MarketWise Unit that is greater than the consideration payable in respect of each share of our Class A common stock pursuant to the PubCo Offer.</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Except for certain exceptions, any transferee of MarketWise Units must assume, by executing a joinder to the MarketWise Operating Agreement, all of the obligations of a transferring member with respect to the transferred MarketWise Units, and such transferee shall be bound by any limitations and obligations under the MarketWise Operating Agreement (without relieving the transferring member from any applicable limitations and obligations) even if the transferee is not admitted as a member of MarketWise, LLC. A member shall retain all duties, liabilities, and obligations of a member until the transferee is accepted as a substitute member in accordance with the MarketWise Operating Agreement and MarketWise, Inc., as manager, may, in its sole discretion, reinstate all or any portion of the rights and privileges of such member with respect to such transferred MarketWise Units for any period of time prior to the admission date of the substitute member.</w:t>
      </w:r>
    </w:p>
    <w:p>
      <w:pPr>
        <w:pStyle w:val="TextBody"/>
        <w:bidi w:val="0"/>
        <w:spacing w:before="0" w:after="2"/>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40" w:before="200" w:after="283"/>
        <w:jc w:val="left"/>
        <w:rPr/>
      </w:pPr>
      <w:r>
        <w:rPr>
          <w:rFonts w:ascii="Times New Roman;serif" w:hAnsi="Times New Roman;serif"/>
          <w:b/>
          <w:i/>
          <w:color w:val="000000"/>
          <w:sz w:val="20"/>
        </w:rPr>
        <w:t>Maintenance of One-to-One Ratio between Shares of Class A Common Stock and MarketWise Units Owned by MarketWise, Inc., One-to-One Ratio between Sponsor Earnout Shares and Sponsor Earnout Units Owned by MarketWise, Inc., and One-to-one Ratio between Shares of Class B Common Stock and MarketWise Units Owned by the MarketWise Members.</w:t>
      </w:r>
      <w:r>
        <w:rPr>
          <w:color w:val="000000"/>
        </w:rPr>
        <w:t xml:space="preserve"> </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Except as otherwise determined by MarketWise, Inc., the MarketWise Operating Agreement requires MarketWise, LLC to take all actions with respect to its MarketWise Units, including issuances, reclassifications, distributions, divisions, or recapitalizations, to maintain at all times (1) a one-to-one ratio between the number of MarketWise Units owned by MarketWise, Inc., directly or indirectly, and the aggregate number of shares of our Class A common stock issued and outstanding (not including Sponsor Earnout Class A Shares (as defined in the MarketWise Operating Agreement)), (2) a one-to-one ratio between the number of Sponsor Earnout Units (as defined in the MarketWise Operating Agreement) owned by MarketWise, Inc., directly or indirectly, and the aggregate number of Sponsor Earnout Class A Shares issued and outstanding, and (3) a one-to-one ratio between the aggregate number of MarketWise Units owned by the MarketWise Members (other than MarketWise, Inc. and its subsidiaries), directly or indirectly, and the number of shares of our Class B common stock issued and outstanding. This ratio requirement disregards (1) shares of our Class A common stock issuable under unvested options issued by MarketWise, Inc. or Management Members Earnout Shares, (2) treasury stock, and (3) preferred stock or other debt or equity securities (including warrants, options, or rights) issued by MarketWise, Inc. that are convertible into or exercisable or exchangeable for shares of our Class A common stock, except to the extent MarketWise, Inc. has contributed the net proceeds from such other securities, including any exercise or purchase price payable upon conversion, exercise, or exchange thereof, to the equity capital of MarketWise, LLC. Except as otherwise determined by MarketWise, Inc., if MarketWise, Inc. issues, transfers, or delivers from treasury stock or repurchases or redeems shares of our Class A common stock in a transaction not contemplated by the MarketWise Operating Agreement, MarketWise, Inc. as manager of MarketWise, LLC will have the authority to take all actions such that, after giving effect to all such issuances, transfers, deliveries, or repurchases or redemptions, the number of outstanding MarketWise Units and Sponsor Earnout Units owned by MarketWise, Inc., directly or indirectly, equals, on a one-for-one basis, the number of outstanding shares of our Class A common stock (including Sponsor Earnout Class A Shares). Except as otherwise determined by MarketWise, Inc., if MarketWise, Inc. issues, transfers, or delivers from treasury stock or repurchases or redeems any of MarketWise, Inc.’s preferred stock in a transaction not contemplated by the MarketWise Operating Agreement, MarketWise, Inc. as manager has the authority to take all actions such that, after giving effect to all such issuances, transfers, deliveries repurchases or redemptions, MarketWise, Inc. holds (in the case of any issuance, transfer or delivery) or ceases to hold (in the case of any repurchase or redemption) equity interests in MarketWise, LLC which (in MarketWise, Inc.’s good faith determination) are in the aggregate substantially economically equivalent to the outstanding preferred stock of MarketWise, Inc. so issued, transferred, delivered, repurchased, or redeemed. Except as otherwise determined by MarketWise, Inc., MarketWise, LLC is prohibited from undertaking any subdivision (by any split of units, distribution of units, reclassification, recapitalization, or similar event) or combination (by reverse split of units, reclassification, division, recapitalization, or similar event) of MarketWise Units that is not accompanied by an identical subdivision or combination of (1) shares of our Class A common stock to maintain at all times a one-to-one ratio between the number of MarketWise Units owned by MarketWise, Inc. and the number of outstanding shares of our Class A common stock, (2) Sponsor Earnout Shares to maintain at all times a one-to-one ratio between the number of Sponsor Earnout Units owned by MarketWise, Inc. and the number of outstanding Sponsor Earnout Class A Shares, and (3) shares of our Class B common stock to maintain at all times a one-to-one ratio between the number of MarketWise Units owned by the members (other than MarketWise, Inc. and its subsidiaries) and the number of outstanding shares of our Class B common stock, as applicable, in each case, subject to certain exceptions.</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Excluding certain warrants, options, or similar instruments granted pursuant to any equity plan or stock option plan in effect on, or adopted after, the date of the MarketWise Operating Agreement by MarketWise, LLC or MarketWise, Inc., in the event any holder of a warrant to purchase shares of our Class A common stock (the “Upstairs Warrants”) exercises an Upstairs Warrant, then MarketWise, Inc. will cause a corresponding exercise (including by effecting such exercise in the same manner, i.e., by payment of a cash exercise price or on a cashless basis) of a warrant to purchase MarketWise Units with similar terms held by MarketWise, Inc., such that the number of shares of our Class A common stock issued in connection with the exercise of such Upstairs Warrants will be matched with a corresponding number of MarketWise Units issued by MarketWise, LLC to MarketWise, Inc. In the event that an Upstairs Warrant is redeemed, MarketWise, LLC will redeem a warrant to purchase MarketWise Units with similar terms held by MarketWise, Inc.</w:t>
      </w:r>
    </w:p>
    <w:p>
      <w:pPr>
        <w:pStyle w:val="TextBody"/>
        <w:bidi w:val="0"/>
        <w:spacing w:lineRule="auto" w:line="240" w:before="200" w:after="283"/>
        <w:jc w:val="left"/>
        <w:rPr/>
      </w:pPr>
      <w:r>
        <w:rPr>
          <w:rFonts w:ascii="Times New Roman;serif" w:hAnsi="Times New Roman;serif"/>
          <w:b/>
          <w:i/>
          <w:color w:val="000000"/>
          <w:sz w:val="20"/>
        </w:rPr>
        <w:t>Issuance of MarketWise Units upon Exercise of Options or Issuance of Other Equity Compensation.</w:t>
      </w:r>
      <w:r>
        <w:rPr>
          <w:color w:val="000000"/>
        </w:rPr>
        <w:t xml:space="preserve"> </w:t>
      </w:r>
      <w:r>
        <w:rPr>
          <w:rFonts w:ascii="Times New Roman;serif" w:hAnsi="Times New Roman;serif"/>
          <w:b w:val="false"/>
          <w:color w:val="000000"/>
          <w:sz w:val="20"/>
        </w:rPr>
        <w:t>When MarketWise, Inc. issues shares of our Class A common stock in settlement of stock options granted to persons that are not officers or employees of MarketWise, LLC or its subsidiaries, MarketWise, Inc. will make a capital contribution in an amount equal to the exercise price, and shall be deemed to make, a capital contribution to MarketWise, LLC equal to the aggregate value of such shares of our Class A common stock and MarketWise, LLC will issue to MarketWise, Inc. a number of MarketWise Units equal to the number of shares issued by MarketWise, Inc. When MarketWise, Inc. issues shares of our Class A common stock in settlement of stock options granted to persons that are officers or employees of MarketWise, LLC or its subsidiaries, then MarketWise, Inc. will be deemed to have sold directly to the person exercising such award a portion of the value of each share of our Class A common stock, as applicable, equal to the exercise price per share divided by the market price per share, and MarketWise, Inc. will be deemed to have sold directly to MarketWise, LLC (or the applicable subsidiary of MarketWise, LLC) the difference between the exercise price and market price per share for each such share of our Class A common stock. In cases where MarketWise, Inc. grants other types of equity compensation (including Management Members Earn-Out Shares) to employees of MarketWise, LLC or its subsidiaries, on each applicable vesting date MarketWise, Inc. will be deemed to have sold to MarketWise, LLC (or such subsidiary) the number of vested shares at a price equal to the market price per share, MarketWise, LLC (or such subsidiary) will deliver the shares to the applicable person, and MarketWise, Inc. will be deemed to have made a capital contribution to MarketWise, LLC equal to the purchase price for such shares in exchange for an equal number of MarketWise Units. In the event shares delivered to an applicable person are forfeited following vesting, the MarketWise Units issued to MarketWise, Inc. shall also be forfeited.</w:t>
      </w:r>
    </w:p>
    <w:p>
      <w:pPr>
        <w:pStyle w:val="TextBody"/>
        <w:bidi w:val="0"/>
        <w:spacing w:lineRule="auto" w:line="240" w:before="200" w:after="283"/>
        <w:jc w:val="left"/>
        <w:rPr/>
      </w:pPr>
      <w:r>
        <w:rPr>
          <w:rFonts w:ascii="Times New Roman;serif" w:hAnsi="Times New Roman;serif"/>
          <w:b/>
          <w:i/>
          <w:color w:val="000000"/>
          <w:sz w:val="20"/>
        </w:rPr>
        <w:t>Dissolution.</w:t>
      </w:r>
      <w:r>
        <w:rPr>
          <w:color w:val="000000"/>
        </w:rPr>
        <w:t xml:space="preserve"> </w:t>
      </w:r>
      <w:r>
        <w:rPr>
          <w:rFonts w:ascii="Times New Roman;serif" w:hAnsi="Times New Roman;serif"/>
          <w:b w:val="false"/>
          <w:color w:val="000000"/>
          <w:sz w:val="20"/>
        </w:rPr>
        <w:t xml:space="preserve">The MarketWise Operating Agreement will provide that the consent of MarketWise, Inc., as the managing member of MarketWise, LLC, and members holding a majority of the MarketWise Units then outstanding (excluding MarketWise Units held directly or indirectly by MarketWise, Inc.) will be required to voluntarily dissolve MarketWise, LLC. In addition to a voluntary dissolution, MarketWise, LLC will be dissolved upon the entry of a decree of judicial dissolution or other circumstances in accordance with Delaware law. Upon a dissolution event, the proceeds of a liquidation will be distributed in the following order: (1) first, to pay the expenses of winding up MarketWise, LLC; (2) second, to pay debts, liabilities and obligations owed to creditors of MarketWise, LLC other than members; (3) third, to pay debts, liabilities and obligations owed to the members (other than payments or distributions owed to the members in their capacity as such pursuant to the MarketWise Operating Agreement); and (4) fourth, to the members pro-rata in accordance with their </w:t>
      </w:r>
    </w:p>
    <w:p>
      <w:pPr>
        <w:pStyle w:val="TextBody"/>
        <w:bidi w:val="0"/>
        <w:spacing w:before="0" w:after="2"/>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respective percentage ownership interests in MarketWise, LLC (as determined based on the number of MarketWise Units held by a member relative to the aggregate number of all outstanding MarketWise Units).</w:t>
      </w:r>
    </w:p>
    <w:p>
      <w:pPr>
        <w:pStyle w:val="TextBody"/>
        <w:bidi w:val="0"/>
        <w:spacing w:lineRule="auto" w:line="240" w:before="200" w:after="283"/>
        <w:jc w:val="left"/>
        <w:rPr/>
      </w:pPr>
      <w:r>
        <w:rPr>
          <w:rFonts w:ascii="Times New Roman;serif" w:hAnsi="Times New Roman;serif"/>
          <w:b/>
          <w:i/>
          <w:color w:val="000000"/>
          <w:sz w:val="20"/>
        </w:rPr>
        <w:t xml:space="preserve">Confidentiality. </w:t>
      </w:r>
      <w:r>
        <w:rPr>
          <w:rFonts w:ascii="Times New Roman;serif" w:hAnsi="Times New Roman;serif"/>
          <w:b w:val="false"/>
          <w:color w:val="000000"/>
          <w:sz w:val="20"/>
        </w:rPr>
        <w:t>Each member of MarketWise, LLC (other than MarketWise, Inc.) agrees to maintain the confidentiality of MarketWise, LLC’s confidential information. This obligation excludes information independently developed by the members, information that is or becomes generally available to the public other than as a result by a member or its affiliates or representatives, information that is or becomes available to a member from a source other than MarketWise, Inc., MarketWise, LLC, or their representatives; provided that such source is not, and was not known, by such member to be bound by a confidentiality agreement with, or any other confidentiality obligation owed to MarketWise, Inc., MarketWise, LLC, or any of their respective affiliates or representatives or under the terms of the MarketWise Operating Agreement or information approved for release by written authorization of the Chief Executive Officer, the Chief Financial Officer, or the General Counsel of either MarketWise, LLC or MarketWise, Inc.</w:t>
      </w:r>
    </w:p>
    <w:p>
      <w:pPr>
        <w:pStyle w:val="TextBody"/>
        <w:bidi w:val="0"/>
        <w:spacing w:lineRule="auto" w:line="240" w:before="200" w:after="283"/>
        <w:jc w:val="left"/>
        <w:rPr/>
      </w:pPr>
      <w:r>
        <w:rPr>
          <w:rFonts w:ascii="Times New Roman;serif" w:hAnsi="Times New Roman;serif"/>
          <w:b/>
          <w:i/>
          <w:color w:val="000000"/>
          <w:sz w:val="20"/>
        </w:rPr>
        <w:t xml:space="preserve">Indemnification. </w:t>
      </w:r>
      <w:r>
        <w:rPr>
          <w:rFonts w:ascii="Times New Roman;serif" w:hAnsi="Times New Roman;serif"/>
          <w:b w:val="false"/>
          <w:color w:val="000000"/>
          <w:sz w:val="20"/>
        </w:rPr>
        <w:t>The MarketWise Operating Agreement will provide for indemnification of the manager, members and officers of MarketWise, LLC and their respective subsidiaries or affiliates.</w:t>
      </w:r>
    </w:p>
    <w:p>
      <w:pPr>
        <w:pStyle w:val="TextBody"/>
        <w:bidi w:val="0"/>
        <w:spacing w:lineRule="auto" w:line="240" w:before="200" w:after="283"/>
        <w:jc w:val="left"/>
        <w:rPr/>
      </w:pPr>
      <w:r>
        <w:rPr>
          <w:rFonts w:ascii="Times New Roman;serif" w:hAnsi="Times New Roman;serif"/>
          <w:b/>
          <w:i/>
          <w:color w:val="000000"/>
          <w:sz w:val="20"/>
        </w:rPr>
        <w:t>MarketWise Unit Redemption Right.</w:t>
      </w:r>
      <w:r>
        <w:rPr>
          <w:color w:val="000000"/>
        </w:rPr>
        <w:t xml:space="preserve"> </w:t>
      </w:r>
      <w:r>
        <w:rPr>
          <w:rFonts w:ascii="Times New Roman;serif" w:hAnsi="Times New Roman;serif"/>
          <w:b w:val="false"/>
          <w:color w:val="000000"/>
          <w:sz w:val="20"/>
        </w:rPr>
        <w:t>The MarketWise Operating Agreement will provide a redemption right to the members (other than MarketWise, Inc. and its subsidiaries) which will entitle them to have their MarketWise Units redeemed for, at MarketWise, Inc.’s election (determined by a majority of our independent directors (within the meaning of the Nasdaq rules) who are disinterested), newly issued shares of our Class A common stock on a one-for-one basis, or, to the extent funded with cash proceeds received from an equity offering by MarketWise, Inc., a cash payment equal to the volume weighted average market price of one share of our Class A common stock for each MarketWise Unit so redeemed, in each case in accordance with the terms of the MarketWise Operating Agreement. In connection with the exercise of the redemption or exchange of MarketWise Units (1) the members will be required to surrender an equal number of shares of our Class B common stock registered in the name of such redeeming or exchanging member, which will thereafter be transferred to MarketWise, Inc. and will be canceled for no consideration on a one-for-one basis with the number of MarketWise Units so redeemed or exchanged and (2) all redeeming members will surrender such MarketWise Units to MarketWise, LLC for cancellation. MarketWise, Inc. will then contribute cash or shares of our Class A common stock, as applicable, to MarketWise, LLC in exchange for an amount of newly issued MarketWise Units that will be issued to MarketWise, Inc. equal to the number of MarketWise Units redeemed from the member. MarketWise, LLC will then distribute the cash or shares of our Class A common stock, as applicable, to such member to complete the redemption. Alternatively, MarketWise, Inc. may, at its election determined by a majority of our independent directors (within the meaning of the Nasdaq rules) who are disinterested, effect a direct exchange with the applicable members of such shares of Class A common stock or such cash, as applicable, for such MarketWise Units in lieu of such a redemption. The determination of a whether to redeem MarketWise Units for shares of our Class A common stock or cash (an “Election Decision”) will be made by the “Disinterested Majority” of our Board. We expect that the Disinterested Majority will exclude any directors who directly or indirectly have a material interest (including an economic interest) in such Election Decision. By giving discretion for an Election Decision only to the Disinterested Majority, we seek to avoid conflicts of interest that could bring into question the integrity of such an Election Decision. In making an Election Decision, the Disinterested Majority may take into account general economic and business conditions, our financial condition and operating results, our available cash and current and anticipated cash needs, capital requirements, contractual, legal, tax, and regulatory restrictions, the potential dilutive impact of new issuances of Class A common stock, and such other factors as the Disinterested Majority may deem relevant.</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Each MarketWise Member’s (other than MarketWise, Inc. and its subsidiaries) redemption rights will be subject to certain customary limitations, including the expiration of any contractual lock-up period relating to the shares of our Class A common stock that may be applicable to such member and the absence of any liens or encumbrances on such MarketWise Units redeemed. Additionally, in the case MarketWise, Inc. elects a cash settlement, such member may retract its redemption request within a specified period of time. Moreover, in the case of a settlement in shares of our Class A common stock, such redemption may be conditioned on the closing of an underwritten distribution of the shares of our Class A common stock that may be issued in connection with such proposed redemption. In the case of a settlement in shares of our Class A common stock, such member may also revoke or delay its redemption request if the following conditions exist: (1) any registration statement pursuant to which the resale of the shares of our Class A common stock to be registered for such member at or immediately following the consummation of the redemption shall have ceased to be effective pursuant to any action or inaction by the SEC or no such resale registration statement has yet become effective; (2) MarketWise, Inc. failed to cause any related prospectus to be supplemented by any required prospectus supplement necessary to effect such redemption; (3) MarketWise, Inc. exercised its right to defer, delay, or suspend the filing or effectiveness of a registration statement and such deferral, delay or suspension shall affect the ability of such member to have its shares of Class A common stock registered at or immediately following the consummation of the redemption; (4) such member is in possession of any material non-public information concerning MarketWise, Inc., the receipt of which results in such member being prohibited or restricted from selling shares of Class A common stock at or immediately following the redemption without disclosure of such information (and MarketWise, Inc. does not permit disclosure); (5) any stop order relating to the registration statement pursuant to which the shares of Class A common stock were to be registered by such member at or immediately following the redemption shall have been issued by the SEC; (6) there shall have occurred a material disruption in the securities markets generally or in the market or markets in which the Class A common stock is then traded; (7) there shall be in effect an injunction, a restraining order or a decree of any nature of any governmental entity that restrains or prohibits the redemption; (8) MarketWise, Inc. shall have failed to comply in all material respects with its obligations under the Registration Rights Agreement, and such failure shall have affected the ability of such member to consummate the resale of the shares of Class A common stock to be received upon such redemption pursuant to an effective registration statement; or (9) the redemption date would occur three business days or less prior to, or during, a blackout period.</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Whether by redemption or exchange, MarketWise, Inc. is obligated to ensure that at all times the number of MarketWise Units that MarketWise, Inc. owns equals the number of outstanding shares of our Class A common stock (subject to certain exceptions for treasury shares and shares underlying certain convertible or exchangeable securities).</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Amendments. In addition to certain other requirements, MarketWise, Inc.’s prior written consent, as manager, and the prior written consent of members holding a majority of the MarketWise Units then outstanding and entitled to vote (excluding MarketWise Units held directly or indirectly by MarketWise, Inc.) will generally be required to amend or modify the MarketWise Operating Agreement.</w:t>
      </w:r>
    </w:p>
    <w:p>
      <w:pPr>
        <w:pStyle w:val="TextBody"/>
        <w:bidi w:val="0"/>
        <w:spacing w:before="0" w:after="2"/>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40" w:before="200" w:after="283"/>
        <w:jc w:val="left"/>
        <w:rPr>
          <w:rFonts w:ascii="Times New Roman;serif" w:hAnsi="Times New Roman;serif"/>
          <w:b/>
          <w:color w:val="000000"/>
          <w:sz w:val="20"/>
        </w:rPr>
      </w:pPr>
      <w:r>
        <w:rPr>
          <w:rFonts w:ascii="Times New Roman;serif" w:hAnsi="Times New Roman;serif"/>
          <w:b/>
          <w:color w:val="000000"/>
          <w:sz w:val="20"/>
        </w:rPr>
        <w:t>Licensing and Solicitation Fees</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Stansberry Research licenses its names and logos to Stansberry Asset Management LLC (“SAM”) in exchange for licensing fees. Stansberry Research, TradeSmith and other subsidiaries of the Company also receive solicitation fees from SAM when customers sign up to receive services from SAM. The amount of such fees accrued in the year ended December 31, 2025 was approximately $0.4 million. Marco Ferri, Mark Arnold, Stephen Sjuggerud, Porter Stansberry, Michael Palmer and David Eifrig are indirect, passive owners of SAM.</w:t>
      </w:r>
    </w:p>
    <w:p>
      <w:pPr>
        <w:pStyle w:val="TextBody"/>
        <w:bidi w:val="0"/>
        <w:spacing w:lineRule="auto" w:line="240" w:before="200" w:after="283"/>
        <w:jc w:val="left"/>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We lease an office property from Sandlapper II, LLC. Stephen Sjuggerud and Michael Palmer are owners of Sandlapper II, LLC. The amount paid under the lease in the year ended December 31, 2025 was approximately $0.1 million.</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lease certain office spaces from an affiliate of Monument and Cathedral, LLC. The amount paid under the lease in the year ended December 31, 2025 was approximately $1.9 million. We also paid an affiliate of Monument &amp; Cathedral, LLC $0.7 million in lease termination fees related to our former Legacy Research lease during the year ended December 31, 2025. </w:t>
      </w:r>
    </w:p>
    <w:p>
      <w:pPr>
        <w:pStyle w:val="TextBody"/>
        <w:bidi w:val="0"/>
        <w:spacing w:lineRule="auto" w:line="240" w:before="200" w:after="283"/>
        <w:jc w:val="left"/>
        <w:rPr>
          <w:rFonts w:ascii="Times New Roman;serif" w:hAnsi="Times New Roman;serif"/>
          <w:b/>
          <w:color w:val="000000"/>
          <w:sz w:val="20"/>
        </w:rPr>
      </w:pPr>
      <w:r>
        <w:rPr>
          <w:rFonts w:ascii="Times New Roman;serif" w:hAnsi="Times New Roman;serif"/>
          <w:b/>
          <w:color w:val="000000"/>
          <w:sz w:val="20"/>
        </w:rPr>
        <w:t>Revenue Share Arrangements</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Our operating companies regularly enter into informal revenue share arrangements with subsidiaries of Monument &amp; Cathedral, LLC. Under such arrangements, our operating companies pay such subsidiaries a percentage of the revenue generated by their marketing efforts or a fixed price for each customer that our operating companies acquire through their marketing efforts. These revenue share arrangements are generally informal and only last for the duration of the marketing effort, which is typically short term. In the year ended December 31, 2025, we paid Monument &amp; Cathedral, LLC or its subsidiaries approximately $4.7 million under such arrangements.</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Our operating companies also enter into similar informal arrangements under which subsidiaries of Monument &amp; Cathedral, LLC pay our participating operating companies for their marketing efforts. In the year ended December 31, 2025, Monument &amp; Cathedral, LLC paid us approximately $1.3 million under such arrangements.</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Our operating companies also enter into similar informal arrangements under which Porter &amp; Co. paid our participating operating companies for their marketing efforts. In the year ended December 31, 2025, Porter &amp; Co. paid us approximately $0.9 million under such arrangements.</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revenue share arrangements with Monument &amp; Cathedral, LLC and its subsidiaries and Porter &amp; Co. to continue. </w:t>
      </w:r>
    </w:p>
    <w:p>
      <w:pPr>
        <w:pStyle w:val="TextBody"/>
        <w:bidi w:val="0"/>
        <w:spacing w:lineRule="auto" w:line="240" w:before="200" w:after="283"/>
        <w:jc w:val="left"/>
        <w:rPr>
          <w:rFonts w:ascii="Times New Roman;serif" w:hAnsi="Times New Roman;serif"/>
          <w:b/>
          <w:color w:val="000000"/>
          <w:sz w:val="20"/>
        </w:rPr>
      </w:pPr>
      <w:r>
        <w:rPr>
          <w:rFonts w:ascii="Times New Roman;serif" w:hAnsi="Times New Roman;serif"/>
          <w:b/>
          <w:color w:val="000000"/>
          <w:sz w:val="20"/>
        </w:rPr>
        <w:t>Other Services</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A number of subsidiaries of Monument &amp; Cathedral, LLC provide various administrative services to our operating companies. The total amount paid to Monument &amp; Cathedral, LLC’s subsidiaries in the year ended December 31, 2025 was $0.5 million.</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A related party subsidiary of Monument &amp; Cathedral, LLC provided marketing and copywriting services to the Company. The total amount paid to the related party in the year ended December 31, 2025 was approximately $0.6 million.</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We provide portfolio tracking services to a number of subsidiaries of Monument &amp; Cathedral, LLC. In the year ended December 31, 2025, Monument &amp; Cathedral, LLC paid us approximately $0.1 million for such services.</w:t>
      </w:r>
    </w:p>
    <w:p>
      <w:pPr>
        <w:pStyle w:val="TextBody"/>
        <w:bidi w:val="0"/>
        <w:spacing w:lineRule="auto" w:line="240" w:before="200" w:after="283"/>
        <w:jc w:val="left"/>
        <w:rPr>
          <w:rFonts w:ascii="Times New Roman;serif" w:hAnsi="Times New Roman;serif"/>
          <w:b/>
          <w:color w:val="000000"/>
          <w:sz w:val="20"/>
        </w:rPr>
      </w:pPr>
      <w:r>
        <w:rPr>
          <w:rFonts w:ascii="Times New Roman;serif" w:hAnsi="Times New Roman;serif"/>
          <w:b/>
          <w:color w:val="000000"/>
          <w:sz w:val="20"/>
        </w:rPr>
        <w:t>Disposal of certain former Legacy Research brands</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In October 2024, we sold certain assets to an affiliate of Monument &amp; Cathedral, LLC for a share of future revenue generated by such assets. We received approximately $1.1 million in the year end December 31, 2025 related to this transaction.</w:t>
      </w:r>
    </w:p>
    <w:p>
      <w:pPr>
        <w:pStyle w:val="TextBody"/>
        <w:bidi w:val="0"/>
        <w:spacing w:lineRule="auto" w:line="240" w:before="200" w:after="283"/>
        <w:jc w:val="left"/>
        <w:rPr>
          <w:rFonts w:ascii="Times New Roman;serif" w:hAnsi="Times New Roman;serif"/>
          <w:b/>
          <w:color w:val="000000"/>
          <w:sz w:val="20"/>
        </w:rPr>
      </w:pPr>
      <w:r>
        <w:rPr>
          <w:rFonts w:ascii="Times New Roman;serif" w:hAnsi="Times New Roman;serif"/>
          <w:b/>
          <w:color w:val="000000"/>
          <w:sz w:val="20"/>
        </w:rPr>
        <w:t>Buttonwood Publishing Transaction</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1, 2023, we sold certain assets to an affiliate of Monument &amp; Cathedral, LLC. The Company will receive contingent consideration based on the level of subscription sales the buyer achieves from certain customers beginning from the sale date through December 1, 2026, as defined in the sale agreement. The fair value of the contingent consideration was estimated to be approximately $0.1 million as of December 31, 2025. The contingent consideration will be remeasured at the end of each reporting period. We received approximately $0.2 million in the year end December 31, 2025 related to this agreement.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734" w:type="dxa"/>
        <w:jc w:val="left"/>
        <w:tblInd w:w="0" w:type="dxa"/>
        <w:tblLayout w:type="fixed"/>
        <w:tblCellMar>
          <w:top w:w="28" w:type="dxa"/>
          <w:left w:w="28" w:type="dxa"/>
          <w:bottom w:w="28" w:type="dxa"/>
          <w:right w:w="28" w:type="dxa"/>
        </w:tblCellMar>
      </w:tblPr>
      <w:tblGrid>
        <w:gridCol w:w="2155"/>
        <w:gridCol w:w="1895"/>
        <w:gridCol w:w="2684"/>
      </w:tblGrid>
      <w:tr>
        <w:trPr/>
        <w:tc>
          <w:tcPr>
            <w:tcW w:w="2155"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POLICIES AND PROCEDURES FOR RELATED PERSON TRANSACTIONS</w:t>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Our Board adopted a written related person transaction policy that sets forth the following policies and procedures for the review and approval or ratification of related person transactions. A “related person transaction” is a transaction, arrangement or relationship in which the post-combination company or any of its subsidiaries was, is or will be a participant, the amount of which involved exceeds $120,000 and in which any related person had, has or will have a direct or indirect material interest. A “related person” means: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any person who is, or at any time during the applicable period was, one of our executive officers or directors;</w:t>
      </w:r>
    </w:p>
    <w:p>
      <w:pPr>
        <w:pStyle w:val="TextBody"/>
        <w:bidi w:val="0"/>
        <w:spacing w:before="0" w:after="2"/>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any person who is known by the post-combination company to be the beneficial owner of more than 5% of our voting stock;</w:t>
      </w:r>
    </w:p>
    <w:p>
      <w:pPr>
        <w:pStyle w:val="TextBody"/>
        <w:bidi w:val="0"/>
        <w:spacing w:before="0" w:after="2"/>
        <w:jc w:val="left"/>
        <w:rPr/>
      </w:pPr>
      <w:r>
        <w:rPr/>
      </w:r>
    </w:p>
    <w:p>
      <w:pPr>
        <w:pStyle w:val="TextBody"/>
        <w:bidi w:val="0"/>
        <w:spacing w:lineRule="auto" w:line="240"/>
        <w:ind w:left="0" w:right="0" w:hanging="360"/>
        <w:jc w:val="left"/>
        <w:rPr/>
      </w:pPr>
      <w:r>
        <w:rPr>
          <w:color w:val="000000"/>
        </w:rPr>
        <w:t>•</w:t>
      </w:r>
      <w:r>
        <w:rPr>
          <w:rFonts w:ascii="Times New Roman;serif" w:hAnsi="Times New Roman;serif"/>
          <w:b w:val="false"/>
          <w:color w:val="000000"/>
          <w:sz w:val="20"/>
        </w:rPr>
        <w:t>any immediate family member of any of the foregoing persons, which means any child, stepchild, parent, stepparent, spouse, sibling, mother-in-law, father-in-law, son-in-law, daughter-in-law, brother-in-law or sister-in-law of a director, executive officer or a beneficial owner of more than 5% of our voting stock, and any person (other than a tenant or employee) sharing the household of such director, executive officer or beneficial owner of more than 5% of our voting stock; and</w:t>
      </w:r>
    </w:p>
    <w:p>
      <w:pPr>
        <w:pStyle w:val="TextBody"/>
        <w:bidi w:val="0"/>
        <w:spacing w:before="0" w:after="2"/>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2"/>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any firm, corporation or other entity in which any of the foregoing persons is a partner or principal, or in a similar position, or in which such person has a 10% or greater beneficial ownership interest.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 have policies and procedures designed to minimize potential conflicts of interest arising from any dealings we may have with our affiliates and to provide appropriate procedures for the disclosure of any real or potential conflicts of interest that may exist from time to time. Specifically, pursuant to the audit committee charter, the Audit Committee will have the responsibility to review related party transactions.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875" w:type="dxa"/>
        <w:jc w:val="left"/>
        <w:tblInd w:w="0" w:type="dxa"/>
        <w:tblLayout w:type="fixed"/>
        <w:tblCellMar>
          <w:top w:w="28" w:type="dxa"/>
          <w:left w:w="28" w:type="dxa"/>
          <w:bottom w:w="28" w:type="dxa"/>
          <w:right w:w="28" w:type="dxa"/>
        </w:tblCellMar>
      </w:tblPr>
      <w:tblGrid>
        <w:gridCol w:w="599"/>
        <w:gridCol w:w="528"/>
        <w:gridCol w:w="748"/>
      </w:tblGrid>
      <w:tr>
        <w:trPr/>
        <w:tc>
          <w:tcPr>
            <w:tcW w:w="59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36"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MATTERS</w:t>
            </w:r>
          </w:p>
        </w:tc>
      </w:tr>
    </w:tbl>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290" w:type="dxa"/>
        <w:jc w:val="left"/>
        <w:tblInd w:w="0" w:type="dxa"/>
        <w:tblLayout w:type="fixed"/>
        <w:tblCellMar>
          <w:top w:w="28" w:type="dxa"/>
          <w:left w:w="28" w:type="dxa"/>
          <w:bottom w:w="28" w:type="dxa"/>
          <w:right w:w="28" w:type="dxa"/>
        </w:tblCellMar>
      </w:tblPr>
      <w:tblGrid>
        <w:gridCol w:w="2333"/>
        <w:gridCol w:w="2051"/>
        <w:gridCol w:w="2906"/>
      </w:tblGrid>
      <w:tr>
        <w:trPr/>
        <w:tc>
          <w:tcPr>
            <w:tcW w:w="2333"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COMPENSATION COMMITTEE INTERLOCKS AND INSIDER PARTICIPATION</w:t>
            </w:r>
          </w:p>
        </w:tc>
      </w:tr>
    </w:tbl>
    <w:tbl>
      <w:tblPr>
        <w:tblW w:w="10205" w:type="dxa"/>
        <w:jc w:val="left"/>
        <w:tblInd w:w="0" w:type="dxa"/>
        <w:tblLayout w:type="fixed"/>
        <w:tblCellMar>
          <w:top w:w="28" w:type="dxa"/>
          <w:left w:w="28" w:type="dxa"/>
          <w:bottom w:w="28" w:type="dxa"/>
          <w:right w:w="28" w:type="dxa"/>
        </w:tblCellMar>
      </w:tblPr>
      <w:tblGrid>
        <w:gridCol w:w="3263"/>
        <w:gridCol w:w="2870"/>
        <w:gridCol w:w="4072"/>
      </w:tblGrid>
      <w:tr>
        <w:trPr/>
        <w:tc>
          <w:tcPr>
            <w:tcW w:w="3263"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240" w:after="2"/>
              <w:jc w:val="left"/>
              <w:rPr>
                <w:rFonts w:ascii="Times New Roman;serif" w:hAnsi="Times New Roman;serif"/>
                <w:b w:val="false"/>
                <w:color w:val="000000"/>
                <w:sz w:val="20"/>
              </w:rPr>
            </w:pPr>
            <w:r>
              <w:rPr>
                <w:rFonts w:ascii="Times New Roman;serif" w:hAnsi="Times New Roman;serif"/>
                <w:b w:val="false"/>
                <w:color w:val="000000"/>
                <w:sz w:val="20"/>
              </w:rPr>
              <w:t>During the fiscal year ended December 31, 2025, the members of our Compensation Committee were Glenn Tongue, Van Simmons, Matthew Smith, and Matthew Turner. None of the members of our Compensation Committee is a current employee of the Company. During the fiscal year ended December 31, 2025, no relationship required to be disclosed by the rules of the SEC existed aside from those identified herein.</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25" w:type="dxa"/>
        <w:jc w:val="left"/>
        <w:tblInd w:w="0" w:type="dxa"/>
        <w:tblLayout w:type="fixed"/>
        <w:tblCellMar>
          <w:top w:w="28" w:type="dxa"/>
          <w:left w:w="28" w:type="dxa"/>
          <w:bottom w:w="28" w:type="dxa"/>
          <w:right w:w="28" w:type="dxa"/>
        </w:tblCellMar>
      </w:tblPr>
      <w:tblGrid>
        <w:gridCol w:w="1225"/>
        <w:gridCol w:w="1076"/>
        <w:gridCol w:w="1524"/>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DELINQUENT SECTION 16(a) REPORTS</w:t>
            </w:r>
          </w:p>
        </w:tc>
      </w:tr>
    </w:tbl>
    <w:p>
      <w:pPr>
        <w:pStyle w:val="TextBody"/>
        <w:bidi w:val="0"/>
        <w:spacing w:before="0" w:after="2"/>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Section 16(a) of the Exchange Act requires our executive officers, directors and persons who own more than ten percent of a registered class of our equity securities to file reports of ownership and changes in ownership with the SEC. To our knowledge, based solely on a review of applicable reports filed with the SEC and written representations that no other reports were required, all Section 16(a) filing requirements were complied with during the year ended December 31, 2025, except for two late Form 4 filings by Marco Galsim disclosing one transaction each, and one late Form 4 filing disclosing one transaction by each of Van Simmons, Matthew Turner, Glen Tongue, Matthew Smith, Frank Porter Stansberry, Micheal Palmer, Erik Mickels, Steven Kaufman, Scott Forney, and David Eifrig.</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45" w:type="dxa"/>
        <w:jc w:val="left"/>
        <w:tblInd w:w="0" w:type="dxa"/>
        <w:tblLayout w:type="fixed"/>
        <w:tblCellMar>
          <w:top w:w="28" w:type="dxa"/>
          <w:left w:w="28" w:type="dxa"/>
          <w:bottom w:w="28" w:type="dxa"/>
          <w:right w:w="28" w:type="dxa"/>
        </w:tblCellMar>
      </w:tblPr>
      <w:tblGrid>
        <w:gridCol w:w="975"/>
        <w:gridCol w:w="856"/>
        <w:gridCol w:w="1214"/>
      </w:tblGrid>
      <w:tr>
        <w:trPr/>
        <w:tc>
          <w:tcPr>
            <w:tcW w:w="9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STOCKHOLDERS’ PROPOSALS</w:t>
            </w:r>
          </w:p>
        </w:tc>
      </w:tr>
    </w:tbl>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Stockholders who intend to have a proposal considered for inclusion in our proxy materials for presentation at our 2027 Annual Meeting of Stockholders pursuant to Rule 14a-8 under the Exchange Act must submit the proposal to our Corporate Secretary at our offices at 1125 N. Charles Street, Baltimore, MD 21201 in writing not later than December 31, 2026.</w:t>
      </w:r>
    </w:p>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Stockholders intending to present a proposal at the 2027 Annual Meeting of Stockholders, but not to include the proposal in our proxy statement, or to nominate a person for election as a director, must comply with the requirements set forth in our Bylaws. Our Bylaws require, among other things, that our Corporate Secretary receive written notice from the stockholder of record of their intent to present such proposal or nomination not earlier than the close of business on the 120th day and not later than the close of business on the 90th day prior to the first anniversary of the preceding year’s annual meeting. Therefore, we must receive notice of such a proposal or nomination for the 2027 Annual Meeting of Stockholders no earlier than the close of business on February 4, 2027 and no later than the close of business on March 6, 2027. The notice must contain the information required by the Bylaws, a copy of which is available upon request to our Corporate Secretary. In the event that the date of the 2027 Annual Meeting of Stockholders is more than 30 days before or more than 60 days after June 4, 2026, then our Corporate Secretary must receive such written notice not earlier than the close of business on the 120th day prior to the 2027 Annual Meeting and not later than the close of business on the 90th day prior to the 2027 Annual Meeting or, if later, the 10th day following the day on which public disclosure of the date of such meeting is first made by us. SEC rules permit management to vote proxies in its discretion in certain cases if the stockholder does not comply with this deadline and, in certain other cases notwithstanding the stockholder’s compliance with this deadline.</w:t>
      </w:r>
    </w:p>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We reserve the right to reject, rule out of order, or take other appropriate action with respect to any proposal that does not comply with these or other applicable requirements.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500" w:type="dxa"/>
        <w:jc w:val="left"/>
        <w:tblInd w:w="0" w:type="dxa"/>
        <w:tblLayout w:type="fixed"/>
        <w:tblCellMar>
          <w:top w:w="28" w:type="dxa"/>
          <w:left w:w="28" w:type="dxa"/>
          <w:bottom w:w="28" w:type="dxa"/>
          <w:right w:w="28" w:type="dxa"/>
        </w:tblCellMar>
      </w:tblPr>
      <w:tblGrid>
        <w:gridCol w:w="1439"/>
        <w:gridCol w:w="1267"/>
        <w:gridCol w:w="1794"/>
      </w:tblGrid>
      <w:tr>
        <w:trPr/>
        <w:tc>
          <w:tcPr>
            <w:tcW w:w="1439"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MATTERS AT THE ANNUAL MEETING</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will vote thereon in their discretion.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19" w:type="dxa"/>
        <w:jc w:val="left"/>
        <w:tblInd w:w="0" w:type="dxa"/>
        <w:tblLayout w:type="fixed"/>
        <w:tblCellMar>
          <w:top w:w="28" w:type="dxa"/>
          <w:left w:w="28" w:type="dxa"/>
          <w:bottom w:w="28" w:type="dxa"/>
          <w:right w:w="28" w:type="dxa"/>
        </w:tblCellMar>
      </w:tblPr>
      <w:tblGrid>
        <w:gridCol w:w="902"/>
        <w:gridCol w:w="793"/>
        <w:gridCol w:w="1124"/>
      </w:tblGrid>
      <w:tr>
        <w:trPr/>
        <w:tc>
          <w:tcPr>
            <w:tcW w:w="9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SOLICITATION OF PROXIES</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proxy is solicited by and on behalf of our Board, whose Notice of Annual Meeting is attached to this proxy statement, and the entire cost of our solicitation will be borne by us. In addition to the use of mail, proxies may be solicited by personal interview, telephone, e-mail and facsimile by our directors, officers and other employees who will not be specially compensated for these services.</w:t>
      </w:r>
    </w:p>
    <w:p>
      <w:pPr>
        <w:pStyle w:val="TextBody"/>
        <w:bidi w:val="0"/>
        <w:spacing w:before="0" w:after="283"/>
        <w:jc w:val="left"/>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255" w:type="dxa"/>
        <w:jc w:val="left"/>
        <w:tblInd w:w="0" w:type="dxa"/>
        <w:tblLayout w:type="fixed"/>
        <w:tblCellMar>
          <w:top w:w="28" w:type="dxa"/>
          <w:left w:w="28" w:type="dxa"/>
          <w:bottom w:w="28" w:type="dxa"/>
          <w:right w:w="28" w:type="dxa"/>
        </w:tblCellMar>
      </w:tblPr>
      <w:tblGrid>
        <w:gridCol w:w="1040"/>
        <w:gridCol w:w="914"/>
        <w:gridCol w:w="1301"/>
      </w:tblGrid>
      <w:tr>
        <w:trPr/>
        <w:tc>
          <w:tcPr>
            <w:tcW w:w="104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ANNUAL REPORT ON FORM 10-K</w:t>
            </w:r>
          </w:p>
        </w:tc>
      </w:tr>
    </w:tbl>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A copy of MarketWise’s Annual Report on Form 10-K for the fiscal year ended December 31, 2025, including financial statements and schedules thereto but not including exhibits, as filed with the SEC, will be sent to any stockholder of record on April 6, 2026 without charge upon written request addressed to:</w:t>
      </w:r>
    </w:p>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MarketWise, Inc.</w:t>
        <w:br/>
        <w:t>Attention: Corporate Secretary</w:t>
        <w:br/>
        <w:t>1125 N. Charles Street</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Baltimore, MD 21201</w:t>
      </w:r>
    </w:p>
    <w:p>
      <w:pPr>
        <w:pStyle w:val="TextBody"/>
        <w:bidi w:val="0"/>
        <w:spacing w:lineRule="auto" w:line="240" w:before="225" w:after="283"/>
        <w:jc w:val="left"/>
        <w:rPr/>
      </w:pPr>
      <w:r>
        <w:rPr>
          <w:rFonts w:ascii="Times New Roman;serif" w:hAnsi="Times New Roman;serif"/>
          <w:b w:val="false"/>
          <w:color w:val="000000"/>
          <w:sz w:val="20"/>
        </w:rPr>
        <w:t xml:space="preserve">A reasonable fee will be charged for copies of exhibits. You may also access this proxy statement and our Annual Report on Form 10-K for the fiscal year ended December 31, 2025 at </w:t>
      </w:r>
      <w:r>
        <w:rPr>
          <w:rFonts w:ascii="Times New Roman;serif" w:hAnsi="Times New Roman;serif"/>
          <w:b w:val="false"/>
          <w:i/>
          <w:color w:val="0E32E1"/>
          <w:sz w:val="20"/>
          <w:u w:val="single"/>
        </w:rPr>
        <w:t xml:space="preserve">www.sec.gov </w:t>
      </w:r>
      <w:r>
        <w:rPr>
          <w:rFonts w:ascii="Times New Roman;serif" w:hAnsi="Times New Roman;serif"/>
          <w:b w:val="false"/>
          <w:color w:val="000000"/>
          <w:sz w:val="20"/>
        </w:rPr>
        <w:t xml:space="preserve">or at </w:t>
      </w:r>
      <w:r>
        <w:rPr>
          <w:rFonts w:ascii="Times New Roman;serif" w:hAnsi="Times New Roman;serif"/>
          <w:b w:val="false"/>
          <w:i/>
          <w:color w:val="0E32E1"/>
          <w:sz w:val="20"/>
          <w:u w:val="single"/>
        </w:rPr>
        <w:t>investors.marketwise.com</w:t>
      </w:r>
      <w:r>
        <w:rPr>
          <w:rFonts w:ascii="Times New Roman;serif" w:hAnsi="Times New Roman;serif"/>
          <w:b w:val="false"/>
          <w:color w:val="000000"/>
          <w:sz w:val="20"/>
        </w:rPr>
        <w:t>.</w:t>
      </w:r>
    </w:p>
    <w:p>
      <w:pPr>
        <w:pStyle w:val="TextBody"/>
        <w:bidi w:val="0"/>
        <w:spacing w:lineRule="auto" w:line="240" w:before="225" w:after="283"/>
        <w:jc w:val="left"/>
        <w:rPr>
          <w:rFonts w:ascii="Times New Roman;serif" w:hAnsi="Times New Roman;serif"/>
          <w:b/>
          <w:color w:val="000000"/>
          <w:sz w:val="20"/>
        </w:rPr>
      </w:pPr>
      <w:r>
        <w:rPr>
          <w:rFonts w:ascii="Times New Roman;serif" w:hAnsi="Times New Roman;serif"/>
          <w:b/>
          <w:color w:val="000000"/>
          <w:sz w:val="20"/>
        </w:rPr>
        <w:t>WHETHER OR NOT YOU PLAN TO ATTEND THE ANNUAL MEETING ONLINE,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/s/ Scott Forney</w:t>
      </w:r>
    </w:p>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Scott Forney</w:t>
        <w:br/>
        <w:t>General Counsel and Corporate Secretary</w:t>
      </w:r>
    </w:p>
    <w:p>
      <w:pPr>
        <w:pStyle w:val="TextBody"/>
        <w:bidi w:val="0"/>
        <w:spacing w:lineRule="auto" w:line="240" w:before="225" w:after="283"/>
        <w:jc w:val="left"/>
        <w:rPr>
          <w:rFonts w:ascii="Times New Roman;serif" w:hAnsi="Times New Roman;serif"/>
          <w:b w:val="false"/>
          <w:color w:val="000000"/>
          <w:sz w:val="20"/>
        </w:rPr>
      </w:pPr>
      <w:r>
        <w:rPr>
          <w:rFonts w:ascii="Times New Roman;serif" w:hAnsi="Times New Roman;serif"/>
          <w:b w:val="false"/>
          <w:color w:val="000000"/>
          <w:sz w:val="20"/>
        </w:rPr>
        <w:t>Baltimore, MD</w:t>
        <w:br/>
        <w:t>April 17, 2026</w:t>
      </w:r>
    </w:p>
    <w:p>
      <w:pPr>
        <w:pStyle w:val="TextBody"/>
        <w:bidi w:val="0"/>
        <w:spacing w:before="225"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225" w:after="283"/>
        <w:jc w:val="left"/>
        <w:rPr/>
      </w:pPr>
      <w:r>
        <w:rPr/>
        <w:drawing>
          <wp:inline distT="0" distB="0" distL="0" distR="0">
            <wp:extent cx="7200900" cy="9277350"/>
            <wp:effectExtent l="0" t="0" r="0" b="0"/>
            <wp:docPr id="5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8" descr=""/>
                    <pic:cNvPicPr>
                      <a:picLocks noChangeAspect="1" noChangeArrowheads="1"/>
                    </pic:cNvPicPr>
                  </pic:nvPicPr>
                  <pic:blipFill>
                    <a:blip r:embed="rId9"/>
                    <a:stretch>
                      <a:fillRect/>
                    </a:stretch>
                  </pic:blipFill>
                  <pic:spPr bwMode="auto">
                    <a:xfrm>
                      <a:off x="0" y="0"/>
                      <a:ext cx="7200900" cy="9277350"/>
                    </a:xfrm>
                    <a:prstGeom prst="rect">
                      <a:avLst/>
                    </a:prstGeom>
                  </pic:spPr>
                </pic:pic>
              </a:graphicData>
            </a:graphic>
          </wp:inline>
        </w:drawing>
      </w:r>
    </w:p>
    <w:p>
      <w:pPr>
        <w:pStyle w:val="TextBody"/>
        <w:bidi w:val="0"/>
        <w:spacing w:before="0" w:after="2"/>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225" w:after="283"/>
        <w:jc w:val="left"/>
        <w:rPr/>
      </w:pPr>
      <w:r>
        <w:rPr/>
        <w:drawing>
          <wp:inline distT="0" distB="0" distL="0" distR="0">
            <wp:extent cx="7200900" cy="9315450"/>
            <wp:effectExtent l="0" t="0" r="0" b="0"/>
            <wp:docPr id="5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9" descr=""/>
                    <pic:cNvPicPr>
                      <a:picLocks noChangeAspect="1" noChangeArrowheads="1"/>
                    </pic:cNvPicPr>
                  </pic:nvPicPr>
                  <pic:blipFill>
                    <a:blip r:embed="rId10"/>
                    <a:stretch>
                      <a:fillRect/>
                    </a:stretch>
                  </pic:blipFill>
                  <pic:spPr bwMode="auto">
                    <a:xfrm>
                      <a:off x="0" y="0"/>
                      <a:ext cx="7200900" cy="931545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2">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44</Pages>
  <Words>30294</Words>
  <Characters>163797</Characters>
  <CharactersWithSpaces>193149</CharactersWithSpaces>
  <Paragraphs>1424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