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0"/>
        <w:jc w:val="center"/>
        <w:rPr>
          <w:rFonts w:ascii="Arial;sans-serif" w:hAnsi="Arial;sans-serif"/>
          <w:b w:val="false"/>
          <w:color w:val="000000"/>
          <w:sz w:val="2"/>
        </w:rPr>
      </w:pPr>
      <w:r>
        <w:rPr>
          <w:rFonts w:ascii="Arial;sans-serif" w:hAnsi="Arial;sans-serif"/>
          <w:b w:val="false"/>
          <w:color w:val="000000"/>
          <w:sz w:val="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4"/>
        </w:rPr>
      </w:pPr>
      <w:r>
        <w:rPr>
          <w:rFonts w:ascii="Times New Roman;serif" w:hAnsi="Times New Roman;serif"/>
          <w:b/>
          <w:color w:val="000000"/>
          <w:sz w:val="3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196"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5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30, 2025</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166" w:type="dxa"/>
        <w:jc w:val="center"/>
        <w:tblInd w:w="0" w:type="dxa"/>
        <w:tblLayout w:type="fixed"/>
        <w:tblCellMar>
          <w:top w:w="28" w:type="dxa"/>
          <w:left w:w="28" w:type="dxa"/>
          <w:bottom w:w="28" w:type="dxa"/>
          <w:right w:w="28" w:type="dxa"/>
        </w:tblCellMar>
      </w:tblPr>
      <w:tblGrid>
        <w:gridCol w:w="124"/>
        <w:gridCol w:w="109"/>
        <w:gridCol w:w="109"/>
        <w:gridCol w:w="2874"/>
        <w:gridCol w:w="2874"/>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2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001-39405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40"/>
        </w:rPr>
      </w:pPr>
      <w:r>
        <w:rPr>
          <w:rFonts w:ascii="Times New Roman;serif" w:hAnsi="Times New Roman;serif"/>
          <w:b/>
          <w:color w:val="000000"/>
          <w:sz w:val="40"/>
        </w:rPr>
        <w:t>MarketWise, Inc.</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89" w:type="dxa"/>
        <w:jc w:val="left"/>
        <w:tblInd w:w="0" w:type="dxa"/>
        <w:tblLayout w:type="fixed"/>
        <w:tblCellMar>
          <w:top w:w="28" w:type="dxa"/>
          <w:left w:w="28" w:type="dxa"/>
          <w:bottom w:w="28" w:type="dxa"/>
          <w:right w:w="28" w:type="dxa"/>
        </w:tblCellMar>
      </w:tblPr>
      <w:tblGrid>
        <w:gridCol w:w="807"/>
        <w:gridCol w:w="711"/>
        <w:gridCol w:w="717"/>
        <w:gridCol w:w="511"/>
        <w:gridCol w:w="511"/>
        <w:gridCol w:w="732"/>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87-1767914</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Number)</w:t>
            </w:r>
          </w:p>
        </w:tc>
      </w:tr>
    </w:tbl>
    <w:tbl>
      <w:tblPr>
        <w:tblW w:w="4424" w:type="dxa"/>
        <w:jc w:val="left"/>
        <w:tblInd w:w="0" w:type="dxa"/>
        <w:tblLayout w:type="fixed"/>
        <w:tblCellMar>
          <w:top w:w="28" w:type="dxa"/>
          <w:left w:w="28" w:type="dxa"/>
          <w:bottom w:w="28" w:type="dxa"/>
          <w:right w:w="28" w:type="dxa"/>
        </w:tblCellMar>
      </w:tblPr>
      <w:tblGrid>
        <w:gridCol w:w="1267"/>
        <w:gridCol w:w="1110"/>
        <w:gridCol w:w="1118"/>
        <w:gridCol w:w="272"/>
        <w:gridCol w:w="272"/>
        <w:gridCol w:w="385"/>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1125 N. Charles Street Baltimore, Maryland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21201</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including zip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(888) 261-2693</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169" w:type="dxa"/>
        <w:jc w:val="left"/>
        <w:tblInd w:w="0" w:type="dxa"/>
        <w:tblLayout w:type="fixed"/>
        <w:tblCellMar>
          <w:top w:w="28" w:type="dxa"/>
          <w:left w:w="28" w:type="dxa"/>
          <w:bottom w:w="28" w:type="dxa"/>
          <w:right w:w="28" w:type="dxa"/>
        </w:tblCellMar>
      </w:tblPr>
      <w:tblGrid>
        <w:gridCol w:w="1626"/>
        <w:gridCol w:w="1422"/>
        <w:gridCol w:w="1422"/>
        <w:gridCol w:w="625"/>
        <w:gridCol w:w="625"/>
        <w:gridCol w:w="625"/>
        <w:gridCol w:w="1102"/>
        <w:gridCol w:w="1102"/>
        <w:gridCol w:w="1620"/>
      </w:tblGrid>
      <w:tr>
        <w:trPr/>
        <w:tc>
          <w:tcPr>
            <w:tcW w:w="162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r>
      <w:tr>
        <w:trPr/>
        <w:tc>
          <w:tcPr>
            <w:tcW w:w="10169" w:type="dxa"/>
            <w:gridSpan w:val="9"/>
            <w:tcBorders/>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MKTW</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center"/>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12 (a) of the Exchange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November 3, 2025, there were 2,416,640 shares of the registrant’s Class A common stock and 13,612,641 shares of the registrant’s Class B common stock, each with a par value of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53"/>
        <w:gridCol w:w="309"/>
        <w:gridCol w:w="314"/>
        <w:gridCol w:w="2903"/>
        <w:gridCol w:w="2903"/>
        <w:gridCol w:w="2910"/>
        <w:gridCol w:w="149"/>
        <w:gridCol w:w="149"/>
        <w:gridCol w:w="215"/>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FINANCIAL INFORMATION</w:t>
            </w:r>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2">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5">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25">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8">
              <w:r>
                <w:rPr>
                  <w:rStyle w:val="InternetLink"/>
                  <w:rFonts w:ascii="Times New Roman;serif" w:hAnsi="Times New Roman;serif"/>
                  <w:b w:val="false"/>
                  <w:color w:val="000080"/>
                  <w:sz w:val="20"/>
                  <w:u w:val="single"/>
                </w:rPr>
                <w:t xml:space="preserve">Condensed Consolidated Balance Sheets as of </w:t>
              </w:r>
            </w:hyperlink>
            <w:hyperlink w:anchor="if233e54d4082410486b53ef75b0f12c4_28">
              <w:r>
                <w:rPr>
                  <w:rStyle w:val="InternetLink"/>
                  <w:rFonts w:ascii="Times New Roman;serif" w:hAnsi="Times New Roman;serif"/>
                  <w:b w:val="false"/>
                  <w:color w:val="000080"/>
                  <w:sz w:val="20"/>
                  <w:u w:val="single"/>
                </w:rPr>
                <w:t>September 30</w:t>
              </w:r>
            </w:hyperlink>
            <w:hyperlink w:anchor="if233e54d4082410486b53ef75b0f12c4_28">
              <w:r>
                <w:rPr>
                  <w:rStyle w:val="InternetLink"/>
                  <w:rFonts w:ascii="Times New Roman;serif" w:hAnsi="Times New Roman;serif"/>
                  <w:b w:val="false"/>
                  <w:color w:val="000080"/>
                  <w:sz w:val="20"/>
                  <w:u w:val="single"/>
                </w:rPr>
                <w:t>, 2025 and December 31,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28">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31">
              <w:r>
                <w:rPr>
                  <w:rStyle w:val="InternetLink"/>
                  <w:rFonts w:ascii="Times New Roman;serif" w:hAnsi="Times New Roman;serif"/>
                  <w:b w:val="false"/>
                  <w:color w:val="000080"/>
                  <w:sz w:val="20"/>
                  <w:u w:val="single"/>
                </w:rPr>
                <w:t xml:space="preserve">Condensed Consolidated Statement of Operations for the Three and </w:t>
              </w:r>
            </w:hyperlink>
            <w:hyperlink w:anchor="if233e54d4082410486b53ef75b0f12c4_31">
              <w:r>
                <w:rPr>
                  <w:rStyle w:val="InternetLink"/>
                  <w:rFonts w:ascii="Times New Roman;serif" w:hAnsi="Times New Roman;serif"/>
                  <w:b w:val="false"/>
                  <w:color w:val="000080"/>
                  <w:sz w:val="20"/>
                  <w:u w:val="single"/>
                </w:rPr>
                <w:t>Nine</w:t>
              </w:r>
            </w:hyperlink>
            <w:hyperlink w:anchor="if233e54d4082410486b53ef75b0f12c4_31">
              <w:r>
                <w:rPr>
                  <w:rStyle w:val="InternetLink"/>
                  <w:rFonts w:ascii="Times New Roman;serif" w:hAnsi="Times New Roman;serif"/>
                  <w:b w:val="false"/>
                  <w:color w:val="000080"/>
                  <w:sz w:val="20"/>
                  <w:u w:val="single"/>
                </w:rPr>
                <w:t xml:space="preserve"> Months Ended </w:t>
              </w:r>
            </w:hyperlink>
            <w:hyperlink w:anchor="if233e54d4082410486b53ef75b0f12c4_31">
              <w:r>
                <w:rPr>
                  <w:rStyle w:val="InternetLink"/>
                  <w:rFonts w:ascii="Times New Roman;serif" w:hAnsi="Times New Roman;serif"/>
                  <w:b w:val="false"/>
                  <w:color w:val="000080"/>
                  <w:sz w:val="20"/>
                  <w:u w:val="single"/>
                </w:rPr>
                <w:t>September</w:t>
              </w:r>
            </w:hyperlink>
            <w:hyperlink w:anchor="if233e54d4082410486b53ef75b0f12c4_31">
              <w:r>
                <w:rPr>
                  <w:rStyle w:val="InternetLink"/>
                  <w:rFonts w:ascii="Times New Roman;serif" w:hAnsi="Times New Roman;serif"/>
                  <w:b w:val="false"/>
                  <w:color w:val="000080"/>
                  <w:sz w:val="20"/>
                  <w:u w:val="single"/>
                </w:rPr>
                <w:t xml:space="preserve"> 30, 2025 and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31">
              <w:r>
                <w:rPr>
                  <w:rStyle w:val="InternetLink"/>
                  <w:rFonts w:ascii="Times New Roman;serif" w:hAnsi="Times New Roman;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40">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f233e54d4082410486b53ef75b0f12c4_40">
              <w:r>
                <w:rPr>
                  <w:rStyle w:val="InternetLink"/>
                  <w:rFonts w:ascii="Times New Roman;serif" w:hAnsi="Times New Roman;serif"/>
                  <w:b w:val="false"/>
                  <w:color w:val="000080"/>
                  <w:sz w:val="20"/>
                  <w:u w:val="single"/>
                </w:rPr>
                <w:t>Nine</w:t>
              </w:r>
            </w:hyperlink>
            <w:hyperlink w:anchor="if233e54d4082410486b53ef75b0f12c4_40">
              <w:r>
                <w:rPr>
                  <w:rStyle w:val="InternetLink"/>
                  <w:rFonts w:ascii="Times New Roman;serif" w:hAnsi="Times New Roman;serif"/>
                  <w:b w:val="false"/>
                  <w:color w:val="000080"/>
                  <w:sz w:val="20"/>
                  <w:u w:val="single"/>
                </w:rPr>
                <w:t xml:space="preserve"> Months Ended </w:t>
              </w:r>
            </w:hyperlink>
            <w:hyperlink w:anchor="if233e54d4082410486b53ef75b0f12c4_40">
              <w:r>
                <w:rPr>
                  <w:rStyle w:val="InternetLink"/>
                  <w:rFonts w:ascii="Times New Roman;serif" w:hAnsi="Times New Roman;serif"/>
                  <w:b w:val="false"/>
                  <w:color w:val="000080"/>
                  <w:sz w:val="20"/>
                  <w:u w:val="single"/>
                </w:rPr>
                <w:t>September</w:t>
              </w:r>
            </w:hyperlink>
            <w:hyperlink w:anchor="if233e54d4082410486b53ef75b0f12c4_40">
              <w:r>
                <w:rPr>
                  <w:rStyle w:val="InternetLink"/>
                  <w:rFonts w:ascii="Times New Roman;serif" w:hAnsi="Times New Roman;serif"/>
                  <w:b w:val="false"/>
                  <w:color w:val="000080"/>
                  <w:sz w:val="20"/>
                  <w:u w:val="single"/>
                </w:rPr>
                <w:t xml:space="preserve"> 30, 2025 and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40">
              <w:r>
                <w:rPr>
                  <w:rStyle w:val="InternetLink"/>
                  <w:rFonts w:ascii="Times New Roman;serif" w:hAnsi="Times New Roman;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46">
              <w:r>
                <w:rPr>
                  <w:rStyle w:val="InternetLink"/>
                  <w:rFonts w:ascii="Times New Roman;serif" w:hAnsi="Times New Roman;serif"/>
                  <w:b w:val="false"/>
                  <w:color w:val="000080"/>
                  <w:sz w:val="20"/>
                  <w:u w:val="single"/>
                </w:rPr>
                <w:t xml:space="preserve">Condensed Consolidated Statements of Changes in Stockholders' Deficit for the Three and </w:t>
              </w:r>
            </w:hyperlink>
            <w:hyperlink w:anchor="if233e54d4082410486b53ef75b0f12c4_46">
              <w:r>
                <w:rPr>
                  <w:rStyle w:val="InternetLink"/>
                  <w:rFonts w:ascii="Times New Roman;serif" w:hAnsi="Times New Roman;serif"/>
                  <w:b w:val="false"/>
                  <w:color w:val="000080"/>
                  <w:sz w:val="20"/>
                  <w:u w:val="single"/>
                </w:rPr>
                <w:t>Nine</w:t>
              </w:r>
            </w:hyperlink>
            <w:hyperlink w:anchor="if233e54d4082410486b53ef75b0f12c4_46">
              <w:r>
                <w:rPr>
                  <w:rStyle w:val="InternetLink"/>
                  <w:rFonts w:ascii="Times New Roman;serif" w:hAnsi="Times New Roman;serif"/>
                  <w:b w:val="false"/>
                  <w:color w:val="000080"/>
                  <w:sz w:val="20"/>
                  <w:u w:val="single"/>
                </w:rPr>
                <w:t xml:space="preserve"> Months Ended </w:t>
              </w:r>
            </w:hyperlink>
            <w:hyperlink w:anchor="if233e54d4082410486b53ef75b0f12c4_46">
              <w:r>
                <w:rPr>
                  <w:rStyle w:val="InternetLink"/>
                  <w:rFonts w:ascii="Times New Roman;serif" w:hAnsi="Times New Roman;serif"/>
                  <w:b w:val="false"/>
                  <w:color w:val="000080"/>
                  <w:sz w:val="20"/>
                  <w:u w:val="single"/>
                </w:rPr>
                <w:t>September</w:t>
              </w:r>
            </w:hyperlink>
            <w:hyperlink w:anchor="if233e54d4082410486b53ef75b0f12c4_46">
              <w:r>
                <w:rPr>
                  <w:rStyle w:val="InternetLink"/>
                  <w:rFonts w:ascii="Times New Roman;serif" w:hAnsi="Times New Roman;serif"/>
                  <w:b w:val="false"/>
                  <w:color w:val="000080"/>
                  <w:sz w:val="20"/>
                  <w:u w:val="single"/>
                </w:rPr>
                <w:t xml:space="preserve"> 30, 2025 and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46">
              <w:r>
                <w:rPr>
                  <w:rStyle w:val="InternetLink"/>
                  <w:rFonts w:ascii="Times New Roman;serif" w:hAnsi="Times New Roman;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55">
              <w:r>
                <w:rPr>
                  <w:rStyle w:val="InternetLink"/>
                  <w:rFonts w:ascii="Times New Roman;serif" w:hAnsi="Times New Roman;serif"/>
                  <w:b w:val="false"/>
                  <w:color w:val="000080"/>
                  <w:sz w:val="20"/>
                  <w:u w:val="single"/>
                </w:rPr>
                <w:t xml:space="preserve">Condensed Consolidated Statements of Cash Flows for the </w:t>
              </w:r>
            </w:hyperlink>
            <w:hyperlink w:anchor="if233e54d4082410486b53ef75b0f12c4_55">
              <w:r>
                <w:rPr>
                  <w:rStyle w:val="InternetLink"/>
                  <w:rFonts w:ascii="Times New Roman;serif" w:hAnsi="Times New Roman;serif"/>
                  <w:b w:val="false"/>
                  <w:color w:val="000080"/>
                  <w:sz w:val="20"/>
                  <w:u w:val="single"/>
                </w:rPr>
                <w:t>Nine</w:t>
              </w:r>
            </w:hyperlink>
            <w:hyperlink w:anchor="if233e54d4082410486b53ef75b0f12c4_55">
              <w:r>
                <w:rPr>
                  <w:rStyle w:val="InternetLink"/>
                  <w:rFonts w:ascii="Times New Roman;serif" w:hAnsi="Times New Roman;serif"/>
                  <w:b w:val="false"/>
                  <w:color w:val="000080"/>
                  <w:sz w:val="20"/>
                  <w:u w:val="single"/>
                </w:rPr>
                <w:t xml:space="preserve"> Months Ended </w:t>
              </w:r>
            </w:hyperlink>
            <w:hyperlink w:anchor="if233e54d4082410486b53ef75b0f12c4_55">
              <w:r>
                <w:rPr>
                  <w:rStyle w:val="InternetLink"/>
                  <w:rFonts w:ascii="Times New Roman;serif" w:hAnsi="Times New Roman;serif"/>
                  <w:b w:val="false"/>
                  <w:color w:val="000080"/>
                  <w:sz w:val="20"/>
                  <w:u w:val="single"/>
                </w:rPr>
                <w:t>September</w:t>
              </w:r>
            </w:hyperlink>
            <w:hyperlink w:anchor="if233e54d4082410486b53ef75b0f12c4_55">
              <w:r>
                <w:rPr>
                  <w:rStyle w:val="InternetLink"/>
                  <w:rFonts w:ascii="Times New Roman;serif" w:hAnsi="Times New Roman;serif"/>
                  <w:b w:val="false"/>
                  <w:color w:val="000080"/>
                  <w:sz w:val="20"/>
                  <w:u w:val="single"/>
                </w:rPr>
                <w:t xml:space="preserve"> 30, 2025 and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55">
              <w:r>
                <w:rPr>
                  <w:rStyle w:val="InternetLink"/>
                  <w:rFonts w:ascii="Times New Roman;serif" w:hAnsi="Times New Roman;serif"/>
                  <w:b w:val="false"/>
                  <w:color w:val="0000FF"/>
                  <w:sz w:val="20"/>
                  <w:u w:val="single"/>
                </w:rPr>
                <w:t>13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58">
              <w:r>
                <w:rPr>
                  <w:rStyle w:val="InternetLink"/>
                  <w:rFonts w:ascii="Times New Roman;serif" w:hAnsi="Times New Roman;serif"/>
                  <w:b w:val="false"/>
                  <w:color w:val="0000FF"/>
                  <w:sz w:val="20"/>
                  <w:u w:val="single"/>
                </w:rPr>
                <w:t>Notes to the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58">
              <w:r>
                <w:rPr>
                  <w:rStyle w:val="InternetLink"/>
                  <w:rFonts w:ascii="Times New Roman;serif" w:hAnsi="Times New Roman;serif"/>
                  <w:b w:val="false"/>
                  <w:color w:val="0000FF"/>
                  <w:sz w:val="20"/>
                  <w:u w:val="single"/>
                </w:rPr>
                <w:t>14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15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154">
              <w:r>
                <w:rPr>
                  <w:rStyle w:val="InternetLink"/>
                  <w:rFonts w:ascii="Times New Roman;serif" w:hAnsi="Times New Roman;serif"/>
                  <w:b w:val="false"/>
                  <w:color w:val="0000FF"/>
                  <w:sz w:val="20"/>
                  <w:u w:val="single"/>
                </w:rPr>
                <w:t>33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32">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32">
              <w:r>
                <w:rPr>
                  <w:rStyle w:val="InternetLink"/>
                  <w:rFonts w:ascii="Times New Roman;serif" w:hAnsi="Times New Roman;serif"/>
                  <w:b w:val="false"/>
                  <w:color w:val="0000FF"/>
                  <w:sz w:val="20"/>
                  <w:u w:val="single"/>
                </w:rPr>
                <w:t>51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38">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238">
              <w:r>
                <w:rPr>
                  <w:rStyle w:val="InternetLink"/>
                  <w:rFonts w:ascii="Times New Roman;serif" w:hAnsi="Times New Roman;serif"/>
                  <w:b w:val="false"/>
                  <w:color w:val="0000FF"/>
                  <w:sz w:val="20"/>
                  <w:u w:val="single"/>
                </w:rPr>
                <w:t>51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233e54d4082410486b53ef75b0f12c4_241">
              <w:r>
                <w:rPr>
                  <w:rStyle w:val="InternetLink"/>
                  <w:rFonts w:ascii="Times New Roman;serif" w:hAnsi="Times New Roman;serif"/>
                  <w:b/>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41">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44">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44">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47">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47">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50">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50">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56">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56">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59">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59">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62">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f233e54d4082410486b53ef75b0f12c4_262">
              <w:r>
                <w:rPr>
                  <w:rStyle w:val="InternetLink"/>
                  <w:rFonts w:ascii="Times New Roman;serif" w:hAnsi="Times New Roman;serif"/>
                  <w:b w:val="false"/>
                  <w:color w:val="0000FF"/>
                  <w:sz w:val="20"/>
                  <w:u w:val="singl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65">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265">
              <w:r>
                <w:rPr>
                  <w:rStyle w:val="InternetLink"/>
                  <w:rFonts w:ascii="Times New Roman;serif" w:hAnsi="Times New Roman;serif"/>
                  <w:b w:val="false"/>
                  <w:color w:val="0000FF"/>
                  <w:sz w:val="20"/>
                  <w:u w:val="singl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33e54d4082410486b53ef75b0f12c4_268">
              <w:r>
                <w:rPr>
                  <w:rStyle w:val="InternetLink"/>
                  <w:rFonts w:ascii="Times New Roman;serif" w:hAnsi="Times New Roman;serif"/>
                  <w:b w:val="false"/>
                  <w:color w:val="0000FF"/>
                  <w:sz w:val="20"/>
                  <w:u w:val="single"/>
                </w:rPr>
                <w:t>Signatures</w:t>
              </w:r>
            </w:hyperlink>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f233e54d4082410486b53ef75b0f12c4_268">
              <w:r>
                <w:rPr>
                  <w:rStyle w:val="InternetLink"/>
                  <w:rFonts w:ascii="Times New Roman;serif" w:hAnsi="Times New Roman;serif"/>
                  <w:b w:val="false"/>
                  <w:color w:val="0000FF"/>
                  <w:sz w:val="20"/>
                  <w:u w:val="singl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68" w:before="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(“Securities Act”), and Section 21E of the Securities Exchange Act of 1934, as amended (“Exchange Act”),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new subscribers and to persuade existing subscribers to renew their subscription agreements with us and to purchase additional products and services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adequately market our products and services, and to develop additional products and product offerings;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 effectively, including through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maintain and protect our reputation for trustworthiness and independence;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develop, and retain capable management, editors, and other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grow market share in our existing markets or any new markets we may enter;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or weakened conditions in the financial sector, global financial markets, and global economy;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current macroeconomic events, including heightened inflation, rise in interest rates and the potential for an economic recession;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comply with laws and regulations or other regulatory action or investigations, including the Investment Advisers Act of 1940, as amended (the “Advisers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respond to and adapt to changes in technology and consumer behavior;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successfully identify and integrate acquisitions, or dispose of assets and businesses;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public securities’ potential liquidity and trading;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the regulatory environment and complexities with compliance related to such environment;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capital needs;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 effective system of internal control over financial reporting;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protect our intellectual property;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factors detailed under the section of our Annual Report on Form 10-K for the year ended December 31, 2024 entitled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undertake any obligation to update forward-looking statements for any reason,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1—FINANCIAL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59"/>
        <w:gridCol w:w="2270"/>
        <w:gridCol w:w="2219"/>
        <w:gridCol w:w="239"/>
        <w:gridCol w:w="937"/>
        <w:gridCol w:w="123"/>
        <w:gridCol w:w="109"/>
        <w:gridCol w:w="109"/>
        <w:gridCol w:w="109"/>
        <w:gridCol w:w="235"/>
        <w:gridCol w:w="921"/>
        <w:gridCol w:w="175"/>
      </w:tblGrid>
      <w:tr>
        <w:trPr/>
        <w:tc>
          <w:tcPr>
            <w:tcW w:w="275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201,656 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 contract liabilities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229,192 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 contract liabilities, noncurrent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Related party TRA liability, noncurrent (Note 9)</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427,607 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477,439 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 Class A, par value of $0.0001 per share, 47,500,000 shares authorized; 2,451,469 and 1,978,013 shares issued and outstanding at September 30, 2025 and December 31, 2024, respectively</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41"/>
        <w:gridCol w:w="2346"/>
        <w:gridCol w:w="2353"/>
        <w:gridCol w:w="211"/>
        <w:gridCol w:w="826"/>
        <w:gridCol w:w="109"/>
        <w:gridCol w:w="109"/>
        <w:gridCol w:w="109"/>
        <w:gridCol w:w="109"/>
        <w:gridCol w:w="211"/>
        <w:gridCol w:w="826"/>
        <w:gridCol w:w="155"/>
      </w:tblGrid>
      <w:tr>
        <w:trPr/>
        <w:tc>
          <w:tcPr>
            <w:tcW w:w="2841"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 Class B, par value of $0.0001 per share, 15,000,000 shares authorized; 13,612,641 and 13,994,498 shares issued and outstanding at September 30,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 par value of $0.0001 per share, 100,000,000 shares authorized; 0 shares issued and outstanding at September 30,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attributable to MarketWise,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382"/>
        <w:gridCol w:w="1041"/>
        <w:gridCol w:w="997"/>
        <w:gridCol w:w="125"/>
        <w:gridCol w:w="125"/>
        <w:gridCol w:w="125"/>
        <w:gridCol w:w="258"/>
        <w:gridCol w:w="885"/>
        <w:gridCol w:w="133"/>
        <w:gridCol w:w="133"/>
        <w:gridCol w:w="133"/>
        <w:gridCol w:w="133"/>
        <w:gridCol w:w="258"/>
        <w:gridCol w:w="885"/>
        <w:gridCol w:w="133"/>
        <w:gridCol w:w="125"/>
        <w:gridCol w:w="125"/>
        <w:gridCol w:w="125"/>
        <w:gridCol w:w="243"/>
        <w:gridCol w:w="953"/>
        <w:gridCol w:w="125"/>
        <w:gridCol w:w="125"/>
        <w:gridCol w:w="125"/>
        <w:gridCol w:w="125"/>
        <w:gridCol w:w="243"/>
        <w:gridCol w:w="953"/>
        <w:gridCol w:w="192"/>
      </w:tblGrid>
      <w:tr>
        <w:trPr/>
        <w:tc>
          <w:tcPr>
            <w:tcW w:w="138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revenue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311,223 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246,432 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MarketWise, Inc.</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i/>
                <w:color w:val="000000"/>
                <w:sz w:val="12"/>
              </w:rPr>
              <w:t>(1)</w:t>
            </w:r>
            <w:r>
              <w:rPr>
                <w:color w:val="000000"/>
              </w:rPr>
              <w:t xml:space="preserve"> </w:t>
            </w:r>
            <w:r>
              <w:rPr>
                <w:rFonts w:ascii="Times New Roman;serif" w:hAnsi="Times New Roman;serif"/>
                <w:b w:val="false"/>
                <w:i/>
                <w:color w:val="000000"/>
                <w:sz w:val="18"/>
              </w:rPr>
              <w:t>Cost of revenue, sales and marketing, general and administrative, and research and development expenses are exclusive of depreciation and amortization shown as a separate line item</w:t>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903"/>
        <w:gridCol w:w="792"/>
        <w:gridCol w:w="799"/>
        <w:gridCol w:w="109"/>
        <w:gridCol w:w="725"/>
        <w:gridCol w:w="725"/>
        <w:gridCol w:w="726"/>
        <w:gridCol w:w="109"/>
        <w:gridCol w:w="221"/>
        <w:gridCol w:w="758"/>
        <w:gridCol w:w="114"/>
        <w:gridCol w:w="114"/>
        <w:gridCol w:w="114"/>
        <w:gridCol w:w="114"/>
        <w:gridCol w:w="221"/>
        <w:gridCol w:w="758"/>
        <w:gridCol w:w="114"/>
        <w:gridCol w:w="109"/>
        <w:gridCol w:w="109"/>
        <w:gridCol w:w="109"/>
        <w:gridCol w:w="211"/>
        <w:gridCol w:w="721"/>
        <w:gridCol w:w="109"/>
        <w:gridCol w:w="109"/>
        <w:gridCol w:w="109"/>
        <w:gridCol w:w="109"/>
        <w:gridCol w:w="211"/>
        <w:gridCol w:w="721"/>
        <w:gridCol w:w="162"/>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789" w:type="dxa"/>
            <w:gridSpan w:val="12"/>
            <w:tcBorders/>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180"/>
        <w:jc w:val="left"/>
        <w:rPr/>
      </w:pPr>
      <w:r>
        <w:rPr/>
      </w:r>
    </w:p>
    <w:tbl>
      <w:tblPr>
        <w:tblW w:w="16636" w:type="dxa"/>
        <w:jc w:val="left"/>
        <w:tblInd w:w="0" w:type="dxa"/>
        <w:tblLayout w:type="fixed"/>
        <w:tblCellMar>
          <w:top w:w="28" w:type="dxa"/>
          <w:left w:w="28" w:type="dxa"/>
          <w:bottom w:w="28" w:type="dxa"/>
          <w:right w:w="28" w:type="dxa"/>
        </w:tblCellMar>
      </w:tblPr>
      <w:tblGrid>
        <w:gridCol w:w="756"/>
        <w:gridCol w:w="229"/>
        <w:gridCol w:w="231"/>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109"/>
        <w:gridCol w:w="109"/>
        <w:gridCol w:w="931"/>
        <w:gridCol w:w="109"/>
        <w:gridCol w:w="245"/>
        <w:gridCol w:w="923"/>
        <w:gridCol w:w="138"/>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2,357,128 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(117,097)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(211,259)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Reversal of cumulative accrued dividends on Earnout Shares (see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2,451,469 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(115,592)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(14,517)</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(211,434)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(225,951)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180"/>
        <w:jc w:val="left"/>
        <w:rPr/>
      </w:pPr>
      <w:r>
        <w:rPr/>
      </w:r>
    </w:p>
    <w:tbl>
      <w:tblPr>
        <w:tblW w:w="16666" w:type="dxa"/>
        <w:jc w:val="left"/>
        <w:tblInd w:w="0" w:type="dxa"/>
        <w:tblLayout w:type="fixed"/>
        <w:tblCellMar>
          <w:top w:w="28" w:type="dxa"/>
          <w:left w:w="28" w:type="dxa"/>
          <w:bottom w:w="28" w:type="dxa"/>
          <w:right w:w="28" w:type="dxa"/>
        </w:tblCellMar>
      </w:tblPr>
      <w:tblGrid>
        <w:gridCol w:w="786"/>
        <w:gridCol w:w="229"/>
        <w:gridCol w:w="231"/>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109"/>
        <w:gridCol w:w="109"/>
        <w:gridCol w:w="931"/>
        <w:gridCol w:w="109"/>
        <w:gridCol w:w="245"/>
        <w:gridCol w:w="923"/>
        <w:gridCol w:w="138"/>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July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1,929,849 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14,019,498 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(240,286)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1,968,943 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13,994,498 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(19,477)</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(227,638)</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180"/>
        <w:jc w:val="left"/>
        <w:rPr/>
      </w:pPr>
      <w:r>
        <w:rPr/>
      </w:r>
    </w:p>
    <w:tbl>
      <w:tblPr>
        <w:tblW w:w="16666" w:type="dxa"/>
        <w:jc w:val="left"/>
        <w:tblInd w:w="0" w:type="dxa"/>
        <w:tblLayout w:type="fixed"/>
        <w:tblCellMar>
          <w:top w:w="28" w:type="dxa"/>
          <w:left w:w="28" w:type="dxa"/>
          <w:bottom w:w="28" w:type="dxa"/>
          <w:right w:w="28" w:type="dxa"/>
        </w:tblCellMar>
      </w:tblPr>
      <w:tblGrid>
        <w:gridCol w:w="757"/>
        <w:gridCol w:w="244"/>
        <w:gridCol w:w="245"/>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109"/>
        <w:gridCol w:w="109"/>
        <w:gridCol w:w="931"/>
        <w:gridCol w:w="109"/>
        <w:gridCol w:w="245"/>
        <w:gridCol w:w="923"/>
        <w:gridCol w:w="138"/>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1,978,013 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13,994,498 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(119,284)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(205,388)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(113,763)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Reversal of cumulative accrued dividends on Earnout Shares (see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2,451,469 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101,052 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(115,592)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(14,517)</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(211,434)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(225,951)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Stockholders’ Deficit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180"/>
        <w:jc w:val="left"/>
        <w:rPr/>
      </w:pPr>
      <w:r>
        <w:rPr/>
      </w:r>
    </w:p>
    <w:tbl>
      <w:tblPr>
        <w:tblW w:w="16666" w:type="dxa"/>
        <w:jc w:val="left"/>
        <w:tblInd w:w="0" w:type="dxa"/>
        <w:tblLayout w:type="fixed"/>
        <w:tblCellMar>
          <w:top w:w="28" w:type="dxa"/>
          <w:left w:w="28" w:type="dxa"/>
          <w:bottom w:w="28" w:type="dxa"/>
          <w:right w:w="28" w:type="dxa"/>
        </w:tblCellMar>
      </w:tblPr>
      <w:tblGrid>
        <w:gridCol w:w="757"/>
        <w:gridCol w:w="244"/>
        <w:gridCol w:w="245"/>
        <w:gridCol w:w="109"/>
        <w:gridCol w:w="109"/>
        <w:gridCol w:w="109"/>
        <w:gridCol w:w="435"/>
        <w:gridCol w:w="436"/>
        <w:gridCol w:w="211"/>
        <w:gridCol w:w="109"/>
        <w:gridCol w:w="109"/>
        <w:gridCol w:w="109"/>
        <w:gridCol w:w="236"/>
        <w:gridCol w:w="406"/>
        <w:gridCol w:w="109"/>
        <w:gridCol w:w="109"/>
        <w:gridCol w:w="109"/>
        <w:gridCol w:w="109"/>
        <w:gridCol w:w="480"/>
        <w:gridCol w:w="481"/>
        <w:gridCol w:w="211"/>
        <w:gridCol w:w="109"/>
        <w:gridCol w:w="109"/>
        <w:gridCol w:w="109"/>
        <w:gridCol w:w="333"/>
        <w:gridCol w:w="309"/>
        <w:gridCol w:w="109"/>
        <w:gridCol w:w="109"/>
        <w:gridCol w:w="109"/>
        <w:gridCol w:w="109"/>
        <w:gridCol w:w="109"/>
        <w:gridCol w:w="109"/>
        <w:gridCol w:w="931"/>
        <w:gridCol w:w="109"/>
        <w:gridCol w:w="245"/>
        <w:gridCol w:w="923"/>
        <w:gridCol w:w="138"/>
        <w:gridCol w:w="109"/>
        <w:gridCol w:w="109"/>
        <w:gridCol w:w="109"/>
        <w:gridCol w:w="347"/>
        <w:gridCol w:w="586"/>
        <w:gridCol w:w="193"/>
        <w:gridCol w:w="109"/>
        <w:gridCol w:w="109"/>
        <w:gridCol w:w="109"/>
        <w:gridCol w:w="217"/>
        <w:gridCol w:w="832"/>
        <w:gridCol w:w="122"/>
        <w:gridCol w:w="109"/>
        <w:gridCol w:w="109"/>
        <w:gridCol w:w="109"/>
        <w:gridCol w:w="255"/>
        <w:gridCol w:w="862"/>
        <w:gridCol w:w="144"/>
        <w:gridCol w:w="109"/>
        <w:gridCol w:w="109"/>
        <w:gridCol w:w="109"/>
        <w:gridCol w:w="217"/>
        <w:gridCol w:w="832"/>
        <w:gridCol w:w="122"/>
        <w:gridCol w:w="109"/>
        <w:gridCol w:w="109"/>
        <w:gridCol w:w="109"/>
        <w:gridCol w:w="196"/>
        <w:gridCol w:w="75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1,819,123 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14,404,605 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115,196 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(126,343)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(277,862)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1,968,943 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13,994,498 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(19,477)</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(227,638)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(Unaudited)</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107" w:type="dxa"/>
        <w:jc w:val="left"/>
        <w:tblInd w:w="0" w:type="dxa"/>
        <w:tblLayout w:type="fixed"/>
        <w:tblCellMar>
          <w:top w:w="28" w:type="dxa"/>
          <w:left w:w="28" w:type="dxa"/>
          <w:bottom w:w="28" w:type="dxa"/>
          <w:right w:w="28" w:type="dxa"/>
        </w:tblCellMar>
      </w:tblPr>
      <w:tblGrid>
        <w:gridCol w:w="2701"/>
        <w:gridCol w:w="2376"/>
        <w:gridCol w:w="2393"/>
        <w:gridCol w:w="227"/>
        <w:gridCol w:w="775"/>
        <w:gridCol w:w="117"/>
        <w:gridCol w:w="117"/>
        <w:gridCol w:w="117"/>
        <w:gridCol w:w="117"/>
        <w:gridCol w:w="227"/>
        <w:gridCol w:w="775"/>
        <w:gridCol w:w="165"/>
      </w:tblGrid>
      <w:tr>
        <w:trPr/>
        <w:tc>
          <w:tcPr>
            <w:tcW w:w="2701"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foreign currency</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 and payables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withheld to pay taxes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Class A shareholders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distributions to noncontrolling interests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distributions to noncontrolling interests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Description of Business and 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multiple subsidiaries in the United States from our headquarters in Baltimore, Maryland.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MarketWise, Inc. and its subsidiary, MarketWise, LLC, a variable interest entity (“VIE”) for which MarketWise, Inc. is deemed to be the primary beneficiary.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condensed consolidated financial statements (“financial statements”). As of September 30, 2025, MarketWise, Inc. had a 15.3% ownership interest in MarketWise, LLC.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MarketWise, LLC is the primary beneficiary of a VIE, and therefore, the assets, liabilities, and results of operations of that VIE are included in the Company’s condensed consolidated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have been prepared in accordance with accounting principles generally accepted in the United States of America (“GAAP”). All intercompany balances and transactions have been eliminated in consolidation.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financial statements and the related footnote disclosures have been prepared by us in accordance with GAAP for interim financial reporting and as required by Rule 10-01 of Regulation S-X. Accordingly, the unaudited financial statements may not include all of the information and notes required by GAAP for audited financial statements. The year-end December 31, 2024 consolidated balance sheet data included herein was derived from audited financial statements but does not include all disclosures required by GAAP for complete financial statements. In the opinion of management, the accompanying unaudited financial statements contain all adjustments, consisting of items of a normal and recurring nature, necessary to present fairly our financial position as of September 30, 2025, the results of operations, comprehensive income, stockholders’ deficit, and cash flows for the three and nine months ended September 30, 2025 and 2024. The results of operations for the three and nine months ended September 30, 2025 and 2024 are not necessarily indicative of the results to be expected for the full year. The information contained herein should be read in conjunction with the audited financial statements included in our Annual Report on Form 10-K for the year ended December 31, 2024 filed with the SEC. Management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condensed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estimates of the Tax Receivable Agreement liability,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Emerging Growth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unaudited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as of April 2, 2025, the Company effected a reverse stock split (the “Reverse Stock Split”) of the Company’s shares of Class A and Class B common stock at a ratio of 1-for-20 as approved by the Company’s Board of Directors (the “Board”) and stockholders.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Reverse Stock Split proportionately decreased the number of shares of common stock authorized under the Company’s Certificate of Incorporation. The number of shares of authorized Class A common stock was reduced from 950,000,000 shares to 47,500,000 shares and the number of shares of authorized Class B common stock was reduced from 300,000,000 shares to 15,000,000 shares. The number of authorized shares of preferred stock remained unchanged.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Proportional adjustments were made to (i) the per share exercise price and number of shares issuable upon the exercise of outstanding equity awards, including Sponsor Earnout Shares and Management Earnout Shares (as defined and discussed in our Current Report on Form 8-K filed with the SEC on July 28, 2021); and (ii) the number of shares reserved for issuance pursuant to the Company’s equity incentive plan and employee stock purchase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fractional shares were issued in connection with the Reverse Stock Split. Holders of fractional shares as a result of the Reverse Stock Split were paid in cash, with reference to the closing price of the Company’s common stock on April 2, 2025 (adjusted to give effect to the reverse stock split), without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and notes to the condensed consolidated financial statements give retroactive effect to the Reverse Stock Split for all periods presented, unless otherwise specified.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Noncontrolling interest represents the Company’s noncontrolling interest in consolidated subsidiaries which are not attributable, directly or indirectly, to the controlling Class A common stock ownership of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and nine months ended September 30, 2025 and 2024 was attributable to consolidated MarketWise, Inc. and its respective noncontrolling interests.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MarketWise, Inc.’s controlling interest in MarketWise, LLC was 15.3% and the noncontrolling interest was 84.7%. For the three months ended September 30, 2025, net income attributable to controlling interests included a $1,068 tax provision, and for the nine months ended September 30, 2025, net income attributable to controlling interests included a $2,719 tax provision, both of which were solely attributable to the controlling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2024, MarketWise, Inc.’s controlling interest in MarketWise, LLC was 12.3% and the noncontrolling interest was 87.7%. For the three months ended September 30, 2024, net income attributable to controlling interests included a $973 tax provision, and for the nine months ended September 30, 2024, net income attributable to controlling interests included a $2,487 tax provision, both of which were solely attributable to the controlling interest.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Standards Issued But Not Yet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FASB issued ASU 2025-06, </w:t>
      </w:r>
      <w:r>
        <w:rPr>
          <w:rFonts w:ascii="Times New Roman;serif" w:hAnsi="Times New Roman;serif"/>
          <w:b w:val="false"/>
          <w:i/>
          <w:color w:val="000000"/>
          <w:sz w:val="20"/>
        </w:rPr>
        <w:t>Intangibles—Goodwill and Other—Internal Use Software (Subtopic 350-40): Targeted Improvements to the Accounting for Internal-Use Software</w:t>
      </w:r>
      <w:r>
        <w:rPr>
          <w:rFonts w:ascii="Times New Roman;serif" w:hAnsi="Times New Roman;serif"/>
          <w:b w:val="false"/>
          <w:color w:val="000000"/>
          <w:sz w:val="20"/>
        </w:rPr>
        <w:t>. The amendments revise the capitalization criteria for internal-use software costs and eliminate stage-based development guidance. The update is effective for fiscal years beginning after December 15, 2027, with early adoption permitted. The Company is currently evaluating the guidance to determine the impact on its financial statements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presented within the Condensed Consolidated Statements of Cash Flows have been reclassified to conform with the current period presentation. Specifically, the Company began separately presenting “tax distributions to noncontrolling interests” and “other distributions to noncontrolling interests” during the nine months ended September 30, 2025, which were previously combined as “distributions to noncontrolling interests”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tbl>
      <w:tblPr>
        <w:tblW w:w="10205" w:type="dxa"/>
        <w:jc w:val="left"/>
        <w:tblInd w:w="0" w:type="dxa"/>
        <w:tblLayout w:type="fixed"/>
        <w:tblCellMar>
          <w:top w:w="28" w:type="dxa"/>
          <w:left w:w="28" w:type="dxa"/>
          <w:bottom w:w="28" w:type="dxa"/>
          <w:right w:w="28" w:type="dxa"/>
        </w:tblCellMar>
      </w:tblPr>
      <w:tblGrid>
        <w:gridCol w:w="797"/>
        <w:gridCol w:w="615"/>
        <w:gridCol w:w="621"/>
        <w:gridCol w:w="216"/>
        <w:gridCol w:w="738"/>
        <w:gridCol w:w="112"/>
        <w:gridCol w:w="109"/>
        <w:gridCol w:w="109"/>
        <w:gridCol w:w="109"/>
        <w:gridCol w:w="253"/>
        <w:gridCol w:w="560"/>
        <w:gridCol w:w="133"/>
        <w:gridCol w:w="109"/>
        <w:gridCol w:w="109"/>
        <w:gridCol w:w="109"/>
        <w:gridCol w:w="509"/>
        <w:gridCol w:w="1125"/>
        <w:gridCol w:w="262"/>
        <w:gridCol w:w="109"/>
        <w:gridCol w:w="109"/>
        <w:gridCol w:w="109"/>
        <w:gridCol w:w="500"/>
        <w:gridCol w:w="1107"/>
        <w:gridCol w:w="259"/>
        <w:gridCol w:w="109"/>
        <w:gridCol w:w="109"/>
        <w:gridCol w:w="109"/>
        <w:gridCol w:w="211"/>
        <w:gridCol w:w="721"/>
        <w:gridCol w:w="158"/>
      </w:tblGrid>
      <w:tr>
        <w:trPr/>
        <w:tc>
          <w:tcPr>
            <w:tcW w:w="79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172"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172"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584"/>
        <w:gridCol w:w="590"/>
        <w:gridCol w:w="211"/>
        <w:gridCol w:w="826"/>
        <w:gridCol w:w="109"/>
        <w:gridCol w:w="109"/>
        <w:gridCol w:w="109"/>
        <w:gridCol w:w="109"/>
        <w:gridCol w:w="253"/>
        <w:gridCol w:w="560"/>
        <w:gridCol w:w="133"/>
        <w:gridCol w:w="109"/>
        <w:gridCol w:w="109"/>
        <w:gridCol w:w="109"/>
        <w:gridCol w:w="419"/>
        <w:gridCol w:w="1224"/>
        <w:gridCol w:w="216"/>
        <w:gridCol w:w="109"/>
        <w:gridCol w:w="109"/>
        <w:gridCol w:w="109"/>
        <w:gridCol w:w="482"/>
        <w:gridCol w:w="1067"/>
        <w:gridCol w:w="249"/>
        <w:gridCol w:w="109"/>
        <w:gridCol w:w="109"/>
        <w:gridCol w:w="109"/>
        <w:gridCol w:w="211"/>
        <w:gridCol w:w="826"/>
        <w:gridCol w:w="158"/>
      </w:tblGrid>
      <w:tr>
        <w:trPr/>
        <w:tc>
          <w:tcPr>
            <w:tcW w:w="7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252"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252"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recognition by subscription type was as follows:</w:t>
      </w:r>
    </w:p>
    <w:tbl>
      <w:tblPr>
        <w:tblW w:w="8426" w:type="dxa"/>
        <w:jc w:val="left"/>
        <w:tblInd w:w="0" w:type="dxa"/>
        <w:tblLayout w:type="fixed"/>
        <w:tblCellMar>
          <w:top w:w="28" w:type="dxa"/>
          <w:left w:w="28" w:type="dxa"/>
          <w:bottom w:w="28" w:type="dxa"/>
          <w:right w:w="28" w:type="dxa"/>
        </w:tblCellMar>
      </w:tblPr>
      <w:tblGrid>
        <w:gridCol w:w="820"/>
        <w:gridCol w:w="720"/>
        <w:gridCol w:w="724"/>
        <w:gridCol w:w="235"/>
        <w:gridCol w:w="803"/>
        <w:gridCol w:w="121"/>
        <w:gridCol w:w="121"/>
        <w:gridCol w:w="121"/>
        <w:gridCol w:w="121"/>
        <w:gridCol w:w="235"/>
        <w:gridCol w:w="803"/>
        <w:gridCol w:w="121"/>
        <w:gridCol w:w="109"/>
        <w:gridCol w:w="109"/>
        <w:gridCol w:w="109"/>
        <w:gridCol w:w="413"/>
        <w:gridCol w:w="413"/>
        <w:gridCol w:w="156"/>
        <w:gridCol w:w="156"/>
        <w:gridCol w:w="156"/>
        <w:gridCol w:w="156"/>
        <w:gridCol w:w="302"/>
        <w:gridCol w:w="1182"/>
        <w:gridCol w:w="22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subscriptions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311,223 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for the Membership and Term subscription types are determined based on the terms of the subscription agreements. Non-subscription revenue consists of revenue from advertising and other 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cash collections and refunds affects the recognition of accounts receivable, contract assets and deferred revenue. Our current deferred revenue balance in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sheets includes an obligation for refunds for contracts where the provision for refund has not lapsed. Accounts receivable, deferred revenue and obligation for refunds are as follows:</w:t>
      </w:r>
    </w:p>
    <w:tbl>
      <w:tblPr>
        <w:tblW w:w="6056" w:type="dxa"/>
        <w:jc w:val="left"/>
        <w:tblInd w:w="0" w:type="dxa"/>
        <w:tblLayout w:type="fixed"/>
        <w:tblCellMar>
          <w:top w:w="28" w:type="dxa"/>
          <w:left w:w="28" w:type="dxa"/>
          <w:bottom w:w="28" w:type="dxa"/>
          <w:right w:w="28" w:type="dxa"/>
        </w:tblCellMar>
      </w:tblPr>
      <w:tblGrid>
        <w:gridCol w:w="956"/>
        <w:gridCol w:w="840"/>
        <w:gridCol w:w="844"/>
        <w:gridCol w:w="284"/>
        <w:gridCol w:w="1114"/>
        <w:gridCol w:w="147"/>
        <w:gridCol w:w="109"/>
        <w:gridCol w:w="109"/>
        <w:gridCol w:w="109"/>
        <w:gridCol w:w="273"/>
        <w:gridCol w:w="1072"/>
        <w:gridCol w:w="19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balances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for refunds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recognized $49,352 and $65,476 of revenue during the three months ended September 30, 2025 and 2024, respectively, and $179,465 and $237,125 during the nine months ended September 30, 2025 and 2024, respectively, that was included within the beginning contract liability balance of the respective periods. The Company has collected all amounts included in deferred revenue other than $4,147 and $1,876 as of September 30, 2025 and December 31, 2024, respectively, related to the timing of cash settlement with our credit card processor.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Assets Recognized from Costs to Obtain a Contract with a Customer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opening and closing balances of our capitalized costs associated with contracts with customers:</w:t>
      </w:r>
    </w:p>
    <w:tbl>
      <w:tblPr>
        <w:tblW w:w="4730" w:type="dxa"/>
        <w:jc w:val="left"/>
        <w:tblInd w:w="0" w:type="dxa"/>
        <w:tblLayout w:type="fixed"/>
        <w:tblCellMar>
          <w:top w:w="28" w:type="dxa"/>
          <w:left w:w="28" w:type="dxa"/>
          <w:bottom w:w="28" w:type="dxa"/>
          <w:right w:w="28" w:type="dxa"/>
        </w:tblCellMar>
      </w:tblPr>
      <w:tblGrid>
        <w:gridCol w:w="1321"/>
        <w:gridCol w:w="1157"/>
        <w:gridCol w:w="1166"/>
        <w:gridCol w:w="211"/>
        <w:gridCol w:w="72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sales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and cost per acquisition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recognize any impairment on capitalized costs associated with contracts with customers for the three and nine months ended September 30, 2025 and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$374,926 of remaining performance obligations presented as deferred revenue in the condensed consolidated balance sheets. We expect to recognize approximately 50% of that amount as revenues over the next twelve months, with the remainder recognized thereafter.</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Goodwill and Intangible Assets, Net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of goodwill are as follows:</w:t>
      </w:r>
    </w:p>
    <w:tbl>
      <w:tblPr>
        <w:tblW w:w="3726" w:type="dxa"/>
        <w:jc w:val="left"/>
        <w:tblInd w:w="0" w:type="dxa"/>
        <w:tblLayout w:type="fixed"/>
        <w:tblCellMar>
          <w:top w:w="28" w:type="dxa"/>
          <w:left w:w="28" w:type="dxa"/>
          <w:bottom w:w="28" w:type="dxa"/>
          <w:right w:w="28" w:type="dxa"/>
        </w:tblCellMar>
      </w:tblPr>
      <w:tblGrid>
        <w:gridCol w:w="957"/>
        <w:gridCol w:w="838"/>
        <w:gridCol w:w="845"/>
        <w:gridCol w:w="211"/>
        <w:gridCol w:w="72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as of the dates indicated:</w:t>
      </w:r>
    </w:p>
    <w:tbl>
      <w:tblPr>
        <w:tblW w:w="10205" w:type="dxa"/>
        <w:jc w:val="left"/>
        <w:tblInd w:w="0" w:type="dxa"/>
        <w:tblLayout w:type="fixed"/>
        <w:tblCellMar>
          <w:top w:w="28" w:type="dxa"/>
          <w:left w:w="28" w:type="dxa"/>
          <w:bottom w:w="28" w:type="dxa"/>
          <w:right w:w="28" w:type="dxa"/>
        </w:tblCellMar>
      </w:tblPr>
      <w:tblGrid>
        <w:gridCol w:w="997"/>
        <w:gridCol w:w="760"/>
        <w:gridCol w:w="764"/>
        <w:gridCol w:w="211"/>
        <w:gridCol w:w="721"/>
        <w:gridCol w:w="109"/>
        <w:gridCol w:w="109"/>
        <w:gridCol w:w="109"/>
        <w:gridCol w:w="109"/>
        <w:gridCol w:w="315"/>
        <w:gridCol w:w="1174"/>
        <w:gridCol w:w="162"/>
        <w:gridCol w:w="109"/>
        <w:gridCol w:w="109"/>
        <w:gridCol w:w="109"/>
        <w:gridCol w:w="250"/>
        <w:gridCol w:w="733"/>
        <w:gridCol w:w="129"/>
        <w:gridCol w:w="109"/>
        <w:gridCol w:w="109"/>
        <w:gridCol w:w="109"/>
        <w:gridCol w:w="847"/>
        <w:gridCol w:w="847"/>
        <w:gridCol w:w="1205"/>
      </w:tblGrid>
      <w:tr>
        <w:trPr/>
        <w:tc>
          <w:tcPr>
            <w:tcW w:w="9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 (in years)</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domain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7"/>
        <w:gridCol w:w="760"/>
        <w:gridCol w:w="764"/>
        <w:gridCol w:w="211"/>
        <w:gridCol w:w="721"/>
        <w:gridCol w:w="109"/>
        <w:gridCol w:w="109"/>
        <w:gridCol w:w="109"/>
        <w:gridCol w:w="109"/>
        <w:gridCol w:w="315"/>
        <w:gridCol w:w="1174"/>
        <w:gridCol w:w="162"/>
        <w:gridCol w:w="109"/>
        <w:gridCol w:w="109"/>
        <w:gridCol w:w="109"/>
        <w:gridCol w:w="250"/>
        <w:gridCol w:w="733"/>
        <w:gridCol w:w="129"/>
        <w:gridCol w:w="109"/>
        <w:gridCol w:w="109"/>
        <w:gridCol w:w="109"/>
        <w:gridCol w:w="847"/>
        <w:gridCol w:w="847"/>
        <w:gridCol w:w="1205"/>
      </w:tblGrid>
      <w:tr>
        <w:trPr/>
        <w:tc>
          <w:tcPr>
            <w:tcW w:w="9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 (in years)</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domain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recorded amortization expense related to finite-lived intangible assets of $1,004 and $576 for the three months ended September 30, 2025 and 2024, respectively, and $2,396 and $1,822 for the nine months ended September 30, 2025 and 2024, respectively, within depreciation and amortization in the accompanying condensed consolidated statement of operations. These amounts include amortization of capitalized software development costs of $385 and $318 for the three months ended September 30, 2025 and 2024, respectively, and $828 and $860 for the nine months ended September 30,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recorded additions (reductions) to capitalized software development costs of $462 and $(38) for the three months ended September 30, 2025 and 2024, respectively, and $860 and $736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total expected future amortization expense for finite-lived intangible assets is as follows: </w:t>
      </w:r>
    </w:p>
    <w:tbl>
      <w:tblPr>
        <w:tblW w:w="3800" w:type="dxa"/>
        <w:jc w:val="left"/>
        <w:tblInd w:w="0" w:type="dxa"/>
        <w:tblLayout w:type="fixed"/>
        <w:tblCellMar>
          <w:top w:w="28" w:type="dxa"/>
          <w:left w:w="28" w:type="dxa"/>
          <w:bottom w:w="28" w:type="dxa"/>
          <w:right w:w="28" w:type="dxa"/>
        </w:tblCellMar>
      </w:tblPr>
      <w:tblGrid>
        <w:gridCol w:w="1020"/>
        <w:gridCol w:w="896"/>
        <w:gridCol w:w="903"/>
        <w:gridCol w:w="211"/>
        <w:gridCol w:w="61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financial assets and liabilities measured at fair value on a recurring basis by level within the fair value hierarchy as of the dates indicated: </w:t>
      </w:r>
    </w:p>
    <w:tbl>
      <w:tblPr>
        <w:tblW w:w="8513" w:type="dxa"/>
        <w:jc w:val="left"/>
        <w:tblInd w:w="0" w:type="dxa"/>
        <w:tblLayout w:type="fixed"/>
        <w:tblCellMar>
          <w:top w:w="28" w:type="dxa"/>
          <w:left w:w="28" w:type="dxa"/>
          <w:bottom w:w="28" w:type="dxa"/>
          <w:right w:w="28" w:type="dxa"/>
        </w:tblCellMar>
      </w:tblPr>
      <w:tblGrid>
        <w:gridCol w:w="1116"/>
        <w:gridCol w:w="980"/>
        <w:gridCol w:w="994"/>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338"/>
        <w:gridCol w:w="1155"/>
        <w:gridCol w:w="246"/>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5423"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46,181 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5423" w:type="dxa"/>
            <w:gridSpan w:val="21"/>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13" w:type="dxa"/>
        <w:jc w:val="left"/>
        <w:tblInd w:w="0" w:type="dxa"/>
        <w:tblLayout w:type="fixed"/>
        <w:tblCellMar>
          <w:top w:w="28" w:type="dxa"/>
          <w:left w:w="28" w:type="dxa"/>
          <w:bottom w:w="28" w:type="dxa"/>
          <w:right w:w="28" w:type="dxa"/>
        </w:tblCellMar>
      </w:tblPr>
      <w:tblGrid>
        <w:gridCol w:w="1116"/>
        <w:gridCol w:w="980"/>
        <w:gridCol w:w="994"/>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338"/>
        <w:gridCol w:w="1155"/>
        <w:gridCol w:w="246"/>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5423"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96,215 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5423" w:type="dxa"/>
            <w:gridSpan w:val="21"/>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level 3 assets relate to contingent consideration receivables primarily from a related party associated with the sale of brands disposed as part of the Legacy Reorganization, the Buttonwood Publishing sale. The level 3 liabilities relate to profits interests, which are presented in other liabilities, noncurrent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fair value of the recurring Level 3 fair value measurements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980"/>
        <w:gridCol w:w="725"/>
        <w:gridCol w:w="730"/>
        <w:gridCol w:w="1200"/>
        <w:gridCol w:w="1006"/>
        <w:gridCol w:w="1009"/>
        <w:gridCol w:w="109"/>
        <w:gridCol w:w="109"/>
        <w:gridCol w:w="109"/>
        <w:gridCol w:w="532"/>
        <w:gridCol w:w="1174"/>
        <w:gridCol w:w="277"/>
        <w:gridCol w:w="124"/>
        <w:gridCol w:w="124"/>
        <w:gridCol w:w="124"/>
        <w:gridCol w:w="361"/>
        <w:gridCol w:w="1056"/>
        <w:gridCol w:w="186"/>
        <w:gridCol w:w="109"/>
        <w:gridCol w:w="161"/>
      </w:tblGrid>
      <w:tr>
        <w:trPr/>
        <w:tc>
          <w:tcPr>
            <w:tcW w:w="9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3 Fair Value Measurements </w:t>
            </w:r>
          </w:p>
        </w:tc>
        <w:tc>
          <w:tcPr>
            <w:tcW w:w="270" w:type="dxa"/>
            <w:gridSpan w:val="2"/>
            <w:tcBorders/>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Statement Line Item That Includes The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 receivable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Profits interests, noncurrent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Issues</w:t>
            </w:r>
          </w:p>
        </w:tc>
        <w:tc>
          <w:tcPr>
            <w:tcW w:w="3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(losses) recorded in earnings</w:t>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losses recorded in earnings</w:t>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w:t>
            </w:r>
          </w:p>
        </w:tc>
        <w:tc>
          <w:tcPr>
            <w:tcW w:w="3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quantitative information regarding the recurring Level 3 fair value measurements inputs for the contingent consideration receivable and profits interests at their measurement dates:</w:t>
      </w:r>
    </w:p>
    <w:tbl>
      <w:tblPr>
        <w:tblW w:w="4770" w:type="dxa"/>
        <w:jc w:val="left"/>
        <w:tblInd w:w="0" w:type="dxa"/>
        <w:tblLayout w:type="fixed"/>
        <w:tblCellMar>
          <w:top w:w="28" w:type="dxa"/>
          <w:left w:w="28" w:type="dxa"/>
          <w:bottom w:w="28" w:type="dxa"/>
          <w:right w:w="28" w:type="dxa"/>
        </w:tblCellMar>
      </w:tblPr>
      <w:tblGrid>
        <w:gridCol w:w="1151"/>
        <w:gridCol w:w="1012"/>
        <w:gridCol w:w="1017"/>
        <w:gridCol w:w="323"/>
        <w:gridCol w:w="323"/>
        <w:gridCol w:w="944"/>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consideration receivable</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Profits interests</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Capitalized Implementation Costs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capitalized cloud computing implementation costs for customer-relationship management, revenue management, and enterprise resou</w:t>
      </w:r>
      <w:r>
        <w:rPr>
          <w:rFonts w:ascii="Times New Roman;serif" w:hAnsi="Times New Roman;serif"/>
          <w:b w:val="false"/>
          <w:color w:val="000000"/>
          <w:sz w:val="20"/>
        </w:rPr>
        <w:t>rce planning systems of $0 and $43 for the three months ended September 30, 2025 and 2024, respectively, and $0 and $99 for the nine months ended September 30, 2025 and 2024, respectively. The capitalized implementation costs are capita</w:t>
      </w:r>
      <w:r>
        <w:rPr>
          <w:rFonts w:ascii="Times New Roman;serif" w:hAnsi="Times New Roman;serif"/>
          <w:b w:val="false"/>
          <w:color w:val="000000"/>
          <w:sz w:val="20"/>
          <w:shd w:fill="FFFFFF" w:val="clear"/>
        </w:rPr>
        <w:t>lized within other current assets and other assets on the condensed con</w:t>
      </w:r>
      <w:r>
        <w:rPr>
          <w:rFonts w:ascii="Times New Roman;serif" w:hAnsi="Times New Roman;serif"/>
          <w:b w:val="false"/>
          <w:color w:val="000000"/>
          <w:sz w:val="20"/>
        </w:rPr>
        <w:t xml:space="preserve">solidated balance sheets. Amortization expense related to capitalized cloud computing implementation costs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val="false"/>
          <w:color w:val="000000"/>
          <w:sz w:val="20"/>
        </w:rPr>
        <w:t>$24 and $245,</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September 30, 2025 and 2024</w:t>
      </w:r>
      <w:r>
        <w:rPr>
          <w:rFonts w:ascii="Times New Roman;serif" w:hAnsi="Times New Roman;serif"/>
          <w:b w:val="false"/>
          <w:color w:val="000000"/>
          <w:sz w:val="20"/>
          <w:shd w:fill="FFFFFF" w:val="clear"/>
        </w:rPr>
        <w:t xml:space="preserve">, respectively, and $502 and </w:t>
      </w:r>
      <w:r>
        <w:rPr>
          <w:rFonts w:ascii="Times New Roman;serif" w:hAnsi="Times New Roman;serif"/>
          <w:b w:val="false"/>
          <w:color w:val="000000"/>
          <w:sz w:val="20"/>
        </w:rPr>
        <w:t>$723 for the nine months ended September 30, 2025 and 2024, respectively</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10205" w:type="dxa"/>
        <w:jc w:val="left"/>
        <w:tblInd w:w="0" w:type="dxa"/>
        <w:tblLayout w:type="fixed"/>
        <w:tblCellMar>
          <w:top w:w="28" w:type="dxa"/>
          <w:left w:w="28" w:type="dxa"/>
          <w:bottom w:w="28" w:type="dxa"/>
          <w:right w:w="28" w:type="dxa"/>
        </w:tblCellMar>
      </w:tblPr>
      <w:tblGrid>
        <w:gridCol w:w="1245"/>
        <w:gridCol w:w="978"/>
        <w:gridCol w:w="984"/>
        <w:gridCol w:w="1181"/>
        <w:gridCol w:w="1146"/>
        <w:gridCol w:w="1150"/>
        <w:gridCol w:w="109"/>
        <w:gridCol w:w="109"/>
        <w:gridCol w:w="109"/>
        <w:gridCol w:w="353"/>
        <w:gridCol w:w="783"/>
        <w:gridCol w:w="185"/>
        <w:gridCol w:w="109"/>
        <w:gridCol w:w="109"/>
        <w:gridCol w:w="109"/>
        <w:gridCol w:w="341"/>
        <w:gridCol w:w="756"/>
        <w:gridCol w:w="179"/>
        <w:gridCol w:w="109"/>
        <w:gridCol w:w="161"/>
      </w:tblGrid>
      <w:tr>
        <w:trPr/>
        <w:tc>
          <w:tcPr>
            <w:tcW w:w="1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software and equipment</w:t>
            </w:r>
          </w:p>
        </w:tc>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estimated useful life or remaining term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and equipment was $32 and $59 for the three months ended September 30, 2025 and 2024, respectively, and $114 and $175 for the nine months ended September 30, 2025 and 2024, respectively. During the nine months ended September 30, 2025, the Company recorded an impairment loss on leasehold improvement assets totaling $380, and the related lease was terminated for a gain of $1,646, which is included within general and administrative expense.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6790" w:type="dxa"/>
        <w:jc w:val="left"/>
        <w:tblInd w:w="0" w:type="dxa"/>
        <w:tblLayout w:type="fixed"/>
        <w:tblCellMar>
          <w:top w:w="28" w:type="dxa"/>
          <w:left w:w="28" w:type="dxa"/>
          <w:bottom w:w="28" w:type="dxa"/>
          <w:right w:w="28" w:type="dxa"/>
        </w:tblCellMar>
      </w:tblPr>
      <w:tblGrid>
        <w:gridCol w:w="1223"/>
        <w:gridCol w:w="1073"/>
        <w:gridCol w:w="1078"/>
        <w:gridCol w:w="313"/>
        <w:gridCol w:w="1070"/>
        <w:gridCol w:w="161"/>
        <w:gridCol w:w="109"/>
        <w:gridCol w:w="109"/>
        <w:gridCol w:w="109"/>
        <w:gridCol w:w="300"/>
        <w:gridCol w:w="1026"/>
        <w:gridCol w:w="219"/>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variable compensation</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within cost of revenue, sales and marketing, and general and administrative expenses are total stock-based compensation expenses as follows:</w:t>
      </w:r>
    </w:p>
    <w:tbl>
      <w:tblPr>
        <w:tblW w:w="9005" w:type="dxa"/>
        <w:jc w:val="left"/>
        <w:tblInd w:w="0" w:type="dxa"/>
        <w:tblLayout w:type="fixed"/>
        <w:tblCellMar>
          <w:top w:w="28" w:type="dxa"/>
          <w:left w:w="28" w:type="dxa"/>
          <w:bottom w:w="28" w:type="dxa"/>
          <w:right w:w="28" w:type="dxa"/>
        </w:tblCellMar>
      </w:tblPr>
      <w:tblGrid>
        <w:gridCol w:w="1247"/>
        <w:gridCol w:w="1099"/>
        <w:gridCol w:w="1104"/>
        <w:gridCol w:w="253"/>
        <w:gridCol w:w="739"/>
        <w:gridCol w:w="130"/>
        <w:gridCol w:w="130"/>
        <w:gridCol w:w="130"/>
        <w:gridCol w:w="130"/>
        <w:gridCol w:w="253"/>
        <w:gridCol w:w="739"/>
        <w:gridCol w:w="130"/>
        <w:gridCol w:w="109"/>
        <w:gridCol w:w="109"/>
        <w:gridCol w:w="109"/>
        <w:gridCol w:w="244"/>
        <w:gridCol w:w="712"/>
        <w:gridCol w:w="126"/>
        <w:gridCol w:w="126"/>
        <w:gridCol w:w="126"/>
        <w:gridCol w:w="126"/>
        <w:gridCol w:w="244"/>
        <w:gridCol w:w="712"/>
        <w:gridCol w:w="178"/>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based-compensation expense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includes expenses related to our 2021 Incentive Award Plan, our ESPP and profits interests, as follows:</w:t>
      </w:r>
    </w:p>
    <w:tbl>
      <w:tblPr>
        <w:tblW w:w="9005" w:type="dxa"/>
        <w:jc w:val="left"/>
        <w:tblInd w:w="0" w:type="dxa"/>
        <w:tblLayout w:type="fixed"/>
        <w:tblCellMar>
          <w:top w:w="28" w:type="dxa"/>
          <w:left w:w="28" w:type="dxa"/>
          <w:bottom w:w="28" w:type="dxa"/>
          <w:right w:w="28" w:type="dxa"/>
        </w:tblCellMar>
      </w:tblPr>
      <w:tblGrid>
        <w:gridCol w:w="1250"/>
        <w:gridCol w:w="1099"/>
        <w:gridCol w:w="1101"/>
        <w:gridCol w:w="253"/>
        <w:gridCol w:w="739"/>
        <w:gridCol w:w="130"/>
        <w:gridCol w:w="130"/>
        <w:gridCol w:w="130"/>
        <w:gridCol w:w="130"/>
        <w:gridCol w:w="253"/>
        <w:gridCol w:w="739"/>
        <w:gridCol w:w="130"/>
        <w:gridCol w:w="109"/>
        <w:gridCol w:w="109"/>
        <w:gridCol w:w="109"/>
        <w:gridCol w:w="244"/>
        <w:gridCol w:w="712"/>
        <w:gridCol w:w="126"/>
        <w:gridCol w:w="126"/>
        <w:gridCol w:w="126"/>
        <w:gridCol w:w="126"/>
        <w:gridCol w:w="244"/>
        <w:gridCol w:w="712"/>
        <w:gridCol w:w="178"/>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Incentive Award Plan</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2021 Incentive Award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granted 57,823 restricted stock units (“RSUs”) to certain employees and service providers in aggregate under our 2021 Incentive Award Plan.</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For employees and service providers, both RSUs and stock appreciation rights (“SARs”) are primarily time 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RSU is the same as the Company’s share price on the date of grant. The fair value of the SARs was determined using a Black-Scholes model.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of the RSUs and SARs and the related weighted average grant-date fair value of the respective share classes are summarized as follows, including granted, exercised and forfeited from January 1, 2025 to September 30, 2025.</w:t>
      </w:r>
    </w:p>
    <w:tbl>
      <w:tblPr>
        <w:tblW w:w="10205" w:type="dxa"/>
        <w:jc w:val="left"/>
        <w:tblInd w:w="0" w:type="dxa"/>
        <w:tblLayout w:type="fixed"/>
        <w:tblCellMar>
          <w:top w:w="28" w:type="dxa"/>
          <w:left w:w="28" w:type="dxa"/>
          <w:bottom w:w="28" w:type="dxa"/>
          <w:right w:w="28" w:type="dxa"/>
        </w:tblCellMar>
      </w:tblPr>
      <w:tblGrid>
        <w:gridCol w:w="858"/>
        <w:gridCol w:w="684"/>
        <w:gridCol w:w="686"/>
        <w:gridCol w:w="109"/>
        <w:gridCol w:w="109"/>
        <w:gridCol w:w="488"/>
        <w:gridCol w:w="488"/>
        <w:gridCol w:w="161"/>
        <w:gridCol w:w="109"/>
        <w:gridCol w:w="109"/>
        <w:gridCol w:w="109"/>
        <w:gridCol w:w="530"/>
        <w:gridCol w:w="1551"/>
        <w:gridCol w:w="275"/>
        <w:gridCol w:w="109"/>
        <w:gridCol w:w="109"/>
        <w:gridCol w:w="109"/>
        <w:gridCol w:w="360"/>
        <w:gridCol w:w="361"/>
        <w:gridCol w:w="161"/>
        <w:gridCol w:w="109"/>
        <w:gridCol w:w="109"/>
        <w:gridCol w:w="109"/>
        <w:gridCol w:w="516"/>
        <w:gridCol w:w="1506"/>
        <w:gridCol w:w="381"/>
      </w:tblGrid>
      <w:tr>
        <w:trPr/>
        <w:tc>
          <w:tcPr>
            <w:tcW w:w="85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SARs</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(RSUs) or Exercised (SARs)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59,045 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 compensation expense related to the RSU and SAR grants was $2,286 and $3,124 for the three months ended September 30, 2025 and 2024, respectively, and $8,671 and $6,897 for the nine months ended September 30, 2025 and 2024, respectively. As of September 30, 2025, 59,045 SARs were exercisable and they have a remaining contractual term of 5.9 years.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$14 and $36 of stock-based compensation expense related to the ESPP for the three months ended September 30, 2025 and 2024, respectively, and $39 and $204 for the nine months ended September 30, 2025 and 2024, respectively. As of September 30, 2025, $61 has been withheld on behalf of employees for the December 31, 2025 purchase date.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issued 15,249 shares of Class A common stock for $283 related to employee purchases under the ESPP during the nine months ended September 30,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Profits Interests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$450 and $44 of stock-based compensation (benefit) expense related to the profits interests, which are liability classified, for the three months ended September 30, 2025 and 2024, respectively, and $(262) and $1,567 for the nine months ended September 30, 2025 and 2024, respectively.</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Earnings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693"/>
        <w:gridCol w:w="1477"/>
        <w:gridCol w:w="1486"/>
        <w:gridCol w:w="230"/>
        <w:gridCol w:w="788"/>
        <w:gridCol w:w="118"/>
        <w:gridCol w:w="118"/>
        <w:gridCol w:w="118"/>
        <w:gridCol w:w="118"/>
        <w:gridCol w:w="230"/>
        <w:gridCol w:w="788"/>
        <w:gridCol w:w="118"/>
        <w:gridCol w:w="109"/>
        <w:gridCol w:w="109"/>
        <w:gridCol w:w="109"/>
        <w:gridCol w:w="222"/>
        <w:gridCol w:w="761"/>
        <w:gridCol w:w="114"/>
        <w:gridCol w:w="114"/>
        <w:gridCol w:w="114"/>
        <w:gridCol w:w="114"/>
        <w:gridCol w:w="222"/>
        <w:gridCol w:w="761"/>
        <w:gridCol w:w="174"/>
      </w:tblGrid>
      <w:tr>
        <w:trPr/>
        <w:tc>
          <w:tcPr>
            <w:tcW w:w="169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stockholders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stockholders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and their impact on the computation of diluted earnings per share is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Sponsor and MarketWise Management Member Earnout Shares: the 152,550 Sponsor Earnout Shares and the 99,998 MarketWise Management Member Earnout Shares held in escrow were excluded from the earnings per share computation in the 2024 periods since the earnout contingency had not been met. In July 2025, the earnout period for all 252,548 previously escrowed Management Member Earnout Shares and Sponsor Earnout Shares (“EO Shares”) expired. As a result, there was no dilution to other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related to this arrangement. As a result of the EO Shares expiration, the Company reversed $1,263 in cumulative dividends that had been accrued attributable to the EO Shares during the earnout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Restricted stock units: The basic earnings per share calculation includes the impact of vested RSUs. The diluted earnings per share calculation includes the impact of unvested RSUs, where the impact is dilutive, unless the Company has a net loss.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Stock appreciation rights: The diluted earnings per share calculation excludes the impact of SARs since the effect was antidilutive.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ESPP: The diluted earnings per share calculation includes the impact of dilutive shares and excludes the impact of antidilutive shares under the ESPP as of September 30,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that were not included in the diluted per share calculations because they would be anti-dilutive were as follows (in thousands):</w:t>
      </w:r>
    </w:p>
    <w:tbl>
      <w:tblPr>
        <w:tblW w:w="8660" w:type="dxa"/>
        <w:jc w:val="left"/>
        <w:tblInd w:w="0" w:type="dxa"/>
        <w:tblLayout w:type="fixed"/>
        <w:tblCellMar>
          <w:top w:w="28" w:type="dxa"/>
          <w:left w:w="28" w:type="dxa"/>
          <w:bottom w:w="28" w:type="dxa"/>
          <w:right w:w="28" w:type="dxa"/>
        </w:tblCellMar>
      </w:tblPr>
      <w:tblGrid>
        <w:gridCol w:w="1087"/>
        <w:gridCol w:w="955"/>
        <w:gridCol w:w="958"/>
        <w:gridCol w:w="291"/>
        <w:gridCol w:w="291"/>
        <w:gridCol w:w="291"/>
        <w:gridCol w:w="291"/>
        <w:gridCol w:w="291"/>
        <w:gridCol w:w="291"/>
        <w:gridCol w:w="395"/>
        <w:gridCol w:w="291"/>
        <w:gridCol w:w="308"/>
        <w:gridCol w:w="109"/>
        <w:gridCol w:w="109"/>
        <w:gridCol w:w="109"/>
        <w:gridCol w:w="275"/>
        <w:gridCol w:w="275"/>
        <w:gridCol w:w="275"/>
        <w:gridCol w:w="275"/>
        <w:gridCol w:w="275"/>
        <w:gridCol w:w="275"/>
        <w:gridCol w:w="275"/>
        <w:gridCol w:w="275"/>
        <w:gridCol w:w="393"/>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RSUs</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SARs</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5.2% and 3.6% for the nine months ended September 30, 2025 and 2024, respectively. The main driver of the effective income tax rate for the nine months ended September 30, 2025 was the income allocation to the noncontrolling interest. The main driver of the increase in the effective tax rate from the nine months ended September 30, 2024 is the impact of discrete items related to the gain on settlement of lease liability upon termination and related impairment of leasehold improvements and change in fair value of contingent consideration. Our effective tax rate for the nine months ended September 30, 2025 differs from the U.S. federal statutory rate primarily because we generally do not record income taxes for the noncontrolling portion of pre-tax income.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$30,944 for certain deferred tax assets that are not more likely than not to be realized.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Transactions (as defined and discussed in our Current Report on Form 8-K filed with the SEC on July 28, 2021),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being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nine months ended September 30, 2025, Members of MarketWise, LLC exchanged an aggregate of 381,857 common units of MarketWise, LLC (“LLC Units”) together with an equal number of shares of Class B common stock for 381,857 newly-issued shares of Class A common stock. As a result, we have recorded a cumulative liability of $4,260 under the TRA as of September 30, 2025. No payments have been made under the TRA and no significant payments are expected in the next 12 months.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unrecognized tax positions and believe there will be no changes to uncertain tax positions within the next 12 months.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One Big Beautiful Bill was enacted on July 4, 2025. The Company is currently evaluating the impact of this legislation but does not expect it to have a material impact on its financial statements.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certain revenue share agreements with related parties. Accordingly, we recognized revenue from related parties of $436 and $211 for the three months ended September 30, 2025 and 2024, respectively, and $1,570 and $1,462 for the nine months ended September 30,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incurred revenue share expenses paid to related parties of $938 and $1,028 which were capitalized as contract origination costs for the three months ended September 30, 2025 and 2024, respectively, and $3,204 and $3,086 for the nine months ended September 30,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related party provided call center support and other services to the Company for which we recorded an expense within cost of revenue of $82 and $64 for the three months ended September 30, 2025 and 2024, respectively, and $283 and $284 for the nine months ended September 30,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related party provided marketing and copywriting services to the Company for which we recorded an expense within cost of revenue of $153 and $166 for the three months ended September 30, 2025 and 2024, respectively, and $529 and $892 for the nine months ended September 30,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related party also provided certain corporate functions to MarketWise and the costs of these services are charged to MarketWise. We recorded $24 and $32 for the three months ended September 30, 2025 and 2024, respectively, and $72 and $70 for the nine months ended September 30, 2025 and 2024, respectively, within related party expense in the accompanying condensed consolidated statement of operations. We held balances of $926 and $354 as of September 30, 2025 and December 31, 2024 of related party payables related to revenue share expenses, call center support, and the services noted above. The balances with this related party are presented net and are included in related party payables in the condensed consolidated balance sheet.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earned fees and provided certain accounting and marketing services to companies owned by certain of MarketWise’s Class B stockholders. As a result, we recognized $115 and $93 in other income, net for the three months ended September 30, 2025 and 2024, respectively, and $359 and $354 for the nine months ended September 30, 2025 and 2024, respectively. Related party receivables related to these services were $115 and $194 as of September 30, 2025 and December 31,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lease offices from related parties. In July 2025, we executed an amendment to a headquarters lease to extend the lease end date from 2026 to 2032. The amendment was accounted for as a modification, which increased the ROU asset (net of an improvement allowance of $678) and lease liability by $4,814 and $5,493, respectively.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val="false"/>
          <w:color w:val="000000"/>
          <w:sz w:val="20"/>
        </w:rPr>
        <w:t>payments made to related parties were $294 and $435 for the three months ended September 30, 2025 and 2024, respectively, and $991 and $1,306 for the nine months ended September 30, 2025 and 2024, respectively. Related party rent expense of $354 and $603 were recognized in general and administrative expenses for the three months ended September 30, 2025 and 2024, respectively, and $1,353 and $1,808 for the nine months ended September 30, 2025 and 2024, respectively. At September 30, 2025 and December 31, 2024, ROU assets of $6,932 and $3,172 and lease liabilities of $6,818 and $4,335 are associated with leases with related parties. Additionally, we paid $700 in lease termination fees related to our former Legacy Research lease during the nine months ended September 30, 2025. For more information, see</w:t>
      </w:r>
      <w:r>
        <w:rPr>
          <w:color w:val="000000"/>
        </w:rPr>
        <w:t xml:space="preserve"> </w:t>
      </w:r>
      <w:r>
        <w:rPr>
          <w:rFonts w:ascii="Times New Roman;serif" w:hAnsi="Times New Roman;serif"/>
          <w:b w:val="false"/>
          <w:i/>
          <w:color w:val="000000"/>
          <w:sz w:val="20"/>
        </w:rPr>
        <w:t xml:space="preserve">Note 6 – Balance Sheet Components.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Supplemental Cash Flow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 are as follows:</w:t>
      </w:r>
    </w:p>
    <w:tbl>
      <w:tblPr>
        <w:tblW w:w="10205" w:type="dxa"/>
        <w:jc w:val="left"/>
        <w:tblInd w:w="0" w:type="dxa"/>
        <w:tblLayout w:type="fixed"/>
        <w:tblCellMar>
          <w:top w:w="28" w:type="dxa"/>
          <w:left w:w="28" w:type="dxa"/>
          <w:bottom w:w="28" w:type="dxa"/>
          <w:right w:w="28" w:type="dxa"/>
        </w:tblCellMar>
      </w:tblPr>
      <w:tblGrid>
        <w:gridCol w:w="1918"/>
        <w:gridCol w:w="1671"/>
        <w:gridCol w:w="1679"/>
        <w:gridCol w:w="109"/>
        <w:gridCol w:w="754"/>
        <w:gridCol w:w="754"/>
        <w:gridCol w:w="755"/>
        <w:gridCol w:w="109"/>
        <w:gridCol w:w="211"/>
        <w:gridCol w:w="721"/>
        <w:gridCol w:w="109"/>
        <w:gridCol w:w="109"/>
        <w:gridCol w:w="109"/>
        <w:gridCol w:w="109"/>
        <w:gridCol w:w="211"/>
        <w:gridCol w:w="721"/>
        <w:gridCol w:w="156"/>
      </w:tblGrid>
      <w:tr>
        <w:trPr/>
        <w:tc>
          <w:tcPr>
            <w:tcW w:w="191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565" w:type="dxa"/>
            <w:gridSpan w:val="10"/>
            <w:tcBorders/>
          </w:tcPr>
          <w:p>
            <w:pPr>
              <w:pStyle w:val="TableContents"/>
              <w:bidi w:val="0"/>
              <w:spacing w:before="0" w:after="283"/>
              <w:jc w:val="left"/>
              <w:rPr>
                <w:sz w:val="4"/>
                <w:szCs w:val="4"/>
              </w:rPr>
            </w:pPr>
            <w:r>
              <w:rPr>
                <w:sz w:val="4"/>
                <w:szCs w:val="4"/>
              </w:rPr>
            </w:r>
          </w:p>
        </w:tc>
      </w:tr>
      <w:tr>
        <w:trPr/>
        <w:tc>
          <w:tcPr>
            <w:tcW w:w="5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included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 liability related to MMP acquisition</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5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capital stock consists of (i) issued and outstanding Class A common stock with a par value of $0.0001 per share, and (ii) issued and outstanding Class B common stock with a par value of $0.0001 per share.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set forth below reflects information about the Company’s equity as of September 30, 2025. </w:t>
      </w:r>
    </w:p>
    <w:tbl>
      <w:tblPr>
        <w:tblW w:w="7040" w:type="dxa"/>
        <w:jc w:val="left"/>
        <w:tblInd w:w="0" w:type="dxa"/>
        <w:tblLayout w:type="fixed"/>
        <w:tblCellMar>
          <w:top w:w="28" w:type="dxa"/>
          <w:left w:w="28" w:type="dxa"/>
          <w:bottom w:w="28" w:type="dxa"/>
          <w:right w:w="28" w:type="dxa"/>
        </w:tblCellMar>
      </w:tblPr>
      <w:tblGrid>
        <w:gridCol w:w="765"/>
        <w:gridCol w:w="672"/>
        <w:gridCol w:w="677"/>
        <w:gridCol w:w="592"/>
        <w:gridCol w:w="594"/>
        <w:gridCol w:w="306"/>
        <w:gridCol w:w="109"/>
        <w:gridCol w:w="109"/>
        <w:gridCol w:w="109"/>
        <w:gridCol w:w="540"/>
        <w:gridCol w:w="541"/>
        <w:gridCol w:w="181"/>
        <w:gridCol w:w="109"/>
        <w:gridCol w:w="109"/>
        <w:gridCol w:w="109"/>
        <w:gridCol w:w="540"/>
        <w:gridCol w:w="541"/>
        <w:gridCol w:w="43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Class A</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2,451,469 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2,451,469 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Class B</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13,612,641 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13,612,641 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162,500,000 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16,064,110 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16,064,110 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Class A and Class B common stock entitles the holder to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paid quarterly dividends on shares of our Class A common stock.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dividends on shares of Class A common stock and other distributions on LLC Units declared during the nine months ended September 30, 2025, on a split adjusted basis, were as follows:</w:t>
      </w:r>
    </w:p>
    <w:tbl>
      <w:tblPr>
        <w:tblW w:w="8641" w:type="dxa"/>
        <w:jc w:val="left"/>
        <w:tblInd w:w="0" w:type="dxa"/>
        <w:tblLayout w:type="fixed"/>
        <w:tblCellMar>
          <w:top w:w="28" w:type="dxa"/>
          <w:left w:w="28" w:type="dxa"/>
          <w:bottom w:w="28" w:type="dxa"/>
          <w:right w:w="28" w:type="dxa"/>
        </w:tblCellMar>
      </w:tblPr>
      <w:tblGrid>
        <w:gridCol w:w="276"/>
        <w:gridCol w:w="243"/>
        <w:gridCol w:w="247"/>
        <w:gridCol w:w="529"/>
        <w:gridCol w:w="529"/>
        <w:gridCol w:w="532"/>
        <w:gridCol w:w="572"/>
        <w:gridCol w:w="572"/>
        <w:gridCol w:w="581"/>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Dividends on </w:t>
              <w:b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distributions on</w:t>
              <w:br/>
              <w:t>LLC Units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declared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paid</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15, 2025</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28, 2025, the Company announced that the Board 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next 12 months but the program may be modified, suspended, or terminated at any time. The share repurchase program does not obligate the Company to repurchase any dollar amount or number of shares. During the three and nine months ended September 30, 2025, we repurchased 57,224 shares totaling $1,050 in the aggregate, including fees and commissions of $2, and 174,897 shares totaling $2,901 in the aggregate, including fees and commissions of $5,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 holders of MarketWise, LLC in accordance with the MarketWise Operating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Operating Decision Maker (“CODM”) monitors financial results for internal purposes that are not prepared in accordance with GAAP (“Adjusted Basis”) because these results more closely align to how the business generates and uses cash.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uses Adjusted Net Profit (Loss) as the key performance measure for evaluating segment income or loss on a monthly basis when assessing segment performance and when making decisions about how to allocate operating resources, such as marketing spend and determining variable compensation for certain employees.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primary components of the “Corporate and all other” line in the following tables include certain corporate overhead charges, expenses that have not been allocated to the reportable segment, including corporate functions, taxes, and activity related to components that is below quantitative threshold for separate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reconciliation of reportable segment Adjusted Basis Net Profit (Loss) to the consolidated totals are as follows:</w:t>
      </w:r>
    </w:p>
    <w:tbl>
      <w:tblPr>
        <w:tblW w:w="10205" w:type="dxa"/>
        <w:jc w:val="left"/>
        <w:tblInd w:w="0" w:type="dxa"/>
        <w:tblLayout w:type="fixed"/>
        <w:tblCellMar>
          <w:top w:w="28" w:type="dxa"/>
          <w:left w:w="28" w:type="dxa"/>
          <w:bottom w:w="28" w:type="dxa"/>
          <w:right w:w="28" w:type="dxa"/>
        </w:tblCellMar>
      </w:tblPr>
      <w:tblGrid>
        <w:gridCol w:w="1802"/>
        <w:gridCol w:w="1432"/>
        <w:gridCol w:w="1443"/>
        <w:gridCol w:w="222"/>
        <w:gridCol w:w="759"/>
        <w:gridCol w:w="114"/>
        <w:gridCol w:w="114"/>
        <w:gridCol w:w="114"/>
        <w:gridCol w:w="114"/>
        <w:gridCol w:w="222"/>
        <w:gridCol w:w="759"/>
        <w:gridCol w:w="114"/>
        <w:gridCol w:w="109"/>
        <w:gridCol w:w="109"/>
        <w:gridCol w:w="109"/>
        <w:gridCol w:w="211"/>
        <w:gridCol w:w="826"/>
        <w:gridCol w:w="109"/>
        <w:gridCol w:w="109"/>
        <w:gridCol w:w="109"/>
        <w:gridCol w:w="109"/>
        <w:gridCol w:w="211"/>
        <w:gridCol w:w="826"/>
        <w:gridCol w:w="159"/>
      </w:tblGrid>
      <w:tr>
        <w:trPr/>
        <w:tc>
          <w:tcPr>
            <w:tcW w:w="180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revenue for reportable segment</w:t>
            </w:r>
            <w:r>
              <w:rPr>
                <w:color w:val="000000"/>
              </w:rPr>
              <w:t xml:space="preserve"> </w:t>
            </w:r>
            <w:r>
              <w:rPr>
                <w:rFonts w:ascii="Times New Roman;serif" w:hAnsi="Times New Roman;serif"/>
                <w:b w:val="false"/>
                <w:color w:val="000000"/>
                <w:sz w:val="13"/>
              </w:rPr>
              <w:t>(a)</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to total net revenue for reportable segment </w:t>
            </w:r>
            <w:r>
              <w:rPr>
                <w:rFonts w:ascii="Times New Roman;serif" w:hAnsi="Times New Roman;serif"/>
                <w:b w:val="false"/>
                <w:color w:val="000000"/>
                <w:sz w:val="13"/>
              </w:rPr>
              <w:t>(b)</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expense </w:t>
            </w:r>
            <w:r>
              <w:rPr>
                <w:rFonts w:ascii="Times New Roman;serif" w:hAnsi="Times New Roman;serif"/>
                <w:b w:val="false"/>
                <w:color w:val="000000"/>
                <w:sz w:val="13"/>
              </w:rPr>
              <w:t>(c)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 share expense </w:t>
            </w:r>
            <w:r>
              <w:rPr>
                <w:rFonts w:ascii="Times New Roman;serif" w:hAnsi="Times New Roman;serif"/>
                <w:b w:val="false"/>
                <w:color w:val="000000"/>
                <w:sz w:val="13"/>
              </w:rPr>
              <w:t>(c)</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marketing </w:t>
            </w:r>
            <w:r>
              <w:rPr>
                <w:rFonts w:ascii="Times New Roman;serif" w:hAnsi="Times New Roman;serif"/>
                <w:b w:val="false"/>
                <w:color w:val="000000"/>
                <w:sz w:val="13"/>
              </w:rPr>
              <w:t>(c)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and outside labor </w:t>
            </w:r>
            <w:r>
              <w:rPr>
                <w:rFonts w:ascii="Times New Roman;serif" w:hAnsi="Times New Roman;serif"/>
                <w:b w:val="false"/>
                <w:color w:val="000000"/>
                <w:sz w:val="13"/>
              </w:rPr>
              <w:t>(c)</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overhead </w:t>
            </w:r>
            <w:r>
              <w:rPr>
                <w:rFonts w:ascii="Times New Roman;serif" w:hAnsi="Times New Roman;serif"/>
                <w:b w:val="false"/>
                <w:color w:val="000000"/>
                <w:sz w:val="13"/>
              </w:rPr>
              <w:t>(c)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allocations </w:t>
            </w:r>
            <w:r>
              <w:rPr>
                <w:rFonts w:ascii="Times New Roman;serif" w:hAnsi="Times New Roman;serif"/>
                <w:b w:val="false"/>
                <w:color w:val="000000"/>
                <w:sz w:val="13"/>
              </w:rPr>
              <w:t>(c)</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Adjusted Net Profit (Loss)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Net Profit (Loss) to consolidated income before income taxes: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all other Adjusted Net Profit (Loss)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to total net revenue </w:t>
            </w:r>
            <w:r>
              <w:rPr>
                <w:rFonts w:ascii="Times New Roman;serif" w:hAnsi="Times New Roman;serif"/>
                <w:b w:val="false"/>
                <w:color w:val="000000"/>
                <w:sz w:val="13"/>
              </w:rPr>
              <w:t>(b)</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(d)</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contract acquisition costs </w:t>
            </w:r>
            <w:r>
              <w:rPr>
                <w:rFonts w:ascii="Times New Roman;serif" w:hAnsi="Times New Roman;serif"/>
                <w:b w:val="false"/>
                <w:color w:val="000000"/>
                <w:sz w:val="13"/>
              </w:rPr>
              <w:t>(e)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(f)(g)</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(h)</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income taxes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(a)total net revenue for reportable segment is in accordance with GAAP</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(b)subscription revenue, revenue share and other income are generally recognized on a cash basis under Adjusted Basis, rather than deferred and recognized over the subscription term or when earned in accordance with ASC 606</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(c)amounts represent Adjusted Basis</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(d)amounts represent stock-based compensation expense</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(e)costs to obtain a contract are expensed under Adjusted Basis, rather than capitalized as deferred contract acquisition costs and subsequently amortized in accordance with ASC 340</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(f)certain operating leases are recognized on a cash basis under Adjusted Basis, rather than initially recognizing right-of-use assets and lease liabilities, which are subsequently amortized over the lease term in accordance with ASC 842</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(g)certain intangible assets arising from business combinations are not recognized upon acquisition and subsequently amortized in accordance with ASC 805 under Adjusted Basis</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(h)other line includes various items that are recognized differently under Adjusted Basis, software development and implementation related costs, including implementation costs of cloud computing arrangements, employee benefit related items, gain on lease termination, change in fair value of contingent consideration, and certain tax related items.</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reconciliation of reportable segment revenues to the consolidated totals are as follows:</w:t>
      </w:r>
    </w:p>
    <w:tbl>
      <w:tblPr>
        <w:tblW w:w="9359" w:type="dxa"/>
        <w:jc w:val="left"/>
        <w:tblInd w:w="0" w:type="dxa"/>
        <w:tblLayout w:type="fixed"/>
        <w:tblCellMar>
          <w:top w:w="28" w:type="dxa"/>
          <w:left w:w="28" w:type="dxa"/>
          <w:bottom w:w="28" w:type="dxa"/>
          <w:right w:w="28" w:type="dxa"/>
        </w:tblCellMar>
      </w:tblPr>
      <w:tblGrid>
        <w:gridCol w:w="1231"/>
        <w:gridCol w:w="1083"/>
        <w:gridCol w:w="1090"/>
        <w:gridCol w:w="109"/>
        <w:gridCol w:w="109"/>
        <w:gridCol w:w="109"/>
        <w:gridCol w:w="231"/>
        <w:gridCol w:w="790"/>
        <w:gridCol w:w="119"/>
        <w:gridCol w:w="119"/>
        <w:gridCol w:w="119"/>
        <w:gridCol w:w="119"/>
        <w:gridCol w:w="231"/>
        <w:gridCol w:w="790"/>
        <w:gridCol w:w="119"/>
        <w:gridCol w:w="109"/>
        <w:gridCol w:w="109"/>
        <w:gridCol w:w="109"/>
        <w:gridCol w:w="211"/>
        <w:gridCol w:w="826"/>
        <w:gridCol w:w="109"/>
        <w:gridCol w:w="109"/>
        <w:gridCol w:w="109"/>
        <w:gridCol w:w="109"/>
        <w:gridCol w:w="211"/>
        <w:gridCol w:w="82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 for reportable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CODM does not use segment assets to evaluate segment performance or allocate resources. Therefore, we do not disclose segment assets. Long-lived assets were located in the United States as of September 30,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we reorganized our reporting structure by eliminating our 1729 Research and Alta operating subsidiaries, which were also two of our three reporting units. Accordingly, assets and liabilities were reassigned to the operating subsidiary level, including 1729 Research and Alta goodwill of $14,190 and $13,004, respectively, which was determined using a relative fair value approach. Significant assumptions of the valuation included, but were not limited to, prospective financial information, growth rates, discount rates, and inflation factors.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29, 2025, the Company announced that it had received a proposal (the "Proposal") from Monument &amp; Cathedral Holdings, LLC (collectively with its affiliates, “M&amp;C”) to acquire all of the outstanding equity interests of each of the Company and Marketwise, LLC that are not owned directly or indirectly by M&amp;C, for cash consideration of $17.25 per share, which is contingent upon the termination of the Company’s tax receivable agreement concurrent with the closing of the transaction. Upon receiving the Proposal, the Company suspended repurchases under its share repurchase program effective October 30, 2025. The program remains authorized by the Board; however, repurchases are not currently being made. A Special Committee of the Company’s Board of Directors is reviewing this Proposal in consultation with its advisors. This Proposal may or may not lead to a transaction, and the Company does not intend to update disclosures regarding the Proposal unless a definitive agreement has been reached or disclosure is otherwise required under applicable U.S. securities laws. No adjustments have been made to the accompanying condensed consolidated financial statements related to these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MarketWise, Inc., a Delaware corporation (“MarketWise,” “we,” “us,” and “our”), should be read together with our unaudited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2024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Altimetry, TradeSmith, InvestorPlace, and Brownstone Research. Our entire investment research product portfolio is 100% digital and channel agnostic, and we offer all of our research across a variety of platforms, including desktop, laptop, and mobile devices, including tablets and mobile phones.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Today, we benefit from the confluence of a leading editorial team, diverse portfolio of content and brands, and a comprehensive suite of investor-centric tools that appeal to a broad subscriber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Third Quarter 2025 Highlights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net revenue was $81.3 million in the third quarter 2025</w:t>
      </w:r>
      <w:r>
        <w:rPr>
          <w:rFonts w:ascii="Times New Roman;serif" w:hAnsi="Times New Roman;serif"/>
          <w:b w:val="false"/>
          <w:color w:val="000000"/>
          <w:sz w:val="13"/>
        </w:rPr>
        <w:t>(2)</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Total Billings were $63.7 million in third quarter 2025, a year-over-year increase of 30%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income was $17.9 million in third quarter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Cash from Operating Activities (“CFFO”) was $2.2 million in third quarter 2025, an improvement of $8.0 million compared to third quarter 2024. On a year to date basis, CFFO improved by $49.9 million compared to third quarter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Cash and cash equivalents were $50.5 million as of September 30, 2025, and no debt outstanding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on October 30, 2025 quarterly and special dividend totaling $0.40 per Class A share</w:t>
      </w:r>
    </w:p>
    <w:p>
      <w:pPr>
        <w:pStyle w:val="TextBody"/>
        <w:bidi w:val="0"/>
        <w:spacing w:lineRule="auto" w:line="288" w:before="0" w:after="18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(1) The third quarter 2025 and 2024 quarterly results reported herein are unaudited.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(2) Net Revenue (a GAAP measure) represents Billings that are recognized over the term of the subscription, which can be multiple years. Billings are amounts invoiced to customers in the period and is thus indicative of the current operating environment and demand for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cash provided by operating activities, and the related margin as a percentage of net revenue, Adjusted CFFO (as defined below), a non-GAAP measure, and the related margin as a percentage of Billings, Free Cash Flow and EBITDA (as defined below), both non-GAAP measures, for each of the periods presented. For more information on our non-GAAP measures, see “— Non-GAAP Financial Measures.”</w:t>
      </w:r>
    </w:p>
    <w:tbl>
      <w:tblPr>
        <w:tblW w:w="9484" w:type="dxa"/>
        <w:jc w:val="left"/>
        <w:tblInd w:w="0" w:type="dxa"/>
        <w:tblLayout w:type="fixed"/>
        <w:tblCellMar>
          <w:top w:w="28" w:type="dxa"/>
          <w:left w:w="28" w:type="dxa"/>
          <w:bottom w:w="28" w:type="dxa"/>
          <w:right w:w="28" w:type="dxa"/>
        </w:tblCellMar>
      </w:tblPr>
      <w:tblGrid>
        <w:gridCol w:w="1750"/>
        <w:gridCol w:w="1538"/>
        <w:gridCol w:w="1542"/>
        <w:gridCol w:w="109"/>
        <w:gridCol w:w="109"/>
        <w:gridCol w:w="109"/>
        <w:gridCol w:w="211"/>
        <w:gridCol w:w="721"/>
        <w:gridCol w:w="271"/>
        <w:gridCol w:w="109"/>
        <w:gridCol w:w="109"/>
        <w:gridCol w:w="109"/>
        <w:gridCol w:w="211"/>
        <w:gridCol w:w="721"/>
        <w:gridCol w:w="331"/>
        <w:gridCol w:w="109"/>
        <w:gridCol w:w="109"/>
        <w:gridCol w:w="109"/>
        <w:gridCol w:w="344"/>
        <w:gridCol w:w="346"/>
        <w:gridCol w:w="517"/>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(137.2)</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(16.4)</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(137.2)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(128.8)%</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(18.2)%</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Growing our subscriber base with compelling unit economics. </w:t>
      </w:r>
      <w:r>
        <w:rPr>
          <w:rFonts w:ascii="Times New Roman;serif" w:hAnsi="Times New Roman;serif"/>
          <w:b w:val="false"/>
          <w:color w:val="000000"/>
          <w:sz w:val="20"/>
        </w:rPr>
        <w:t xml:space="preserve">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 </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Paid Subscribers (as defined below) as of December 31, 2024 generated average customer lifetime Billings of approximately $1,120, resulting in a LTV/CAC (as defined below) ratio of approximately 1.3x. On average, it takes us approximately 1.6 to 1.7 years for a Paid Subscriber’s cumulative net revenue to exceed the total cost of acquiring that subscriber (which includes fixed costs, such as marketing salaries). For more information on Billings and our LTV/CAC ratio and the components of this ratio, see “</w:t>
      </w:r>
      <w:r>
        <w:rPr>
          <w:color w:val="000000"/>
        </w:rPr>
        <w:t>—</w:t>
      </w:r>
      <w:r>
        <w:rPr>
          <w:rFonts w:ascii="Times New Roman;serif" w:hAnsi="Times New Roman;serif"/>
          <w:b w:val="false"/>
          <w:i/>
          <w:color w:val="000000"/>
          <w:sz w:val="20"/>
        </w:rPr>
        <w:t>Key Business Metrics</w:t>
      </w:r>
      <w:r>
        <w:rPr>
          <w:color w:val="000000"/>
        </w:rPr>
        <w:t xml:space="preserve">” </w:t>
      </w:r>
      <w:r>
        <w:rPr>
          <w:rFonts w:ascii="Times New Roman;serif" w:hAnsi="Times New Roman;serif"/>
          <w:b w:val="false"/>
          <w:color w:val="000000"/>
          <w:sz w:val="20"/>
        </w:rPr>
        <w:t>and “</w:t>
      </w:r>
      <w:r>
        <w:rPr>
          <w:color w:val="000000"/>
        </w:rPr>
        <w:t>—</w:t>
      </w:r>
      <w:r>
        <w:rPr>
          <w:rFonts w:ascii="Times New Roman;serif" w:hAnsi="Times New Roman;serif"/>
          <w:b w:val="false"/>
          <w:i/>
          <w:color w:val="000000"/>
          <w:sz w:val="20"/>
        </w:rPr>
        <w:t>Definitions of Metrics,”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adjust our marketing spend to drive efficient and profitable customer acquisition. We can adjust our marketing spend in near real-time, and we monitor costs per acquisition relative to the cart value of the initial subscription.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Paid Subscriber base was 379 thousand, down 214 thousand, or 36.1% as compared to 592 thousand at September 30, 2024. Our base is comprised of subscribers obtained through both direct-to-paid acquisition and free-to-paid conversions. Since 2022, direct-to-paid acquisition has accounted for approximately 50% of our annual Paid Subscriber acquisition, and is largely driven by display ads and targeted email campaigns.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free subscription products also serve as a significant source of new Paid Subscribers, accounting for approximately 50% of our annual Paid Subscriber acquisition.</w:t>
      </w:r>
    </w:p>
    <w:p>
      <w:pPr>
        <w:pStyle w:val="TextBody"/>
        <w:bidi w:val="0"/>
        <w:spacing w:lineRule="auto" w:line="288" w:before="0" w:after="180"/>
        <w:ind w:left="0" w:right="0" w:firstLine="360"/>
        <w:jc w:val="left"/>
        <w:rPr/>
      </w:pPr>
      <w:r>
        <w:rPr>
          <w:rFonts w:ascii="Times New Roman;serif" w:hAnsi="Times New Roman;serif"/>
          <w:b/>
          <w:i/>
          <w:color w:val="000000"/>
          <w:sz w:val="20"/>
        </w:rPr>
        <w:t>Retaining and expanding relationships with existing subscribers.</w:t>
      </w:r>
      <w:r>
        <w:rPr>
          <w:color w:val="000000"/>
        </w:rPr>
        <w:t xml:space="preserve"> </w:t>
      </w:r>
      <w:r>
        <w:rPr>
          <w:rFonts w:ascii="Times New Roman;serif" w:hAnsi="Times New Roman;serif"/>
          <w:b w:val="false"/>
          <w:color w:val="000000"/>
          <w:sz w:val="20"/>
        </w:rPr>
        <w:t>We believe that we have a significant opportunity to expand our relationships with our large base of Active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high-value composition rate reflects the percentage of Paid Subscribers that have purchased more than $600 of our products over their lifetime. We believe our high-value composition rate reflects our ability to retain existing subscribers through renewals and our ability to expand our relationship with them when those subscribers purchase higher-value subscriptions. Our ultra high-value composition rate reflects the percentage of Paid Subscribers that have purchased more than $5,000 of our products over their lifetime. We believe our ultra high-value composition rate reflects our ability to successfully build lifetime relationships with our subscribers, often across multiple products and brands. As of September 30, 2025, our high-value composition rate and ultra high-value composition rate were 63% and 30%,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Definitions of Metrics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discussion and analysis, a number of our financial and operating metrics are referenced which we do not consider to be key business metrics, but which we review to monitor performance, and which we believe may be useful to investors. These are: </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High-value composition rate: </w:t>
      </w:r>
      <w:r>
        <w:rPr>
          <w:rFonts w:ascii="Times New Roman;serif" w:hAnsi="Times New Roman;serif"/>
          <w:b w:val="false"/>
          <w:color w:val="000000"/>
          <w:sz w:val="20"/>
        </w:rPr>
        <w:t>High-value composition rate is the number of high-valued subscribers divided by Paid Subscribers. High-value subscribers are Paid Subscribers who have purchased &gt;$600 in aggregate over their lifetime.</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LTV/CAC ratio: </w:t>
      </w:r>
      <w:r>
        <w:rPr>
          <w:rFonts w:ascii="Times New Roman;serif" w:hAnsi="Times New Roman;serif"/>
          <w:b w:val="false"/>
          <w:color w:val="000000"/>
          <w:sz w:val="20"/>
        </w:rPr>
        <w:t xml:space="preserve">We calculate LTV/CAC ratio as LTV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CAC. We use LTV/CAC ratio because it is a standard metric for subscription-based 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external revenue share expense,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retention and renewal expenses,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copywriting and marketing salaries,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telesales salaries and commissions,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customer service commissions. </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Net revenue retention: </w:t>
      </w:r>
      <w:r>
        <w:rPr>
          <w:rFonts w:ascii="Times New Roman;serif" w:hAnsi="Times New Roman;serif"/>
          <w:b w:val="false"/>
          <w:color w:val="000000"/>
          <w:sz w:val="20"/>
        </w:rPr>
        <w:t xml:space="preserve">Net revenue retention is defined as Billings from all prior period cohorts in the current period,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all Billings from the 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pStyle w:val="TextBody"/>
        <w:bidi w:val="0"/>
        <w:spacing w:lineRule="auto" w:line="288" w:before="0" w:after="180"/>
        <w:ind w:left="0" w:right="0" w:firstLine="360"/>
        <w:jc w:val="left"/>
        <w:rPr/>
      </w:pPr>
      <w:r>
        <w:rPr>
          <w:rFonts w:ascii="Times New Roman;serif" w:hAnsi="Times New Roman;serif"/>
          <w:b/>
          <w:i/>
          <w:color w:val="000000"/>
          <w:sz w:val="20"/>
        </w:rPr>
        <w:t>Subscriber count churn rate:</w:t>
      </w:r>
      <w:r>
        <w:rPr>
          <w:color w:val="000000"/>
        </w:rPr>
        <w:t xml:space="preserve"> </w:t>
      </w:r>
      <w:r>
        <w:rPr>
          <w:rFonts w:ascii="Times New Roman;serif" w:hAnsi="Times New Roman;serif"/>
          <w:b w:val="false"/>
          <w:color w:val="000000"/>
          <w:sz w:val="20"/>
        </w:rPr>
        <w:t>Our subscriber count churn rate is defined as the number of paid subscribers who either cancelled or failed to renew all of their paid subscriptions during the period divided by the number of unique paid subscribers at the beginning of the period plus the number of new subscribers obtained during the period. Monthly subscriber count churn rate is defined by the annual subscriber count churn divided by twelve months.</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Ultra high-value composition rate: </w:t>
      </w:r>
      <w:r>
        <w:rPr>
          <w:rFonts w:ascii="Times New Roman;serif" w:hAnsi="Times New Roman;serif"/>
          <w:b w:val="false"/>
          <w:color w:val="000000"/>
          <w:sz w:val="20"/>
        </w:rPr>
        <w:t>Ultra high-value composition rate is the number of ultra high-valued subscribers divided by Paid Subscribers. Ultra high-value subscribers are Paid Subscribers who have purchased &gt;$5,000 in aggregate over their lifetime.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the following key business metrics to measure our performance, identify trends, formulate financial projections, and make strategic decisions. We are not aware of any uniform standards for calculating these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metrics, which may hinder comparability with other companies who may calculate similarly titled metrics in a different way.</w:t>
      </w:r>
    </w:p>
    <w:tbl>
      <w:tblPr>
        <w:tblW w:w="11909"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235"/>
        <w:gridCol w:w="741"/>
        <w:gridCol w:w="109"/>
        <w:gridCol w:w="109"/>
        <w:gridCol w:w="109"/>
        <w:gridCol w:w="109"/>
        <w:gridCol w:w="235"/>
        <w:gridCol w:w="741"/>
        <w:gridCol w:w="109"/>
        <w:gridCol w:w="109"/>
        <w:gridCol w:w="109"/>
        <w:gridCol w:w="109"/>
        <w:gridCol w:w="275"/>
        <w:gridCol w:w="275"/>
        <w:gridCol w:w="276"/>
        <w:gridCol w:w="109"/>
        <w:gridCol w:w="109"/>
        <w:gridCol w:w="109"/>
        <w:gridCol w:w="211"/>
        <w:gridCol w:w="826"/>
        <w:gridCol w:w="109"/>
        <w:gridCol w:w="109"/>
        <w:gridCol w:w="109"/>
        <w:gridCol w:w="109"/>
        <w:gridCol w:w="211"/>
        <w:gridCol w:w="826"/>
        <w:gridCol w:w="109"/>
        <w:gridCol w:w="109"/>
        <w:gridCol w:w="109"/>
        <w:gridCol w:w="109"/>
        <w:gridCol w:w="275"/>
        <w:gridCol w:w="275"/>
        <w:gridCol w:w="276"/>
        <w:gridCol w:w="109"/>
        <w:gridCol w:w="109"/>
        <w:gridCol w:w="109"/>
        <w:gridCol w:w="255"/>
        <w:gridCol w:w="721"/>
        <w:gridCol w:w="109"/>
        <w:gridCol w:w="109"/>
        <w:gridCol w:w="109"/>
        <w:gridCol w:w="109"/>
        <w:gridCol w:w="261"/>
        <w:gridCol w:w="265"/>
        <w:gridCol w:w="517"/>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w:t>
              <w:b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w:t>
              <w:b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w:t>
              <w:b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Change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Free Subscribers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Subscribers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Marketing Billings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Renewal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Billings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(29.1)</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i/>
          <w:color w:val="000000"/>
          <w:sz w:val="20"/>
        </w:rPr>
        <w:t xml:space="preserve">Active Free Subscribers. </w:t>
      </w:r>
      <w:r>
        <w:rPr>
          <w:rFonts w:ascii="Times New Roman;serif" w:hAnsi="Times New Roman;serif"/>
          <w:b w:val="false"/>
          <w:color w:val="000000"/>
          <w:sz w:val="20"/>
        </w:rPr>
        <w:t>Active</w:t>
      </w:r>
      <w:r>
        <w:rPr>
          <w:color w:val="000000"/>
        </w:rPr>
        <w:t xml:space="preserve"> </w:t>
      </w:r>
      <w:r>
        <w:rPr>
          <w:rFonts w:ascii="Times New Roman;serif" w:hAnsi="Times New Roman;serif"/>
          <w:b w:val="false"/>
          <w:color w:val="000000"/>
          <w:sz w:val="20"/>
        </w:rPr>
        <w:t>Free Subscribers are defined as unique subscribers who have subscribed to one of our free investment publications via a valid email address and who have received and/or consumed our content during the quarter,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Active Free Subscribers learn about our editors and analysts, get to know our products and services, and learn more about ways we can help them be a better investor. Historically, approximately 50% of our new Paid Subscribers come from free to paid conversions.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Active Free Subscribers decreased by 1.2 million, or 36.7%, to 2.1 million, compared to 3.3 million as of September 30, 2024. The year over year decrease in Active Free Subscribers is a result of fewer free subscribers in total, a reduced number of free products available as we rationalize our offerings, and more targeted email sends.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Active Free Subscribers decreased by 0.2 million, or 8.2%, to 2.1 million, compared to 2.3 million as of June 30, 2025, as the sequential reduction was the result of a continued increase in focus on attracting new direct to paid subscribers in the quarter.</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Paid Subscribers. </w:t>
      </w:r>
      <w:r>
        <w:rPr>
          <w:rFonts w:ascii="Times New Roman;serif" w:hAnsi="Times New Roman;serif"/>
          <w:b w:val="false"/>
          <w:color w:val="000000"/>
          <w:sz w:val="20"/>
        </w:rPr>
        <w:t>We define Paid Subscribers as the total number of unique subscribers with at least one paid subscription at the end of the period. We 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Paid Subscribers decreased by 214 thousand, or 36.1%, to 379 thousand as of September 30, 2025 as compared to 592 thousand at September 30, 2024, primarily related to elevated churn associated with the shutdown of our Legacy Research business. In addition, in third quarter 2024 the Company made the decision to increase prices which has impacted the volume of subscriber acquisitions.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Paid Subscribers decreased by 15 thousand, or 3.9%, to 379 thousand as of September 30, 2025 as compared to 394 thousand as of June 30, 2025. While new subscriber acquisition increased sequentially, it was still less than churn in the quarter which fell within a normal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Subscriber count churn has ranged from approximately 2.4% to 3.3% per month between 2022 and 2024. The average subscribers who churned in third quarter 2025 did so having owned only one entry level publication. This is evidenced by the fact that their ARPU approximately matched the subscription price of our entry level publications. We believe our net revenue retention rate, which has averaged over 55% from 2022 to 2024, is a more meaningful gauge of subscriber satisfaction.</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Average Revenue Per User. </w:t>
      </w:r>
      <w:r>
        <w:rPr>
          <w:rFonts w:ascii="Times New Roman;serif" w:hAnsi="Times New Roman;serif"/>
          <w:b w:val="false"/>
          <w:color w:val="000000"/>
          <w:sz w:val="20"/>
        </w:rPr>
        <w:t xml:space="preserve">We calculate ARPU as the trailing four quarters of net Billings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the average number of quarterly total Paid Subscribers over that period. We believe ARPU is a key indicator of how successful we are in attracting subscribers to higher-value content. We believe that our high ARPU is indicative of the trust we build with our subscribers and of the value they see in our products and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ARPU increased by $148, or 35.5%, to $566 as of September 30, 2025 as compared to $417 as of September 30, 2024. The year-over-year increase was driven by a 34% decrease in trailing four quarter Paid Subscribers, while trailing four quarter Billings only decreased by 11%. The decrease in trailing four quarter Paid Subscribers was driven by the winding down of our Legacy Research business. The decrease in trailing four quarter Billings was driven by reduced engagement and conversion of prospective and existing subscribers, as well as the winding down of our Legacy Research business during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ARPU increased by $92, or 19.3%, to $566 as of September 30, 2025 as compared to $474 as of June 30, 2025. The sequential increase was driven by an 11% decrease in trailing four-quarter average Paid Subscribers, while trailing four-quarter Billings increased by 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1.7 years for the years ended 2024 and 2023 and 1.6 years for the year ended 2022, respectively. Our payback period remains elevated primarily due to a combination of increased customer acquisition costs and lower conversion rates on higher value products.</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Billings. </w:t>
      </w:r>
      <w:r>
        <w:rPr>
          <w:rFonts w:ascii="Times New Roman;serif" w:hAnsi="Times New Roman;serif"/>
          <w:b w:val="false"/>
          <w:color w:val="000000"/>
          <w:sz w:val="20"/>
        </w:rPr>
        <w:t xml:space="preserve">Billings represent amounts invoiced to customers. We measure and monitor our Billings because it provides insight into trends in cash 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break down our Billings into three sub-categories: New Marketing Billings, Net Renewal Billings, and Other Billings.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New Marketing Billings are Billings from all new subscription sales. New Marketing Billings increased by $16.4 million, or 50.7%, to $48.7 million for third quarter 2025 as compared to $32.3 million for third quarter 2024. The increase was seen across our various offerings including entry level subscriptions, our higher priced subscriptions and our software related content.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New Marketing Billings increased by $7.1 million, or 17.1%, to $48.7 million for third quarter 2025 as compared to $41.6 million in second quarter 2025. The increase was primarily driven by highly successful campaigns targeted at existing subscribers and continued momentum with software related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Renewal Billings are Billings from renewals and maintenance fee payments. Net Renewal Billings decreased by $1.6 million, or 10.2%, to $14.1 million for third quarter 2025 as compared to $15.7 million for third quarter 2024. This is primarily a function of a significant decrease (approximately 227 thousand) in average Paid Subscribers for the trailing twelve months ended September 30, 2025 versus the trailing twelve months ended September 30,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Renewal Billings decreased by $1.3 million, or 8.2%, to $14.1 million for third quarter 2025 as compared to $15.4 million for second quarter 2025. The decrease was driven by a smaller population of dollars available to renew in third quarter 2025 as compared to second quarter, driven by the timing of campaigns in previous periods as well as fewer overall paid subscribers.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Billings are Billings from revenue share, advertising and conferences. Other Billings decreased by $0.0 million, or 2.5%, to $0.8 million for third quarter 2025 as compared to $0.9 million for third quarter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Billings decreased by $0.3 million or 29.1%, to $0.8 million for third quarter 2025 as compared to $1.2 million for second quarter 2025, as a result of decreasing revenue share activity with related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Billings increased by $14.8 million, or 30.2%, to $63.7 million for the third quarter 2025 as compared to $48.9 million for third quarter 2024. Excluding Billings from our Legacy Research Group brands, which wound down operations in 2024, Billings increased by $16.7 million or 35.6%.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Billings increased by $5.5 million, or 9.5%, to $63.7 million for third quarter 2025 as compared to $58.2 million for second quarter 2025. The increase was primarily driven by highly successful campaigns targeted at existing subscribers as well as continued momentum with software related content.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MarketWise’s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Net Revenue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net revenue primarily from services provided in delivering term and membership subscription-based financial research, publications, and SaaS offerings to individual subscribers through our online platforms, and from advertising arrangements, print products, and events. We also recognize net revenue through revenue share agreements where we earn a commission for successful sales that other parties generate from our customer list.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Compensation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losses relate to impairment of leasehold improvements.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Related Party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Related party expenses primarily consist of Board of Director compensation, revenue share expenses and expenses for certain corporate functions performed by a related party for certain historic periods.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the net gains or losses on our embedded derivative instruments.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primarily consists of interest income from our money market accounts.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 Income Attributable to Noncontrolling Interests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MarketWise, Inc.’s controlling interest in MarketWise, LLC was 15.3% and the noncontrolling interest was 84.7%. For the three and nine months ended September 30, 2025 net income attributable to controlling interests included a $1.1 million tax provision and a $2.7 million tax provision, respectively, which is 100% attributable to the controlling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2024, MarketWise, Inc.’s controlling interest in MarketWise, LLC was 12.3% and the noncontrolling interest was 87.7%. For the three and nine months ended September 30, 2024, net income attributable to controlling interests included a $1.0 million tax provision and a $2.5 million tax provision, respectively, both of which were solely attributable to the controlling interest.</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358"/>
        <w:gridCol w:w="1136"/>
        <w:gridCol w:w="1116"/>
        <w:gridCol w:w="109"/>
        <w:gridCol w:w="109"/>
        <w:gridCol w:w="109"/>
        <w:gridCol w:w="229"/>
        <w:gridCol w:w="785"/>
        <w:gridCol w:w="118"/>
        <w:gridCol w:w="118"/>
        <w:gridCol w:w="118"/>
        <w:gridCol w:w="118"/>
        <w:gridCol w:w="229"/>
        <w:gridCol w:w="785"/>
        <w:gridCol w:w="118"/>
        <w:gridCol w:w="109"/>
        <w:gridCol w:w="109"/>
        <w:gridCol w:w="109"/>
        <w:gridCol w:w="211"/>
        <w:gridCol w:w="826"/>
        <w:gridCol w:w="109"/>
        <w:gridCol w:w="109"/>
        <w:gridCol w:w="109"/>
        <w:gridCol w:w="109"/>
        <w:gridCol w:w="211"/>
        <w:gridCol w:w="826"/>
        <w:gridCol w:w="109"/>
        <w:gridCol w:w="109"/>
        <w:gridCol w:w="109"/>
        <w:gridCol w:w="109"/>
        <w:gridCol w:w="109"/>
        <w:gridCol w:w="109"/>
        <w:gridCol w:w="159"/>
      </w:tblGrid>
      <w:tr>
        <w:trPr/>
        <w:tc>
          <w:tcPr>
            <w:tcW w:w="135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MarketWise,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(1)Cost of revenue, sales and marketing, general and administrative, and research and development expenses are exclusive of depreciation and amortization shown as a separate line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1406"/>
        <w:gridCol w:w="1203"/>
        <w:gridCol w:w="1183"/>
        <w:gridCol w:w="109"/>
        <w:gridCol w:w="109"/>
        <w:gridCol w:w="109"/>
        <w:gridCol w:w="308"/>
        <w:gridCol w:w="308"/>
        <w:gridCol w:w="512"/>
        <w:gridCol w:w="206"/>
        <w:gridCol w:w="206"/>
        <w:gridCol w:w="206"/>
        <w:gridCol w:w="308"/>
        <w:gridCol w:w="308"/>
        <w:gridCol w:w="512"/>
        <w:gridCol w:w="109"/>
        <w:gridCol w:w="109"/>
        <w:gridCol w:w="109"/>
        <w:gridCol w:w="308"/>
        <w:gridCol w:w="308"/>
        <w:gridCol w:w="489"/>
        <w:gridCol w:w="196"/>
        <w:gridCol w:w="196"/>
        <w:gridCol w:w="196"/>
        <w:gridCol w:w="308"/>
        <w:gridCol w:w="308"/>
        <w:gridCol w:w="576"/>
      </w:tblGrid>
      <w:tr>
        <w:trPr/>
        <w:tc>
          <w:tcPr>
            <w:tcW w:w="140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MarketWise,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(1)Cost of revenue, sales and marketing, general and administrative, and research and development expenses are exclusive of depreciation and amortization shown as a separate line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Three Months Ended September 30, 2025 and Three Months Ended September 30,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 Revenue</w:t>
      </w:r>
    </w:p>
    <w:tbl>
      <w:tblPr>
        <w:tblW w:w="6721" w:type="dxa"/>
        <w:jc w:val="left"/>
        <w:tblInd w:w="0" w:type="dxa"/>
        <w:tblLayout w:type="fixed"/>
        <w:tblCellMar>
          <w:top w:w="28" w:type="dxa"/>
          <w:left w:w="28" w:type="dxa"/>
          <w:bottom w:w="28" w:type="dxa"/>
          <w:right w:w="28" w:type="dxa"/>
        </w:tblCellMar>
      </w:tblPr>
      <w:tblGrid>
        <w:gridCol w:w="413"/>
        <w:gridCol w:w="363"/>
        <w:gridCol w:w="364"/>
        <w:gridCol w:w="235"/>
        <w:gridCol w:w="803"/>
        <w:gridCol w:w="121"/>
        <w:gridCol w:w="121"/>
        <w:gridCol w:w="121"/>
        <w:gridCol w:w="121"/>
        <w:gridCol w:w="235"/>
        <w:gridCol w:w="803"/>
        <w:gridCol w:w="121"/>
        <w:gridCol w:w="109"/>
        <w:gridCol w:w="109"/>
        <w:gridCol w:w="109"/>
        <w:gridCol w:w="211"/>
        <w:gridCol w:w="796"/>
        <w:gridCol w:w="109"/>
        <w:gridCol w:w="109"/>
        <w:gridCol w:w="109"/>
        <w:gridCol w:w="109"/>
        <w:gridCol w:w="293"/>
        <w:gridCol w:w="293"/>
        <w:gridCol w:w="54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net revenue was primarily driven by a $11.1 million decrease in term subscription revenue and a $5.1 million decrease in membership subscription revenue.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Term subscription revenue decreased during the three months ended September 30, 2025, primarily due to the wind down of Legacy Research, which contributed $8.6 million to the overall term subscription revenue decrease.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Membership revenue decreased during the three months ended September 30, 2025, primarily due to Legacy Research, which contributed $7.8 million to the overall membership subscription revenue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311" w:type="dxa"/>
        <w:jc w:val="left"/>
        <w:tblInd w:w="0" w:type="dxa"/>
        <w:tblLayout w:type="fixed"/>
        <w:tblCellMar>
          <w:top w:w="28" w:type="dxa"/>
          <w:left w:w="28" w:type="dxa"/>
          <w:bottom w:w="28" w:type="dxa"/>
          <w:right w:w="28" w:type="dxa"/>
        </w:tblCellMar>
      </w:tblPr>
      <w:tblGrid>
        <w:gridCol w:w="940"/>
        <w:gridCol w:w="826"/>
        <w:gridCol w:w="829"/>
        <w:gridCol w:w="235"/>
        <w:gridCol w:w="803"/>
        <w:gridCol w:w="121"/>
        <w:gridCol w:w="121"/>
        <w:gridCol w:w="121"/>
        <w:gridCol w:w="121"/>
        <w:gridCol w:w="235"/>
        <w:gridCol w:w="803"/>
        <w:gridCol w:w="121"/>
        <w:gridCol w:w="109"/>
        <w:gridCol w:w="109"/>
        <w:gridCol w:w="109"/>
        <w:gridCol w:w="211"/>
        <w:gridCol w:w="796"/>
        <w:gridCol w:w="109"/>
        <w:gridCol w:w="109"/>
        <w:gridCol w:w="109"/>
        <w:gridCol w:w="109"/>
        <w:gridCol w:w="360"/>
        <w:gridCol w:w="361"/>
        <w:gridCol w:w="54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1377.8 </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63,451 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75,284 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(11,833)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5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decreased primarily driven by a $2.1 million decrease in freelance editorial expenses and a $0.2 million decrease in stock-based compensation expense.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decreased primarily driven by a $7.8 million decrease in amortization of deferred contract acquisition costs, a $1.5 million decrease in stock-based compensation expense, and a $1.0 million decrease in salaries, taxes and benefits due to a reduction in workforce. This was partially offset by a $4.8 million increase in marketing expense.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primarily driven by a $4.5 million decrease in professional fees, a $1.6 million decrease in severance expense, and a $1.1 million decrease in salaries, taxes and benefits due to a reduction in workforce. This was partially offset by a $2.3 million increase in incentive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Nine Months Ended September 30, 2025 and Nine Months Ended September 30,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 Revenue</w:t>
      </w:r>
    </w:p>
    <w:tbl>
      <w:tblPr>
        <w:tblW w:w="6445" w:type="dxa"/>
        <w:jc w:val="left"/>
        <w:tblInd w:w="0" w:type="dxa"/>
        <w:tblLayout w:type="fixed"/>
        <w:tblCellMar>
          <w:top w:w="28" w:type="dxa"/>
          <w:left w:w="28" w:type="dxa"/>
          <w:bottom w:w="28" w:type="dxa"/>
          <w:right w:w="28" w:type="dxa"/>
        </w:tblCellMar>
      </w:tblPr>
      <w:tblGrid>
        <w:gridCol w:w="413"/>
        <w:gridCol w:w="363"/>
        <w:gridCol w:w="36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68"/>
        <w:gridCol w:w="268"/>
        <w:gridCol w:w="380"/>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net revenue was primarily driven by a $46.5 million decrease in term subscription revenue, a $19.5 million decrease in membership subscription revenue and a $0.5 million decrease in non-subscription revenue.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Term subscription revenue decreased during the nine months ended September 30, 2025 primarily due to the wind down of Legacy Research, which contributed $31.7 million to the overall term subscription revenue decrease.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Membership revenue decreased during the nine months ended September 30, 2025 primarily due to Legacy Research, which contributed $23.3 million to the overall membership subscription revenue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174" w:type="dxa"/>
        <w:jc w:val="left"/>
        <w:tblInd w:w="0" w:type="dxa"/>
        <w:tblLayout w:type="fixed"/>
        <w:tblCellMar>
          <w:top w:w="28" w:type="dxa"/>
          <w:left w:w="28" w:type="dxa"/>
          <w:bottom w:w="28" w:type="dxa"/>
          <w:right w:w="28" w:type="dxa"/>
        </w:tblCellMar>
      </w:tblPr>
      <w:tblGrid>
        <w:gridCol w:w="962"/>
        <w:gridCol w:w="845"/>
        <w:gridCol w:w="848"/>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4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195,317 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246,432 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(51,115)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5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decreased primarily driven by a $5.1 million decrease in freelance editorial expenses, a $1.1 million decrease in incentive compensation, and a $0.8 million decrease in outside labor. This was partially offset by a $0.8 increase in stock-based compensation expense.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decreased primarily driven by a $28.5 million decrease in amortization of deferred contract acquisition costs, and $4.0 million decrease in salaries, taxes and benefits primarily due to reductions in workforce in 2024. This is partially offset by a $2.9 million increase in marketing expense.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driven by a $7.4 million decrease in professional fees, a $3.5 million decrease in salaries, taxes and benefits due to a reduction in workforce, a $2.9 million decrease due to the change in fair value of contingent consideration related to brands sold during 2024, a $2.3 million decrease in severance expense, a $1.0 million decrease in stock-based compensation expense, a $0.9 million decrease in software expense. This is partially offset by a $2.7 million increase in incentive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believe that the below non-GAAP financial measures are useful in evaluating our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first quarter, we introduced two additional non-GAAP financial measures: Free Cash Flow and EBITDA. These new non-GAAP financial measures are intended to provide investors with additional information regarding our liquidity and operating performance, and they are commonly used within our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new non-GAAP measures are provided in addition to, and not as a substitute for or superior to, our existing non-GAAP financial measures, which we will continue to present.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uses these non-GAAP measures internally to evaluate performance and make operating decisions, and we believe they provide a meaningful perspective to investors when used in conjunction with our GAAP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tbl>
      <w:tblPr>
        <w:tblW w:w="10205" w:type="dxa"/>
        <w:jc w:val="left"/>
        <w:tblInd w:w="0" w:type="dxa"/>
        <w:tblLayout w:type="fixed"/>
        <w:tblCellMar>
          <w:top w:w="28" w:type="dxa"/>
          <w:left w:w="28" w:type="dxa"/>
          <w:bottom w:w="28" w:type="dxa"/>
          <w:right w:w="28" w:type="dxa"/>
        </w:tblCellMar>
      </w:tblPr>
      <w:tblGrid>
        <w:gridCol w:w="583"/>
        <w:gridCol w:w="502"/>
        <w:gridCol w:w="504"/>
        <w:gridCol w:w="109"/>
        <w:gridCol w:w="109"/>
        <w:gridCol w:w="109"/>
        <w:gridCol w:w="211"/>
        <w:gridCol w:w="721"/>
        <w:gridCol w:w="271"/>
        <w:gridCol w:w="109"/>
        <w:gridCol w:w="109"/>
        <w:gridCol w:w="109"/>
        <w:gridCol w:w="211"/>
        <w:gridCol w:w="721"/>
        <w:gridCol w:w="271"/>
        <w:gridCol w:w="109"/>
        <w:gridCol w:w="109"/>
        <w:gridCol w:w="109"/>
        <w:gridCol w:w="290"/>
        <w:gridCol w:w="290"/>
        <w:gridCol w:w="291"/>
        <w:gridCol w:w="109"/>
        <w:gridCol w:w="109"/>
        <w:gridCol w:w="109"/>
        <w:gridCol w:w="211"/>
        <w:gridCol w:w="721"/>
        <w:gridCol w:w="271"/>
        <w:gridCol w:w="109"/>
        <w:gridCol w:w="109"/>
        <w:gridCol w:w="109"/>
        <w:gridCol w:w="211"/>
        <w:gridCol w:w="773"/>
        <w:gridCol w:w="271"/>
        <w:gridCol w:w="109"/>
        <w:gridCol w:w="109"/>
        <w:gridCol w:w="109"/>
        <w:gridCol w:w="268"/>
        <w:gridCol w:w="268"/>
        <w:gridCol w:w="383"/>
      </w:tblGrid>
      <w:tr>
        <w:trPr/>
        <w:tc>
          <w:tcPr>
            <w:tcW w:w="5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(177.3)%</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(171.6)%</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CFFO / Adjusted CFFO Margin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CFFO and Adjusted CFFO Margin are useful indicators that provide information to management and investors about our ability to generate cash, and for internal planning and forecasting purposes.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CFFO as cash flow from operations plus or minus any non-recurring items. We define Adjusted CFFO Margin as Adjusted CFFO as a percentage of Billings. 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the most directly comparable financial measure calculated in accordance with GAAP, to Adjusted CFFO for each of the periods presented:</w:t>
      </w:r>
    </w:p>
    <w:tbl>
      <w:tblPr>
        <w:tblW w:w="10205" w:type="dxa"/>
        <w:jc w:val="left"/>
        <w:tblInd w:w="0" w:type="dxa"/>
        <w:tblLayout w:type="fixed"/>
        <w:tblCellMar>
          <w:top w:w="28" w:type="dxa"/>
          <w:left w:w="28" w:type="dxa"/>
          <w:bottom w:w="28" w:type="dxa"/>
          <w:right w:w="28" w:type="dxa"/>
        </w:tblCellMar>
      </w:tblPr>
      <w:tblGrid>
        <w:gridCol w:w="885"/>
        <w:gridCol w:w="469"/>
        <w:gridCol w:w="471"/>
        <w:gridCol w:w="109"/>
        <w:gridCol w:w="109"/>
        <w:gridCol w:w="109"/>
        <w:gridCol w:w="218"/>
        <w:gridCol w:w="637"/>
        <w:gridCol w:w="112"/>
        <w:gridCol w:w="112"/>
        <w:gridCol w:w="112"/>
        <w:gridCol w:w="112"/>
        <w:gridCol w:w="218"/>
        <w:gridCol w:w="666"/>
        <w:gridCol w:w="112"/>
        <w:gridCol w:w="109"/>
        <w:gridCol w:w="109"/>
        <w:gridCol w:w="109"/>
        <w:gridCol w:w="320"/>
        <w:gridCol w:w="321"/>
        <w:gridCol w:w="483"/>
        <w:gridCol w:w="109"/>
        <w:gridCol w:w="109"/>
        <w:gridCol w:w="109"/>
        <w:gridCol w:w="212"/>
        <w:gridCol w:w="727"/>
        <w:gridCol w:w="109"/>
        <w:gridCol w:w="109"/>
        <w:gridCol w:w="109"/>
        <w:gridCol w:w="109"/>
        <w:gridCol w:w="212"/>
        <w:gridCol w:w="754"/>
        <w:gridCol w:w="109"/>
        <w:gridCol w:w="109"/>
        <w:gridCol w:w="109"/>
        <w:gridCol w:w="109"/>
        <w:gridCol w:w="320"/>
        <w:gridCol w:w="321"/>
        <w:gridCol w:w="558"/>
      </w:tblGrid>
      <w:tr>
        <w:trPr/>
        <w:tc>
          <w:tcPr>
            <w:tcW w:w="88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(177.3)%</w:t>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CFFO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N/M: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 of net cash provided by operating activities as a percentage of total net revenue, the most directly comparable financial measure in accordance with GAAP, and Adjusted CFFO Margin for each of the periods presented:</w:t>
      </w:r>
    </w:p>
    <w:tbl>
      <w:tblPr>
        <w:tblW w:w="10205" w:type="dxa"/>
        <w:jc w:val="left"/>
        <w:tblInd w:w="0" w:type="dxa"/>
        <w:tblLayout w:type="fixed"/>
        <w:tblCellMar>
          <w:top w:w="28" w:type="dxa"/>
          <w:left w:w="28" w:type="dxa"/>
          <w:bottom w:w="28" w:type="dxa"/>
          <w:right w:w="28" w:type="dxa"/>
        </w:tblCellMar>
      </w:tblPr>
      <w:tblGrid>
        <w:gridCol w:w="863"/>
        <w:gridCol w:w="734"/>
        <w:gridCol w:w="736"/>
        <w:gridCol w:w="109"/>
        <w:gridCol w:w="109"/>
        <w:gridCol w:w="109"/>
        <w:gridCol w:w="272"/>
        <w:gridCol w:w="186"/>
        <w:gridCol w:w="413"/>
        <w:gridCol w:w="137"/>
        <w:gridCol w:w="137"/>
        <w:gridCol w:w="137"/>
        <w:gridCol w:w="347"/>
        <w:gridCol w:w="186"/>
        <w:gridCol w:w="489"/>
        <w:gridCol w:w="109"/>
        <w:gridCol w:w="109"/>
        <w:gridCol w:w="109"/>
        <w:gridCol w:w="290"/>
        <w:gridCol w:w="290"/>
        <w:gridCol w:w="291"/>
        <w:gridCol w:w="109"/>
        <w:gridCol w:w="109"/>
        <w:gridCol w:w="109"/>
        <w:gridCol w:w="301"/>
        <w:gridCol w:w="193"/>
        <w:gridCol w:w="483"/>
        <w:gridCol w:w="135"/>
        <w:gridCol w:w="135"/>
        <w:gridCol w:w="135"/>
        <w:gridCol w:w="327"/>
        <w:gridCol w:w="214"/>
        <w:gridCol w:w="543"/>
        <w:gridCol w:w="109"/>
        <w:gridCol w:w="109"/>
        <w:gridCol w:w="109"/>
        <w:gridCol w:w="268"/>
        <w:gridCol w:w="268"/>
        <w:gridCol w:w="387"/>
      </w:tblGrid>
      <w:tr>
        <w:trPr/>
        <w:tc>
          <w:tcPr>
            <w:tcW w:w="86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(177.3)%</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(177.3)%</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CFFO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CFFO and Adjusted CFFO for the nine months ended September 30, 2025 was primarily due to net income of $50.1 million, adjusted for net non-cash items which increased cash by $12.5 million. This was partially offset by net changes in our operating assets and liabilities which reduced cash by $40.8 million, including incentive compensation payouts.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capital expenditures. We define capital expenditures as purchases of property and equipment plus capitalized software development costs. Acquisitions are not included in capital expenditures.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Free Cash Flow is a useful indicator that provides information to management and investors about the cash generated by the business that is available for discretionary purposes, such as dividends and strategic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the most directly comparable financial measure calculated in accordance with GAAP, to Free Cash Flow for each of the periods presented:</w:t>
      </w:r>
    </w:p>
    <w:tbl>
      <w:tblPr>
        <w:tblW w:w="10205" w:type="dxa"/>
        <w:jc w:val="left"/>
        <w:tblInd w:w="0" w:type="dxa"/>
        <w:tblLayout w:type="fixed"/>
        <w:tblCellMar>
          <w:top w:w="28" w:type="dxa"/>
          <w:left w:w="28" w:type="dxa"/>
          <w:bottom w:w="28" w:type="dxa"/>
          <w:right w:w="28" w:type="dxa"/>
        </w:tblCellMar>
      </w:tblPr>
      <w:tblGrid>
        <w:gridCol w:w="956"/>
        <w:gridCol w:w="644"/>
        <w:gridCol w:w="646"/>
        <w:gridCol w:w="109"/>
        <w:gridCol w:w="109"/>
        <w:gridCol w:w="109"/>
        <w:gridCol w:w="224"/>
        <w:gridCol w:w="655"/>
        <w:gridCol w:w="115"/>
        <w:gridCol w:w="115"/>
        <w:gridCol w:w="115"/>
        <w:gridCol w:w="115"/>
        <w:gridCol w:w="224"/>
        <w:gridCol w:w="696"/>
        <w:gridCol w:w="115"/>
        <w:gridCol w:w="109"/>
        <w:gridCol w:w="109"/>
        <w:gridCol w:w="109"/>
        <w:gridCol w:w="290"/>
        <w:gridCol w:w="290"/>
        <w:gridCol w:w="291"/>
        <w:gridCol w:w="109"/>
        <w:gridCol w:w="109"/>
        <w:gridCol w:w="109"/>
        <w:gridCol w:w="214"/>
        <w:gridCol w:w="732"/>
        <w:gridCol w:w="110"/>
        <w:gridCol w:w="110"/>
        <w:gridCol w:w="110"/>
        <w:gridCol w:w="110"/>
        <w:gridCol w:w="214"/>
        <w:gridCol w:w="769"/>
        <w:gridCol w:w="110"/>
        <w:gridCol w:w="109"/>
        <w:gridCol w:w="109"/>
        <w:gridCol w:w="109"/>
        <w:gridCol w:w="268"/>
        <w:gridCol w:w="268"/>
        <w:gridCol w:w="391"/>
      </w:tblGrid>
      <w:tr>
        <w:trPr/>
        <w:tc>
          <w:tcPr>
            <w:tcW w:w="9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(177.3)%</w:t>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w:t>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(171.6)%</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EBITDA as net income before interest income (expense), income taxes, depreciation, and amortization. We believe EBITDA provides a useful supplemental measure of operating performance and is helpful to investors in evaluating our GAAP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the most directly comparable financial measure calculated in accordance with GAAP, to EBITDA for each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67"/>
        <w:gridCol w:w="701"/>
        <w:gridCol w:w="699"/>
        <w:gridCol w:w="109"/>
        <w:gridCol w:w="109"/>
        <w:gridCol w:w="109"/>
        <w:gridCol w:w="229"/>
        <w:gridCol w:w="784"/>
        <w:gridCol w:w="118"/>
        <w:gridCol w:w="118"/>
        <w:gridCol w:w="118"/>
        <w:gridCol w:w="118"/>
        <w:gridCol w:w="229"/>
        <w:gridCol w:w="784"/>
        <w:gridCol w:w="118"/>
        <w:gridCol w:w="109"/>
        <w:gridCol w:w="109"/>
        <w:gridCol w:w="109"/>
        <w:gridCol w:w="290"/>
        <w:gridCol w:w="290"/>
        <w:gridCol w:w="291"/>
        <w:gridCol w:w="223"/>
        <w:gridCol w:w="763"/>
        <w:gridCol w:w="115"/>
        <w:gridCol w:w="115"/>
        <w:gridCol w:w="115"/>
        <w:gridCol w:w="115"/>
        <w:gridCol w:w="223"/>
        <w:gridCol w:w="763"/>
        <w:gridCol w:w="115"/>
        <w:gridCol w:w="109"/>
        <w:gridCol w:w="109"/>
        <w:gridCol w:w="109"/>
        <w:gridCol w:w="268"/>
        <w:gridCol w:w="268"/>
        <w:gridCol w:w="387"/>
      </w:tblGrid>
      <w:tr>
        <w:trPr/>
        <w:tc>
          <w:tcPr>
            <w:tcW w:w="86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(42.8)%</w:t>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this accumulation of cash as our “float” which we view as a valuable resource that we may invest or use to expand our operations. We expect that as we grow our business, the amount of our float will increase. The Company estimates that the amount of float was approximately $83.4 million and $119.7 million as of September 30, 2025 and December 31, 2024, respectively. As part of the Company's broader capital allocation strategy, our consolidated cash balance may from time to time decline below our estimate of the long term float requirement.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invest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earned interest income of $0.7 million and $2.4 million, respectively, on our cash portfolio which was invested solely in money market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allocate a portion of our “float” to investments meeting pre-determined guidelines, including U.S.-listed equity securities, with the objective to provide an acceptable rate of return while complying with established risk tolerances and liquidity parameters. The Board is responsible for approving investment decisions. Gains and losses on marketable securities may fluctuate significantly from period to period in the future and could have a significant impact on the Company’s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principal sources of liquidity were cash and cash equivalents, and restricted cash of $50.5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pay quarterly dividends on shares of our Class A common stock and distributions on our LLC Units.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dividends and distributions declared during the nine months ended September 30, 2025, on a split adjusted basis, were as follows:</w:t>
      </w:r>
    </w:p>
    <w:tbl>
      <w:tblPr>
        <w:tblW w:w="8641" w:type="dxa"/>
        <w:jc w:val="left"/>
        <w:tblInd w:w="0" w:type="dxa"/>
        <w:tblLayout w:type="fixed"/>
        <w:tblCellMar>
          <w:top w:w="28" w:type="dxa"/>
          <w:left w:w="28" w:type="dxa"/>
          <w:bottom w:w="28" w:type="dxa"/>
          <w:right w:w="28" w:type="dxa"/>
        </w:tblCellMar>
      </w:tblPr>
      <w:tblGrid>
        <w:gridCol w:w="276"/>
        <w:gridCol w:w="243"/>
        <w:gridCol w:w="247"/>
        <w:gridCol w:w="529"/>
        <w:gridCol w:w="529"/>
        <w:gridCol w:w="532"/>
        <w:gridCol w:w="572"/>
        <w:gridCol w:w="572"/>
        <w:gridCol w:w="581"/>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Dividends on </w:t>
              <w:b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distributions on</w:t>
              <w:br/>
              <w:t>LLC Units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declared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paid</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15, 2025</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to incur payment obligations under the Tax Receivable Agreement (“TRA”) in the future. These obligations correspond to future cash tax savings that MarketWise, Inc. derives from tax-related benefits created as MarketWise Members exchange their LLC Units for Class A shares of MarketWise, Inc. This obligation is equal to 85% of the estimated future tax benefit for MarketWise, Inc. and is recorded as a TRA liability on the condensed consolidated balance sheet. The TRA liability was $4.3 million as of September 30, 2025. No payments have been made under the TRA, and no significant payments are expected in the next 12 months. However, these obligations may be significant in the future. MarketWise, Inc. intends to cause MarketWise, LLC to make distributions to MarketWise, Inc. in an amount sufficient to allow MarketWise, Inc. to pay its tax obligations and operating expenses, including distributions to fund any payments due under the TRA. If MarketWise, LLC does not have sufficient cash to fund distributions to MarketWise, Inc. in amounts sufficient to cover MarketWise, Inc.’s obligations under the TRA, it may have to borrow funds, which could materially adversely affect its liquidity and financial condition and subject it to various restrictions imposed by any such lenders. To the extent that MarketWise, Inc. is unable to make timely payments under the TRA for any reason, the unpaid amounts will be deferred and will accrue interest until paid. For additional information regarding the TRA, see the section entitled “ Management’s Discussion and Analysis of Financial Condition and Results of Operations—Liquidity and Capital Resources—Tax Receivable Agreement” in the Annual Report.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to the extent we have taxable income, we will make distributions to the MarketWise Members and to MarketWise, Inc. in amounts sufficient for the recipients to pay taxes due on their share of MarketWise income at prevailing individual income tax rates, which for the 2024 tax year the highest federal, state and local tax rate the Company used was 49.75%. In third quarter 2025, MarketWise, LLC made quarterly tax distributions of $15.4million proportionately to all MarketWise Members, including MarketWise, Inc. These quarterly tax distributions to MarketWise, Inc. exceeded its corporate tax liability and enabled MarketWise, Inc. to declare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pay the aforementioned special dividend with the excess tax distribution proceeds. No significant tax distributions are expected in the fourth quarter 2025. We expect MarketWise, Inc. will receive quarterly tax distributions in future quarters however the amount is uncertain.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28, 2025, the Company announced that the Board authorized a stock repurchase program of up to $50 million shares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12 months following the announcement but the program may be modified, suspended, or terminated at any time. The share repurchase program does not obligate the Company to repurchase any dollar amount or number of shares. During the three and nine months ended September 30, 2025, we repurchased 57,224 shares totaling $1,048 in the aggregate, including fees and commissions of $2, and 174,897 shares totaling $2,901 in the aggregate, including fees and commissions of $5,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 holders of MarketWise, LLC.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29, 2025, the Company announced that it had received a proposal (the "Proposal") from Monument &amp; Cathedral Holdings, LLC (collectively with its affiliates, “M&amp;C”) to acquire all of the outstanding equity interests of each of the Company and Marketwise, LLC that are not owned directly or indirectly by M&amp;C, for cash consideration of $17.25 per share, which is contingent upon the termination of the Company’s tax receivable agreement concurrent with the closing of the transaction. Upon receiving the Proposal, the Company suspended repurchases under its share repurchase program effective October 30, 2025. The program remains authorized by the Board; however, repurchases are not currently being made. A Special Committee of the Company’s Board of Directors is reviewing this Proposal in consultation with its advisors. This Proposal may or may not lead to a transaction, and the Company does not intend to update disclosures regarding the Proposal unless a definitive agreement has been reached or disclosure is otherwise required under applicable U.S. securities laws.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Legacy Reorganization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October 2024, we completed our reorganization and operational transition plans with respect to substantially all of the Legacy Research brands. The Company dissolved substantially all of the Legacy Research legal entities during second quarter 2025. For further background, see </w:t>
      </w:r>
      <w:r>
        <w:rPr>
          <w:rFonts w:ascii="Times New Roman;serif" w:hAnsi="Times New Roman;serif"/>
          <w:b w:val="false"/>
          <w:i/>
          <w:color w:val="000000"/>
          <w:sz w:val="20"/>
        </w:rPr>
        <w:t>Note 4 – Acquisitions and Disposals</w:t>
      </w:r>
      <w:r>
        <w:rPr>
          <w:color w:val="000000"/>
        </w:rPr>
        <w:t xml:space="preserve"> </w:t>
      </w:r>
      <w:r>
        <w:rPr>
          <w:rFonts w:ascii="Times New Roman;serif" w:hAnsi="Times New Roman;serif"/>
          <w:b w:val="false"/>
          <w:color w:val="000000"/>
          <w:sz w:val="20"/>
        </w:rPr>
        <w:t>in our Annual Report on Form 10-K for the year ended December 31, 2024</w:t>
      </w:r>
      <w:r>
        <w:rPr>
          <w:rFonts w:ascii="Times New Roman;serif" w:hAnsi="Times New Roman;serif"/>
          <w:b w:val="false"/>
          <w:i/>
          <w:color w:val="000000"/>
          <w:sz w:val="2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Legacy Research agreed to terminate its office lease early. During the nine months ended September 30, 2025, the Company recorded an impairment loss on leasehold improvement assets totaling $0.4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million, and the related lease was terminated for a gain of $1.6 million, which is included within general and administrative expense.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provided by (used in) operating, investing, and financing activities for the periods indicated:</w:t>
      </w:r>
    </w:p>
    <w:tbl>
      <w:tblPr>
        <w:tblW w:w="7177" w:type="dxa"/>
        <w:jc w:val="left"/>
        <w:tblInd w:w="0" w:type="dxa"/>
        <w:tblLayout w:type="fixed"/>
        <w:tblCellMar>
          <w:top w:w="28" w:type="dxa"/>
          <w:left w:w="28" w:type="dxa"/>
          <w:bottom w:w="28" w:type="dxa"/>
          <w:right w:w="28" w:type="dxa"/>
        </w:tblCellMar>
      </w:tblPr>
      <w:tblGrid>
        <w:gridCol w:w="1527"/>
        <w:gridCol w:w="1342"/>
        <w:gridCol w:w="1346"/>
        <w:gridCol w:w="109"/>
        <w:gridCol w:w="109"/>
        <w:gridCol w:w="109"/>
        <w:gridCol w:w="220"/>
        <w:gridCol w:w="752"/>
        <w:gridCol w:w="113"/>
        <w:gridCol w:w="113"/>
        <w:gridCol w:w="113"/>
        <w:gridCol w:w="113"/>
        <w:gridCol w:w="220"/>
        <w:gridCol w:w="831"/>
        <w:gridCol w:w="160"/>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provided by operating activities was $21.7 million, primarily due to net income of $50.1 million, adjusted for net non-cash items which increased cash by $12.5 million, and partially offset by net changes in our operating assets and liabilities which reduced cash by $40.8 million. The non-cash items include stock-based compensation expense and noncash lease expense of $8.4 million and $2.8 million, respectively. The changes in operating assets and liabilities were primarily driven by a decrease in deferred revenue, which reduced cash by $50.7 million, and an increase in prepaid expenses related to technology platform, which reduced cash by $5.6 million, partially offset by a decrease in deferred contract acquisition costs, which increased cash by $19.4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net cash used in operating activities was $28.1 million, primarily due to net income of $66.7 million, adjusted for net non-cash addbacks of items of $14.5 million, and net changes in our operating assets and liabilities which reduced cash by $109.3 million, largely due to timing differences in the net receipt of cash. The non-cash items include stock-based compensation expense and depreciation and amortization of $8.7 million and $2.0 million, respectively. The changes in operating assets and liabilities were primarily driven by a decrease in deferred revenue, which reduced cash by $133.6 million due to lower Billings, and a decrease in accrued expenses, which decreased cash by $32.7 million, partially offset by a decrease in deferred contract acquisition costs, which increased cash by $50.4 million.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investing activities was $1.0 million, primarily driven by $0.9 million in capitalized software development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net cash used in investing activities was $0.7 million, primarily driven by $0.7 million in capitalized software development costs.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financing activities was $68.0 million, primarily due to $50.0 million in tax distributions to noncontrolling interests and $9.4 million in other distributions to noncontrolling interests, $3.8 million in dividends to Class A shareholders, and $2.9 million in repurchases of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net cash used in financing activities was $32.1 million, primarily due to $10.4 million in tax distributions to noncontrolling interests, $8.6 million in other distributions to noncontrolling interests, $10.8 million in repurchases of stock, and $1.4 million in restricted stock units withheld to pay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statements have been prepared in accordance with GAAP. The preparation of these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believes that, of our significant accounting policies, which are described in Note 2 to our consolidated financial statements for the year ended December 31, 2024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2024 Annual Report on Form 10-K for further discussion of these two policies. During the three and nine months ended September 30, 2025, there were no material changes to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Financial Officer concluded that, as of September 30, 2025, our disclosure controls and procedures are effective.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quarter ended September 30, 2025, that have materially affected, or are reasonably likely to materially affect, our internal control over financial reporting identified in connection with the evaluation required by Rule 13a-15(d) and 15d-15(d) of the Exchange Act.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risks described below could have a material adverse impact on our business, financial condition, or operating results. Although it is not possible to predict or identify all such risks and uncertainties, they may include, but are not limited to, the factors discussed below.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risk factors disclosed in Part 1, Item 1A,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information with respect to purchases made by or on behalf of the Company of its common stock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859"/>
        <w:gridCol w:w="419"/>
        <w:gridCol w:w="424"/>
        <w:gridCol w:w="639"/>
        <w:gridCol w:w="447"/>
        <w:gridCol w:w="448"/>
        <w:gridCol w:w="109"/>
        <w:gridCol w:w="109"/>
        <w:gridCol w:w="109"/>
        <w:gridCol w:w="285"/>
        <w:gridCol w:w="834"/>
        <w:gridCol w:w="147"/>
        <w:gridCol w:w="109"/>
        <w:gridCol w:w="109"/>
        <w:gridCol w:w="109"/>
        <w:gridCol w:w="840"/>
        <w:gridCol w:w="678"/>
        <w:gridCol w:w="680"/>
        <w:gridCol w:w="109"/>
        <w:gridCol w:w="109"/>
        <w:gridCol w:w="109"/>
        <w:gridCol w:w="489"/>
        <w:gridCol w:w="1671"/>
        <w:gridCol w:w="364"/>
      </w:tblGrid>
      <w:tr>
        <w:trPr/>
        <w:tc>
          <w:tcPr>
            <w:tcW w:w="85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Dollar Value of Shares that May Yet Be Purchased Under the Plan </w:t>
            </w:r>
            <w:r>
              <w:rPr>
                <w:rFonts w:ascii="Times New Roman;serif" w:hAnsi="Times New Roman;serif"/>
                <w:b w:val="false"/>
                <w:i/>
                <w:color w:val="000000"/>
                <w:sz w:val="16"/>
              </w:rPr>
              <w:t>(in thousands)</w:t>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1 to July 31, 2025</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48,116 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1 to August 31, 2025</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1 to September 30, 2025</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42,414 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174,897 </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174,897 </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In February 2025, our Board of Directors authorized the repurchase of up to $50.0 million in aggregate of shares of the Company’s Class A common stock, with the authorization to expire on February 28, 2026. </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29, 2025, the Company announced that it had received a proposal (the "Proposal") from Monument &amp; Cathedral Holdings, LLC (collectively with its affiliates, “M&amp;C”) to acquire all of the outstanding equity interests of each of the Company and Marketwise, LLC that are not owned directly or indirectly by M&amp;C, for cash consideration of $17.25 per share, which is contingent upon the termination of the Company’s tax receivable agreement concurrent with the closing of the transaction. Upon receiving the Proposal, the Company suspended repurchases under its share repurchase program effective October 30, 2025. The program remains authorized by the Board; however, repurchases are not currently being made.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323"/>
        <w:gridCol w:w="284"/>
        <w:gridCol w:w="286"/>
        <w:gridCol w:w="109"/>
        <w:gridCol w:w="109"/>
        <w:gridCol w:w="109"/>
        <w:gridCol w:w="2689"/>
        <w:gridCol w:w="2603"/>
        <w:gridCol w:w="3693"/>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Amendment to the Certificate of Incorporation of MarketWise, Inc. (incorporated by reference to Exhibit 3.1 to the Registrant’s Current Report on Form 8-K, filed with the SEC on March 31, 2025).</w:t>
              </w:r>
            </w:hyperlink>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5"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5"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5"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5"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5"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02510-q_exhibit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02510-q_exhibit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02510-q_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02510-q_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5"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410" w:type="dxa"/>
        <w:jc w:val="left"/>
        <w:tblInd w:w="0" w:type="dxa"/>
        <w:tblLayout w:type="fixed"/>
        <w:tblCellMar>
          <w:top w:w="28" w:type="dxa"/>
          <w:left w:w="28" w:type="dxa"/>
          <w:bottom w:w="28" w:type="dxa"/>
          <w:right w:w="28" w:type="dxa"/>
        </w:tblCellMar>
      </w:tblPr>
      <w:tblGrid>
        <w:gridCol w:w="759"/>
        <w:gridCol w:w="668"/>
        <w:gridCol w:w="672"/>
        <w:gridCol w:w="367"/>
        <w:gridCol w:w="367"/>
        <w:gridCol w:w="367"/>
        <w:gridCol w:w="939"/>
        <w:gridCol w:w="939"/>
        <w:gridCol w:w="133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Dr. David Eifrig,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MarketWise, Inc. (the “registrant”) for the fiscal quarter ended September 30, 2025;</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36" w:type="dxa"/>
        <w:jc w:val="left"/>
        <w:tblInd w:w="0" w:type="dxa"/>
        <w:tblLayout w:type="fixed"/>
        <w:tblCellMar>
          <w:top w:w="28" w:type="dxa"/>
          <w:left w:w="28" w:type="dxa"/>
          <w:bottom w:w="28" w:type="dxa"/>
          <w:right w:w="28" w:type="dxa"/>
        </w:tblCellMar>
      </w:tblPr>
      <w:tblGrid>
        <w:gridCol w:w="759"/>
        <w:gridCol w:w="668"/>
        <w:gridCol w:w="672"/>
        <w:gridCol w:w="289"/>
        <w:gridCol w:w="289"/>
        <w:gridCol w:w="289"/>
        <w:gridCol w:w="604"/>
        <w:gridCol w:w="604"/>
        <w:gridCol w:w="86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David Eifrig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Erik Mickels,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MarketWise, Inc. (the “registrant”) for the fiscal quarter ended September 30, 2025;</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76" w:type="dxa"/>
        <w:jc w:val="left"/>
        <w:tblInd w:w="0" w:type="dxa"/>
        <w:tblLayout w:type="fixed"/>
        <w:tblCellMar>
          <w:top w:w="28" w:type="dxa"/>
          <w:left w:w="28" w:type="dxa"/>
          <w:bottom w:w="28" w:type="dxa"/>
          <w:right w:w="28" w:type="dxa"/>
        </w:tblCellMar>
      </w:tblPr>
      <w:tblGrid>
        <w:gridCol w:w="759"/>
        <w:gridCol w:w="668"/>
        <w:gridCol w:w="672"/>
        <w:gridCol w:w="289"/>
        <w:gridCol w:w="289"/>
        <w:gridCol w:w="289"/>
        <w:gridCol w:w="937"/>
        <w:gridCol w:w="937"/>
        <w:gridCol w:w="133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Dr. David Eifrig, certify, pursuant to 18 U.S.C. Section 1350, as adopted pursuant to Section 906 of the Sarbanes-Oxley Act of 2002, that the Quarterly Report on Form 10-Q of MarketWise, Inc. for the fiscal quarter ended September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tbl>
      <w:tblPr>
        <w:tblW w:w="5036" w:type="dxa"/>
        <w:jc w:val="left"/>
        <w:tblInd w:w="0" w:type="dxa"/>
        <w:tblLayout w:type="fixed"/>
        <w:tblCellMar>
          <w:top w:w="28" w:type="dxa"/>
          <w:left w:w="28" w:type="dxa"/>
          <w:bottom w:w="28" w:type="dxa"/>
          <w:right w:w="28" w:type="dxa"/>
        </w:tblCellMar>
      </w:tblPr>
      <w:tblGrid>
        <w:gridCol w:w="759"/>
        <w:gridCol w:w="668"/>
        <w:gridCol w:w="672"/>
        <w:gridCol w:w="289"/>
        <w:gridCol w:w="289"/>
        <w:gridCol w:w="289"/>
        <w:gridCol w:w="604"/>
        <w:gridCol w:w="604"/>
        <w:gridCol w:w="86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David Eifrig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Erik Mickels, certify, pursuant to 18 U.S.C. Section 1350, as adopted pursuant to Section 906 of the Sarbanes-Oxley Act of 2002, that the Quarterly Report on Form 10-Q of MarketWise, Inc. for the fiscal quarter ended September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tbl>
      <w:tblPr>
        <w:tblW w:w="6176" w:type="dxa"/>
        <w:jc w:val="left"/>
        <w:tblInd w:w="0" w:type="dxa"/>
        <w:tblLayout w:type="fixed"/>
        <w:tblCellMar>
          <w:top w:w="28" w:type="dxa"/>
          <w:left w:w="28" w:type="dxa"/>
          <w:bottom w:w="28" w:type="dxa"/>
          <w:right w:w="28" w:type="dxa"/>
        </w:tblCellMar>
      </w:tblPr>
      <w:tblGrid>
        <w:gridCol w:w="759"/>
        <w:gridCol w:w="668"/>
        <w:gridCol w:w="672"/>
        <w:gridCol w:w="289"/>
        <w:gridCol w:w="289"/>
        <w:gridCol w:w="289"/>
        <w:gridCol w:w="937"/>
        <w:gridCol w:w="937"/>
        <w:gridCol w:w="133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651/000162828025015716/exhibit31_certificateofame.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22170</Words>
  <Characters>123827</Characters>
  <CharactersWithSpaces>144173</CharactersWithSpaces>
  <Paragraphs>3668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